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78E05" w14:textId="6D1E3E86" w:rsidR="005C78CB" w:rsidRDefault="00065395">
      <w:pPr>
        <w:spacing w:line="240" w:lineRule="auto"/>
        <w:jc w:val="center"/>
        <w:rPr>
          <w:rFonts w:ascii="Arial" w:eastAsia="Arial" w:hAnsi="Arial" w:cs="Arial"/>
          <w:sz w:val="26"/>
          <w:szCs w:val="26"/>
        </w:rPr>
      </w:pPr>
      <w:r>
        <w:rPr>
          <w:rFonts w:ascii="Arial" w:eastAsia="Arial" w:hAnsi="Arial" w:cs="Arial"/>
          <w:b/>
          <w:bCs/>
          <w:sz w:val="26"/>
          <w:szCs w:val="26"/>
        </w:rPr>
        <w:t>INICIATIVA DE CULTIVO DE CARÁ EM PINDORAMA (SP)</w:t>
      </w:r>
      <w:r w:rsidR="00AE2D1D">
        <w:rPr>
          <w:rFonts w:ascii="Arial" w:eastAsia="Arial" w:hAnsi="Arial" w:cs="Arial"/>
          <w:b/>
          <w:bCs/>
          <w:sz w:val="26"/>
          <w:szCs w:val="26"/>
        </w:rPr>
        <w:t xml:space="preserve"> EM SAF E PLENO SOL</w:t>
      </w:r>
    </w:p>
    <w:p w14:paraId="75600F35" w14:textId="22E9583D" w:rsidR="005C78CB" w:rsidRDefault="00065395">
      <w:pPr>
        <w:spacing w:line="240" w:lineRule="auto"/>
        <w:jc w:val="center"/>
        <w:rPr>
          <w:rFonts w:ascii="Arial" w:eastAsia="Arial" w:hAnsi="Arial" w:cs="Arial"/>
          <w:sz w:val="26"/>
          <w:szCs w:val="26"/>
        </w:rPr>
      </w:pPr>
      <w:r>
        <w:rPr>
          <w:rFonts w:ascii="Arial" w:eastAsia="Arial" w:hAnsi="Arial" w:cs="Arial"/>
          <w:b/>
          <w:bCs/>
          <w:sz w:val="26"/>
          <w:szCs w:val="26"/>
        </w:rPr>
        <w:t xml:space="preserve">Luís Carlos </w:t>
      </w:r>
      <w:proofErr w:type="spellStart"/>
      <w:r>
        <w:rPr>
          <w:rFonts w:ascii="Arial" w:eastAsia="Arial" w:hAnsi="Arial" w:cs="Arial"/>
          <w:b/>
          <w:bCs/>
          <w:sz w:val="26"/>
          <w:szCs w:val="26"/>
        </w:rPr>
        <w:t>Bernacci</w:t>
      </w:r>
      <w:proofErr w:type="spellEnd"/>
    </w:p>
    <w:p w14:paraId="4188512A" w14:textId="257BFAB7" w:rsidR="00865493" w:rsidRPr="00865493" w:rsidRDefault="00865493" w:rsidP="00865493">
      <w:pPr>
        <w:spacing w:line="240" w:lineRule="auto"/>
        <w:jc w:val="center"/>
        <w:rPr>
          <w:rFonts w:ascii="Arial" w:eastAsia="Arial" w:hAnsi="Arial" w:cs="Arial"/>
          <w:b/>
          <w:bCs/>
          <w:sz w:val="26"/>
          <w:szCs w:val="26"/>
        </w:rPr>
      </w:pPr>
      <w:r w:rsidRPr="00865493">
        <w:rPr>
          <w:rFonts w:ascii="Arial" w:eastAsia="Arial" w:hAnsi="Arial" w:cs="Arial"/>
          <w:b/>
          <w:bCs/>
          <w:sz w:val="26"/>
          <w:szCs w:val="26"/>
        </w:rPr>
        <w:t xml:space="preserve">Maria Beatriz Bernardes Soares; Juliana </w:t>
      </w:r>
      <w:proofErr w:type="spellStart"/>
      <w:r w:rsidRPr="00865493">
        <w:rPr>
          <w:rFonts w:ascii="Arial" w:eastAsia="Arial" w:hAnsi="Arial" w:cs="Arial"/>
          <w:b/>
          <w:bCs/>
          <w:sz w:val="26"/>
          <w:szCs w:val="26"/>
        </w:rPr>
        <w:t>Altafin</w:t>
      </w:r>
      <w:proofErr w:type="spellEnd"/>
      <w:r w:rsidRPr="00865493">
        <w:rPr>
          <w:rFonts w:ascii="Arial" w:eastAsia="Arial" w:hAnsi="Arial" w:cs="Arial"/>
          <w:b/>
          <w:bCs/>
          <w:sz w:val="26"/>
          <w:szCs w:val="26"/>
        </w:rPr>
        <w:t xml:space="preserve"> Galli</w:t>
      </w:r>
      <w:r>
        <w:rPr>
          <w:rFonts w:ascii="Arial" w:eastAsia="Arial" w:hAnsi="Arial" w:cs="Arial"/>
          <w:b/>
          <w:bCs/>
          <w:sz w:val="26"/>
          <w:szCs w:val="26"/>
        </w:rPr>
        <w:t xml:space="preserve">; </w:t>
      </w:r>
      <w:r w:rsidRPr="00865493">
        <w:rPr>
          <w:rFonts w:ascii="Arial" w:eastAsia="Arial" w:hAnsi="Arial" w:cs="Arial"/>
          <w:b/>
          <w:bCs/>
          <w:sz w:val="26"/>
          <w:szCs w:val="26"/>
        </w:rPr>
        <w:t>Maria Teresa Vilela Nogueira Abdo</w:t>
      </w:r>
    </w:p>
    <w:p w14:paraId="59B0A1F4" w14:textId="5069F8A7" w:rsidR="005C78CB" w:rsidRDefault="00865493">
      <w:pPr>
        <w:spacing w:line="240" w:lineRule="auto"/>
        <w:jc w:val="center"/>
        <w:rPr>
          <w:rFonts w:ascii="Arial" w:eastAsia="Arial" w:hAnsi="Arial" w:cs="Arial"/>
          <w:sz w:val="26"/>
          <w:szCs w:val="26"/>
        </w:rPr>
      </w:pPr>
      <w:r>
        <w:rPr>
          <w:rFonts w:ascii="Arial" w:eastAsia="Arial" w:hAnsi="Arial" w:cs="Arial"/>
          <w:sz w:val="26"/>
          <w:szCs w:val="26"/>
        </w:rPr>
        <w:t>APTA Regional de Pindorama / SAA-SP</w:t>
      </w:r>
    </w:p>
    <w:p w14:paraId="6841FD6E" w14:textId="570AD6B7" w:rsidR="005C78CB" w:rsidRDefault="00706255">
      <w:pPr>
        <w:spacing w:line="240" w:lineRule="auto"/>
        <w:jc w:val="center"/>
        <w:rPr>
          <w:rFonts w:ascii="Arial" w:eastAsia="Arial" w:hAnsi="Arial" w:cs="Arial"/>
          <w:sz w:val="20"/>
          <w:szCs w:val="20"/>
        </w:rPr>
      </w:pPr>
      <w:r>
        <w:rPr>
          <w:rFonts w:ascii="Arial" w:eastAsia="Arial" w:hAnsi="Arial" w:cs="Arial"/>
          <w:sz w:val="20"/>
          <w:szCs w:val="20"/>
        </w:rPr>
        <w:t>l</w:t>
      </w:r>
      <w:r w:rsidR="00865493">
        <w:rPr>
          <w:rFonts w:ascii="Arial" w:eastAsia="Arial" w:hAnsi="Arial" w:cs="Arial"/>
          <w:sz w:val="20"/>
          <w:szCs w:val="20"/>
        </w:rPr>
        <w:t>uis.bernacci@sp.gov.br</w:t>
      </w:r>
    </w:p>
    <w:p w14:paraId="46A46576" w14:textId="77777777" w:rsidR="005C78CB" w:rsidRDefault="005C78CB">
      <w:pPr>
        <w:spacing w:before="0" w:after="0" w:line="240" w:lineRule="auto"/>
        <w:jc w:val="center"/>
        <w:rPr>
          <w:rFonts w:ascii="Arial" w:eastAsia="Arial" w:hAnsi="Arial" w:cs="Arial"/>
        </w:rPr>
        <w:sectPr w:rsidR="005C78CB">
          <w:headerReference w:type="default" r:id="rId7"/>
          <w:pgSz w:w="11906" w:h="16838"/>
          <w:pgMar w:top="1871" w:right="1474" w:bottom="2381" w:left="1474" w:header="709" w:footer="709" w:gutter="0"/>
          <w:pgNumType w:start="1"/>
          <w:cols w:space="720"/>
        </w:sectPr>
      </w:pPr>
    </w:p>
    <w:p w14:paraId="2BD54D6A" w14:textId="77777777" w:rsidR="005C78CB" w:rsidRDefault="00000000">
      <w:pPr>
        <w:spacing w:before="120" w:after="120" w:line="240" w:lineRule="auto"/>
        <w:jc w:val="center"/>
        <w:rPr>
          <w:rFonts w:ascii="Arial" w:eastAsia="Arial" w:hAnsi="Arial" w:cs="Arial"/>
          <w:sz w:val="26"/>
          <w:szCs w:val="26"/>
        </w:rPr>
      </w:pPr>
      <w:r>
        <w:rPr>
          <w:rFonts w:ascii="Arial" w:eastAsia="Arial" w:hAnsi="Arial" w:cs="Arial"/>
          <w:b/>
          <w:bCs/>
          <w:sz w:val="26"/>
          <w:szCs w:val="26"/>
        </w:rPr>
        <w:t>Objetivos</w:t>
      </w:r>
    </w:p>
    <w:p w14:paraId="5F84DA31" w14:textId="751A84EC" w:rsidR="001B29FC" w:rsidRPr="001B29FC" w:rsidRDefault="00706255" w:rsidP="001B29FC">
      <w:pPr>
        <w:spacing w:before="0" w:after="0" w:line="240" w:lineRule="auto"/>
        <w:rPr>
          <w:rFonts w:ascii="Arial" w:eastAsia="Arial" w:hAnsi="Arial" w:cs="Arial"/>
          <w:sz w:val="20"/>
          <w:szCs w:val="20"/>
        </w:rPr>
      </w:pPr>
      <w:r w:rsidRPr="001B29FC">
        <w:rPr>
          <w:rFonts w:ascii="Arial" w:hAnsi="Arial" w:cs="Arial"/>
          <w:color w:val="000000" w:themeColor="text1"/>
          <w:sz w:val="20"/>
          <w:szCs w:val="20"/>
        </w:rPr>
        <w:t xml:space="preserve">No Brasil, a agricultura familiar e de subsistência responde pela conservação </w:t>
      </w:r>
      <w:proofErr w:type="spellStart"/>
      <w:r w:rsidRPr="001B29FC">
        <w:rPr>
          <w:rFonts w:ascii="Arial" w:hAnsi="Arial" w:cs="Arial"/>
          <w:i/>
          <w:iCs/>
          <w:color w:val="000000" w:themeColor="text1"/>
          <w:sz w:val="20"/>
          <w:szCs w:val="20"/>
        </w:rPr>
        <w:t>on</w:t>
      </w:r>
      <w:proofErr w:type="spellEnd"/>
      <w:r w:rsidRPr="001B29FC">
        <w:rPr>
          <w:rFonts w:ascii="Arial" w:hAnsi="Arial" w:cs="Arial"/>
          <w:i/>
          <w:iCs/>
          <w:color w:val="000000" w:themeColor="text1"/>
          <w:sz w:val="20"/>
          <w:szCs w:val="20"/>
        </w:rPr>
        <w:t xml:space="preserve"> </w:t>
      </w:r>
      <w:proofErr w:type="spellStart"/>
      <w:r w:rsidRPr="001B29FC">
        <w:rPr>
          <w:rFonts w:ascii="Arial" w:hAnsi="Arial" w:cs="Arial"/>
          <w:i/>
          <w:iCs/>
          <w:color w:val="000000" w:themeColor="text1"/>
          <w:sz w:val="20"/>
          <w:szCs w:val="20"/>
        </w:rPr>
        <w:t>farm</w:t>
      </w:r>
      <w:proofErr w:type="spellEnd"/>
      <w:r w:rsidRPr="001B29FC">
        <w:rPr>
          <w:rFonts w:ascii="Arial" w:hAnsi="Arial" w:cs="Arial"/>
          <w:color w:val="000000" w:themeColor="text1"/>
          <w:sz w:val="20"/>
          <w:szCs w:val="20"/>
        </w:rPr>
        <w:t xml:space="preserve"> do cará (</w:t>
      </w:r>
      <w:proofErr w:type="spellStart"/>
      <w:r w:rsidRPr="001B29FC">
        <w:rPr>
          <w:rFonts w:ascii="Arial" w:hAnsi="Arial" w:cs="Arial"/>
          <w:i/>
          <w:iCs/>
          <w:color w:val="000000" w:themeColor="text1"/>
          <w:sz w:val="20"/>
          <w:szCs w:val="20"/>
        </w:rPr>
        <w:t>Dioscorea</w:t>
      </w:r>
      <w:proofErr w:type="spellEnd"/>
      <w:r w:rsidRPr="001B29FC">
        <w:rPr>
          <w:rFonts w:ascii="Arial" w:hAnsi="Arial" w:cs="Arial"/>
          <w:color w:val="000000" w:themeColor="text1"/>
          <w:sz w:val="20"/>
          <w:szCs w:val="20"/>
        </w:rPr>
        <w:t xml:space="preserve"> </w:t>
      </w:r>
      <w:proofErr w:type="spellStart"/>
      <w:r w:rsidRPr="001B29FC">
        <w:rPr>
          <w:rFonts w:ascii="Arial" w:hAnsi="Arial" w:cs="Arial"/>
          <w:color w:val="000000" w:themeColor="text1"/>
          <w:sz w:val="20"/>
          <w:szCs w:val="20"/>
        </w:rPr>
        <w:t>spp</w:t>
      </w:r>
      <w:proofErr w:type="spellEnd"/>
      <w:r w:rsidRPr="001B29FC">
        <w:rPr>
          <w:rFonts w:ascii="Arial" w:hAnsi="Arial" w:cs="Arial"/>
          <w:color w:val="000000" w:themeColor="text1"/>
          <w:sz w:val="20"/>
          <w:szCs w:val="20"/>
        </w:rPr>
        <w:t xml:space="preserve"> - Bressan et al., 2011), com o cultivo majoritariamente realizado em sistemas diversificados (</w:t>
      </w:r>
      <w:proofErr w:type="spellStart"/>
      <w:r w:rsidRPr="001B29FC">
        <w:rPr>
          <w:rFonts w:ascii="Arial" w:hAnsi="Arial" w:cs="Arial"/>
          <w:color w:val="000000" w:themeColor="text1"/>
          <w:sz w:val="20"/>
          <w:szCs w:val="20"/>
        </w:rPr>
        <w:t>Veasey</w:t>
      </w:r>
      <w:proofErr w:type="spellEnd"/>
      <w:r w:rsidRPr="001B29FC">
        <w:rPr>
          <w:rFonts w:ascii="Arial" w:hAnsi="Arial" w:cs="Arial"/>
          <w:color w:val="000000" w:themeColor="text1"/>
          <w:sz w:val="20"/>
          <w:szCs w:val="20"/>
        </w:rPr>
        <w:t xml:space="preserve"> et al., 20</w:t>
      </w:r>
      <w:r w:rsidR="006E5B1D">
        <w:rPr>
          <w:rFonts w:ascii="Arial" w:hAnsi="Arial" w:cs="Arial"/>
          <w:color w:val="000000" w:themeColor="text1"/>
          <w:sz w:val="20"/>
          <w:szCs w:val="20"/>
        </w:rPr>
        <w:t>1</w:t>
      </w:r>
      <w:r w:rsidRPr="001B29FC">
        <w:rPr>
          <w:rFonts w:ascii="Arial" w:hAnsi="Arial" w:cs="Arial"/>
          <w:color w:val="000000" w:themeColor="text1"/>
          <w:sz w:val="20"/>
          <w:szCs w:val="20"/>
        </w:rPr>
        <w:t>4). O manejo orgânico é alternativa para mitigar o declínio da fertilidade do solo e a pressão de pragas e doenças sobre essa cultura, com desempenho superior em sustentabilidade econômica e ecológica (</w:t>
      </w:r>
      <w:proofErr w:type="spellStart"/>
      <w:r w:rsidRPr="001B29FC">
        <w:rPr>
          <w:rFonts w:ascii="Arial" w:hAnsi="Arial" w:cs="Arial"/>
          <w:color w:val="000000" w:themeColor="text1"/>
          <w:sz w:val="20"/>
          <w:szCs w:val="20"/>
        </w:rPr>
        <w:t>K</w:t>
      </w:r>
      <w:r w:rsidR="001B29FC">
        <w:rPr>
          <w:rFonts w:ascii="Arial" w:hAnsi="Arial" w:cs="Arial"/>
          <w:color w:val="000000" w:themeColor="text1"/>
          <w:sz w:val="20"/>
          <w:szCs w:val="20"/>
        </w:rPr>
        <w:t>amalkumaran</w:t>
      </w:r>
      <w:proofErr w:type="spellEnd"/>
      <w:r w:rsidRPr="001B29FC">
        <w:rPr>
          <w:rFonts w:ascii="Arial" w:hAnsi="Arial" w:cs="Arial"/>
          <w:color w:val="000000" w:themeColor="text1"/>
          <w:sz w:val="20"/>
          <w:szCs w:val="20"/>
        </w:rPr>
        <w:t xml:space="preserve"> et al., 2020). </w:t>
      </w:r>
      <w:r w:rsidR="001B29FC" w:rsidRPr="001B29FC">
        <w:rPr>
          <w:rFonts w:ascii="Arial" w:hAnsi="Arial" w:cs="Arial"/>
          <w:color w:val="000000" w:themeColor="text1"/>
          <w:sz w:val="20"/>
          <w:szCs w:val="20"/>
        </w:rPr>
        <w:t>A domesticação em ambientes florestais por povos originários (Bressan et al., 2011), conferiu ao gênero uma possível aptidão natural ao cultivo em Sistemas Agroflorestais (SAF)</w:t>
      </w:r>
      <w:r w:rsidR="001B29FC">
        <w:rPr>
          <w:rFonts w:ascii="Arial" w:hAnsi="Arial" w:cs="Arial"/>
          <w:color w:val="000000" w:themeColor="text1"/>
          <w:sz w:val="20"/>
          <w:szCs w:val="20"/>
        </w:rPr>
        <w:t xml:space="preserve">. O objetivo do presente estudo é avaliar o desenvolvimento do cará ao pleno sol e em ambiente </w:t>
      </w:r>
      <w:proofErr w:type="spellStart"/>
      <w:r w:rsidR="001B29FC">
        <w:rPr>
          <w:rFonts w:ascii="Arial" w:hAnsi="Arial" w:cs="Arial"/>
          <w:color w:val="000000" w:themeColor="text1"/>
          <w:sz w:val="20"/>
          <w:szCs w:val="20"/>
        </w:rPr>
        <w:t>semissombreado</w:t>
      </w:r>
      <w:proofErr w:type="spellEnd"/>
      <w:r w:rsidR="001B29FC">
        <w:rPr>
          <w:rFonts w:ascii="Arial" w:hAnsi="Arial" w:cs="Arial"/>
          <w:color w:val="000000" w:themeColor="text1"/>
          <w:sz w:val="20"/>
          <w:szCs w:val="20"/>
        </w:rPr>
        <w:t xml:space="preserve"> de </w:t>
      </w:r>
      <w:r w:rsidR="007D28D0">
        <w:rPr>
          <w:rFonts w:ascii="Arial" w:hAnsi="Arial" w:cs="Arial"/>
          <w:color w:val="000000" w:themeColor="text1"/>
          <w:sz w:val="20"/>
          <w:szCs w:val="20"/>
        </w:rPr>
        <w:t>Sistema Agroflorestal (</w:t>
      </w:r>
      <w:r w:rsidR="001B29FC">
        <w:rPr>
          <w:rFonts w:ascii="Arial" w:hAnsi="Arial" w:cs="Arial"/>
          <w:color w:val="000000" w:themeColor="text1"/>
          <w:sz w:val="20"/>
          <w:szCs w:val="20"/>
        </w:rPr>
        <w:t>SAF</w:t>
      </w:r>
      <w:r w:rsidR="007D28D0">
        <w:rPr>
          <w:rFonts w:ascii="Arial" w:hAnsi="Arial" w:cs="Arial"/>
          <w:color w:val="000000" w:themeColor="text1"/>
          <w:sz w:val="20"/>
          <w:szCs w:val="20"/>
        </w:rPr>
        <w:t>)</w:t>
      </w:r>
      <w:r w:rsidR="001B29FC">
        <w:rPr>
          <w:rFonts w:ascii="Arial" w:hAnsi="Arial" w:cs="Arial"/>
          <w:color w:val="000000" w:themeColor="text1"/>
          <w:sz w:val="20"/>
          <w:szCs w:val="20"/>
        </w:rPr>
        <w:t xml:space="preserve"> com banana.</w:t>
      </w:r>
    </w:p>
    <w:p w14:paraId="36022977" w14:textId="77777777" w:rsidR="005C78CB" w:rsidRDefault="005C78CB">
      <w:pPr>
        <w:spacing w:before="120" w:after="120" w:line="240" w:lineRule="auto"/>
        <w:rPr>
          <w:rFonts w:ascii="Arial" w:eastAsia="Arial" w:hAnsi="Arial" w:cs="Arial"/>
          <w:sz w:val="26"/>
          <w:szCs w:val="26"/>
        </w:rPr>
      </w:pPr>
    </w:p>
    <w:p w14:paraId="0BFD8084" w14:textId="77777777" w:rsidR="005C78CB" w:rsidRDefault="00000000">
      <w:pPr>
        <w:spacing w:before="120" w:after="120" w:line="240" w:lineRule="auto"/>
        <w:jc w:val="center"/>
        <w:rPr>
          <w:rFonts w:ascii="Arial" w:eastAsia="Arial" w:hAnsi="Arial" w:cs="Arial"/>
          <w:sz w:val="26"/>
          <w:szCs w:val="26"/>
        </w:rPr>
      </w:pPr>
      <w:r>
        <w:rPr>
          <w:rFonts w:ascii="Arial" w:eastAsia="Arial" w:hAnsi="Arial" w:cs="Arial"/>
          <w:b/>
          <w:bCs/>
          <w:sz w:val="26"/>
          <w:szCs w:val="26"/>
        </w:rPr>
        <w:t>Métodos e Procedimentos</w:t>
      </w:r>
    </w:p>
    <w:p w14:paraId="522A3C60" w14:textId="286109E6" w:rsidR="009405FD" w:rsidRDefault="0038292E" w:rsidP="009405FD">
      <w:pPr>
        <w:spacing w:before="0" w:after="0" w:line="240" w:lineRule="auto"/>
        <w:contextualSpacing/>
        <w:rPr>
          <w:rFonts w:ascii="Arial" w:hAnsi="Arial" w:cs="Arial"/>
          <w:bCs/>
          <w:iCs/>
          <w:color w:val="000000" w:themeColor="text1"/>
          <w:sz w:val="20"/>
          <w:szCs w:val="20"/>
        </w:rPr>
      </w:pPr>
      <w:proofErr w:type="spellStart"/>
      <w:r w:rsidRPr="0038292E">
        <w:rPr>
          <w:rFonts w:ascii="Arial" w:hAnsi="Arial" w:cs="Arial"/>
          <w:i/>
          <w:iCs/>
          <w:sz w:val="20"/>
          <w:szCs w:val="20"/>
        </w:rPr>
        <w:t>Dioscorea</w:t>
      </w:r>
      <w:proofErr w:type="spellEnd"/>
      <w:r w:rsidRPr="0038292E">
        <w:rPr>
          <w:rFonts w:ascii="Arial" w:hAnsi="Arial" w:cs="Arial"/>
          <w:i/>
          <w:iCs/>
          <w:sz w:val="20"/>
          <w:szCs w:val="20"/>
        </w:rPr>
        <w:t xml:space="preserve"> </w:t>
      </w:r>
      <w:proofErr w:type="spellStart"/>
      <w:r w:rsidRPr="0038292E">
        <w:rPr>
          <w:rFonts w:ascii="Arial" w:hAnsi="Arial" w:cs="Arial"/>
          <w:i/>
          <w:iCs/>
          <w:sz w:val="20"/>
          <w:szCs w:val="20"/>
        </w:rPr>
        <w:t>alata</w:t>
      </w:r>
      <w:proofErr w:type="spellEnd"/>
      <w:r w:rsidRPr="0038292E">
        <w:rPr>
          <w:rFonts w:ascii="Arial" w:hAnsi="Arial" w:cs="Arial"/>
          <w:sz w:val="20"/>
          <w:szCs w:val="20"/>
        </w:rPr>
        <w:t xml:space="preserve"> é a espécie mais bem representada no Banco Ativo de Germoplasma (</w:t>
      </w:r>
      <w:proofErr w:type="spellStart"/>
      <w:r w:rsidRPr="0038292E">
        <w:rPr>
          <w:rFonts w:ascii="Arial" w:hAnsi="Arial" w:cs="Arial"/>
          <w:sz w:val="20"/>
          <w:szCs w:val="20"/>
        </w:rPr>
        <w:t>BaG</w:t>
      </w:r>
      <w:proofErr w:type="spellEnd"/>
      <w:r w:rsidRPr="0038292E">
        <w:rPr>
          <w:rFonts w:ascii="Arial" w:hAnsi="Arial" w:cs="Arial"/>
          <w:sz w:val="20"/>
          <w:szCs w:val="20"/>
        </w:rPr>
        <w:t>) de Carás do IAC</w:t>
      </w:r>
      <w:r w:rsidR="009405FD">
        <w:rPr>
          <w:rFonts w:ascii="Arial" w:hAnsi="Arial" w:cs="Arial"/>
          <w:sz w:val="20"/>
          <w:szCs w:val="20"/>
        </w:rPr>
        <w:t xml:space="preserve"> e aquela mais cultivada no Sudeste (</w:t>
      </w:r>
      <w:proofErr w:type="spellStart"/>
      <w:r w:rsidR="009405FD">
        <w:rPr>
          <w:rFonts w:ascii="Arial" w:hAnsi="Arial" w:cs="Arial"/>
          <w:sz w:val="20"/>
          <w:szCs w:val="20"/>
        </w:rPr>
        <w:t>Peressin</w:t>
      </w:r>
      <w:proofErr w:type="spellEnd"/>
      <w:r w:rsidR="009405FD">
        <w:rPr>
          <w:rFonts w:ascii="Arial" w:hAnsi="Arial" w:cs="Arial"/>
          <w:sz w:val="20"/>
          <w:szCs w:val="20"/>
        </w:rPr>
        <w:t xml:space="preserve"> &amp; </w:t>
      </w:r>
      <w:proofErr w:type="spellStart"/>
      <w:r w:rsidR="009405FD">
        <w:rPr>
          <w:rFonts w:ascii="Arial" w:hAnsi="Arial" w:cs="Arial"/>
          <w:sz w:val="20"/>
          <w:szCs w:val="20"/>
        </w:rPr>
        <w:t>Feltran</w:t>
      </w:r>
      <w:proofErr w:type="spellEnd"/>
      <w:r w:rsidR="009405FD">
        <w:rPr>
          <w:rFonts w:ascii="Arial" w:hAnsi="Arial" w:cs="Arial"/>
          <w:sz w:val="20"/>
          <w:szCs w:val="20"/>
        </w:rPr>
        <w:t xml:space="preserve"> 2014).</w:t>
      </w:r>
      <w:r w:rsidRPr="0038292E">
        <w:rPr>
          <w:rFonts w:ascii="Arial" w:hAnsi="Arial" w:cs="Arial"/>
          <w:sz w:val="20"/>
          <w:szCs w:val="20"/>
        </w:rPr>
        <w:t xml:space="preserve"> </w:t>
      </w:r>
      <w:r w:rsidR="00A43E83">
        <w:rPr>
          <w:rFonts w:ascii="Arial" w:eastAsia="Arial" w:hAnsi="Arial" w:cs="Arial"/>
          <w:sz w:val="20"/>
          <w:szCs w:val="20"/>
        </w:rPr>
        <w:t xml:space="preserve">Na </w:t>
      </w:r>
      <w:r w:rsidR="007D28D0">
        <w:rPr>
          <w:rFonts w:ascii="Arial" w:eastAsia="Arial" w:hAnsi="Arial" w:cs="Arial"/>
          <w:sz w:val="20"/>
          <w:szCs w:val="20"/>
        </w:rPr>
        <w:t xml:space="preserve">área experimental da Apta Regional de Pindorama, em </w:t>
      </w:r>
      <w:proofErr w:type="spellStart"/>
      <w:r w:rsidR="007D28D0" w:rsidRPr="007D28D0">
        <w:rPr>
          <w:rFonts w:ascii="Arial" w:hAnsi="Arial" w:cs="Arial"/>
          <w:bCs/>
          <w:iCs/>
          <w:color w:val="000000" w:themeColor="text1"/>
          <w:sz w:val="20"/>
          <w:szCs w:val="20"/>
        </w:rPr>
        <w:t>Argissolo</w:t>
      </w:r>
      <w:proofErr w:type="spellEnd"/>
      <w:r w:rsidR="007D28D0" w:rsidRPr="007D28D0">
        <w:rPr>
          <w:rFonts w:ascii="Arial" w:hAnsi="Arial" w:cs="Arial"/>
          <w:bCs/>
          <w:iCs/>
          <w:color w:val="000000" w:themeColor="text1"/>
          <w:sz w:val="20"/>
          <w:szCs w:val="20"/>
        </w:rPr>
        <w:t xml:space="preserve"> Vermelho </w:t>
      </w:r>
      <w:proofErr w:type="spellStart"/>
      <w:r w:rsidR="007D28D0" w:rsidRPr="007D28D0">
        <w:rPr>
          <w:rFonts w:ascii="Arial" w:hAnsi="Arial" w:cs="Arial"/>
          <w:bCs/>
          <w:iCs/>
          <w:color w:val="000000" w:themeColor="text1"/>
          <w:sz w:val="20"/>
          <w:szCs w:val="20"/>
        </w:rPr>
        <w:t>Eutrófico</w:t>
      </w:r>
      <w:proofErr w:type="spellEnd"/>
      <w:r w:rsidR="007D28D0">
        <w:rPr>
          <w:rFonts w:ascii="Arial" w:hAnsi="Arial" w:cs="Arial"/>
          <w:bCs/>
          <w:iCs/>
          <w:color w:val="000000" w:themeColor="text1"/>
          <w:sz w:val="20"/>
          <w:szCs w:val="20"/>
        </w:rPr>
        <w:t xml:space="preserve">, 12 diferentes acessos foram cultivados na safra de 2022-2023, nas condições de pleno sol e em </w:t>
      </w:r>
      <w:r w:rsidR="009405FD">
        <w:rPr>
          <w:rFonts w:ascii="Arial" w:hAnsi="Arial" w:cs="Arial"/>
          <w:bCs/>
          <w:iCs/>
          <w:color w:val="000000" w:themeColor="text1"/>
          <w:sz w:val="20"/>
          <w:szCs w:val="20"/>
        </w:rPr>
        <w:t xml:space="preserve">SAF, </w:t>
      </w:r>
      <w:r w:rsidR="007D28D0">
        <w:rPr>
          <w:rFonts w:ascii="Arial" w:eastAsia="Arial" w:hAnsi="Arial" w:cs="Arial"/>
          <w:bCs/>
          <w:sz w:val="20"/>
          <w:szCs w:val="20"/>
        </w:rPr>
        <w:t>com banana, guandu e outras plantas intercalares</w:t>
      </w:r>
      <w:r w:rsidR="009405FD">
        <w:rPr>
          <w:rFonts w:ascii="Arial" w:eastAsia="Arial" w:hAnsi="Arial" w:cs="Arial"/>
          <w:bCs/>
          <w:sz w:val="20"/>
          <w:szCs w:val="20"/>
        </w:rPr>
        <w:t xml:space="preserve">, </w:t>
      </w:r>
      <w:r w:rsidR="009405FD">
        <w:rPr>
          <w:rFonts w:ascii="Arial" w:hAnsi="Arial" w:cs="Arial"/>
          <w:bCs/>
          <w:iCs/>
          <w:color w:val="000000" w:themeColor="text1"/>
          <w:sz w:val="20"/>
          <w:szCs w:val="20"/>
        </w:rPr>
        <w:t>para avaliar o desenvolvimento e produtividade nestes dois ambientes.</w:t>
      </w:r>
    </w:p>
    <w:p w14:paraId="33D76B08" w14:textId="24AD13F0" w:rsidR="005C78CB" w:rsidRDefault="009405FD" w:rsidP="00FA58DF">
      <w:pPr>
        <w:spacing w:before="0" w:after="0" w:line="240" w:lineRule="auto"/>
        <w:rPr>
          <w:rFonts w:ascii="Arial" w:hAnsi="Arial" w:cs="Arial"/>
          <w:sz w:val="20"/>
          <w:szCs w:val="20"/>
        </w:rPr>
      </w:pPr>
      <w:r w:rsidRPr="009405FD">
        <w:rPr>
          <w:rFonts w:ascii="Arial" w:hAnsi="Arial" w:cs="Arial"/>
          <w:sz w:val="20"/>
          <w:szCs w:val="20"/>
        </w:rPr>
        <w:t xml:space="preserve">Pindorama (SP) pertence à Região Administrativa e à Divisão Regional Agrícola de São José do Rio Preto, sendo o experimento localizado na área da APTA Regional de Pindorama (21º 13’ 41” S, 48º 54’ 57” W) a 580 m de altitude média e com 2 a 10% de declividade. O clima, segundo o sistema de classificação de </w:t>
      </w:r>
      <w:proofErr w:type="spellStart"/>
      <w:r w:rsidRPr="009405FD">
        <w:rPr>
          <w:rFonts w:ascii="Arial" w:hAnsi="Arial" w:cs="Arial"/>
          <w:sz w:val="20"/>
          <w:szCs w:val="20"/>
        </w:rPr>
        <w:t>Köppen</w:t>
      </w:r>
      <w:proofErr w:type="spellEnd"/>
      <w:r w:rsidRPr="009405FD">
        <w:rPr>
          <w:rFonts w:ascii="Arial" w:hAnsi="Arial" w:cs="Arial"/>
          <w:sz w:val="20"/>
          <w:szCs w:val="20"/>
        </w:rPr>
        <w:t xml:space="preserve"> é do tipo </w:t>
      </w:r>
      <w:proofErr w:type="spellStart"/>
      <w:r w:rsidRPr="009405FD">
        <w:rPr>
          <w:rFonts w:ascii="Arial" w:hAnsi="Arial" w:cs="Arial"/>
          <w:sz w:val="20"/>
          <w:szCs w:val="20"/>
        </w:rPr>
        <w:t>Aw</w:t>
      </w:r>
      <w:proofErr w:type="spellEnd"/>
      <w:r w:rsidRPr="009405FD">
        <w:rPr>
          <w:rFonts w:ascii="Arial" w:hAnsi="Arial" w:cs="Arial"/>
          <w:sz w:val="20"/>
          <w:szCs w:val="20"/>
        </w:rPr>
        <w:t xml:space="preserve">, definido por estação chuvosa no verão e seca no inverno (com menos de 60 mm de precipitação) e temperatura média do mês mais frio superior a 18°C. A precipitação pluvial anual média é de 1420 mm (Bega </w:t>
      </w:r>
      <w:r w:rsidRPr="009405FD">
        <w:rPr>
          <w:rFonts w:ascii="Arial" w:hAnsi="Arial" w:cs="Arial"/>
          <w:i/>
          <w:iCs/>
          <w:sz w:val="20"/>
          <w:szCs w:val="20"/>
        </w:rPr>
        <w:t>et al.</w:t>
      </w:r>
      <w:r w:rsidRPr="009405FD">
        <w:rPr>
          <w:rFonts w:ascii="Arial" w:hAnsi="Arial" w:cs="Arial"/>
          <w:sz w:val="20"/>
          <w:szCs w:val="20"/>
        </w:rPr>
        <w:t xml:space="preserve"> 2005).</w:t>
      </w:r>
      <w:r w:rsidR="00FA58DF">
        <w:rPr>
          <w:rFonts w:ascii="Arial" w:hAnsi="Arial" w:cs="Arial"/>
          <w:sz w:val="20"/>
          <w:szCs w:val="20"/>
        </w:rPr>
        <w:t xml:space="preserve"> </w:t>
      </w:r>
      <w:r w:rsidRPr="009405FD">
        <w:rPr>
          <w:rFonts w:ascii="Arial" w:hAnsi="Arial" w:cs="Arial"/>
          <w:sz w:val="20"/>
          <w:szCs w:val="20"/>
        </w:rPr>
        <w:t>Na safra de 11/2022-10/2023 a precipitação alcançou 1571 mm, em 189 dias de chuvas e a temperatura média anual foi de 22,5 ºC.</w:t>
      </w:r>
    </w:p>
    <w:p w14:paraId="7698E5CE" w14:textId="0C516F08" w:rsidR="00FA58DF" w:rsidRDefault="00FA58DF" w:rsidP="00FA58DF">
      <w:pPr>
        <w:spacing w:before="0" w:after="0" w:line="240" w:lineRule="auto"/>
        <w:rPr>
          <w:rFonts w:ascii="Arial" w:hAnsi="Arial" w:cs="Arial"/>
          <w:sz w:val="20"/>
          <w:szCs w:val="20"/>
        </w:rPr>
      </w:pPr>
      <w:r>
        <w:rPr>
          <w:rFonts w:ascii="Arial" w:hAnsi="Arial" w:cs="Arial"/>
          <w:sz w:val="20"/>
          <w:szCs w:val="20"/>
        </w:rPr>
        <w:t>Foram avaliados o número e a massa dos tubérculos colhidos.</w:t>
      </w:r>
    </w:p>
    <w:p w14:paraId="54720131" w14:textId="77777777" w:rsidR="00FA58DF" w:rsidRPr="009405FD" w:rsidRDefault="00FA58DF" w:rsidP="00FA58DF">
      <w:pPr>
        <w:spacing w:before="0" w:after="0" w:line="240" w:lineRule="auto"/>
        <w:rPr>
          <w:rFonts w:ascii="Arial" w:eastAsia="Arial" w:hAnsi="Arial" w:cs="Arial"/>
          <w:sz w:val="20"/>
          <w:szCs w:val="20"/>
        </w:rPr>
      </w:pPr>
    </w:p>
    <w:p w14:paraId="6A31DC15" w14:textId="77777777" w:rsidR="005C78CB" w:rsidRDefault="00000000" w:rsidP="0038292E">
      <w:pPr>
        <w:spacing w:before="0" w:after="0" w:line="240" w:lineRule="auto"/>
        <w:jc w:val="center"/>
        <w:rPr>
          <w:rFonts w:ascii="Arial" w:eastAsia="Arial" w:hAnsi="Arial" w:cs="Arial"/>
          <w:sz w:val="26"/>
          <w:szCs w:val="26"/>
        </w:rPr>
      </w:pPr>
      <w:r>
        <w:rPr>
          <w:rFonts w:ascii="Arial" w:eastAsia="Arial" w:hAnsi="Arial" w:cs="Arial"/>
          <w:b/>
          <w:bCs/>
          <w:sz w:val="26"/>
          <w:szCs w:val="26"/>
        </w:rPr>
        <w:t>Resultados</w:t>
      </w:r>
    </w:p>
    <w:p w14:paraId="291735B1" w14:textId="3BB27C89" w:rsidR="005C78CB" w:rsidRDefault="00FA58DF" w:rsidP="00475B2B">
      <w:pPr>
        <w:spacing w:before="0" w:after="0" w:line="240" w:lineRule="auto"/>
        <w:rPr>
          <w:rFonts w:ascii="Arial" w:eastAsia="Arial" w:hAnsi="Arial" w:cs="Arial"/>
          <w:sz w:val="20"/>
          <w:szCs w:val="20"/>
        </w:rPr>
      </w:pPr>
      <w:r>
        <w:rPr>
          <w:rFonts w:ascii="Arial" w:eastAsia="Arial" w:hAnsi="Arial" w:cs="Arial"/>
          <w:sz w:val="20"/>
          <w:szCs w:val="20"/>
        </w:rPr>
        <w:t>Na safra em questão</w:t>
      </w:r>
      <w:r w:rsidR="00475B2B">
        <w:rPr>
          <w:rFonts w:ascii="Arial" w:eastAsia="Arial" w:hAnsi="Arial" w:cs="Arial"/>
          <w:sz w:val="20"/>
          <w:szCs w:val="20"/>
        </w:rPr>
        <w:t xml:space="preserve"> (Tabela 1)</w:t>
      </w:r>
      <w:r>
        <w:rPr>
          <w:rFonts w:ascii="Arial" w:eastAsia="Arial" w:hAnsi="Arial" w:cs="Arial"/>
          <w:sz w:val="20"/>
          <w:szCs w:val="20"/>
        </w:rPr>
        <w:t xml:space="preserve">, </w:t>
      </w:r>
      <w:r w:rsidR="00475B2B">
        <w:rPr>
          <w:rFonts w:ascii="Arial" w:eastAsia="Arial" w:hAnsi="Arial" w:cs="Arial"/>
          <w:sz w:val="20"/>
          <w:szCs w:val="20"/>
        </w:rPr>
        <w:t>quanto ao número de tubérculos n</w:t>
      </w:r>
      <w:r w:rsidR="00475B2B" w:rsidRPr="00475B2B">
        <w:rPr>
          <w:rFonts w:ascii="Arial" w:eastAsia="Arial" w:hAnsi="Arial" w:cs="Arial"/>
          <w:sz w:val="20"/>
          <w:szCs w:val="20"/>
        </w:rPr>
        <w:t xml:space="preserve">ão </w:t>
      </w:r>
      <w:r w:rsidR="00475B2B">
        <w:rPr>
          <w:rFonts w:ascii="Arial" w:eastAsia="Arial" w:hAnsi="Arial" w:cs="Arial"/>
          <w:sz w:val="20"/>
          <w:szCs w:val="20"/>
        </w:rPr>
        <w:t xml:space="preserve">ocorreram </w:t>
      </w:r>
      <w:r w:rsidR="00475B2B" w:rsidRPr="00475B2B">
        <w:rPr>
          <w:rFonts w:ascii="Arial" w:eastAsia="Arial" w:hAnsi="Arial" w:cs="Arial"/>
          <w:sz w:val="20"/>
          <w:szCs w:val="20"/>
        </w:rPr>
        <w:t>diferenças sign</w:t>
      </w:r>
      <w:r w:rsidR="00475B2B">
        <w:rPr>
          <w:rFonts w:ascii="Arial" w:eastAsia="Arial" w:hAnsi="Arial" w:cs="Arial"/>
          <w:sz w:val="20"/>
          <w:szCs w:val="20"/>
        </w:rPr>
        <w:t>i</w:t>
      </w:r>
      <w:r w:rsidR="00475B2B" w:rsidRPr="00475B2B">
        <w:rPr>
          <w:rFonts w:ascii="Arial" w:eastAsia="Arial" w:hAnsi="Arial" w:cs="Arial"/>
          <w:sz w:val="20"/>
          <w:szCs w:val="20"/>
        </w:rPr>
        <w:t>ficativas entre os tratamentos</w:t>
      </w:r>
      <w:r w:rsidR="00475B2B">
        <w:rPr>
          <w:rFonts w:ascii="Arial" w:eastAsia="Arial" w:hAnsi="Arial" w:cs="Arial"/>
          <w:sz w:val="20"/>
          <w:szCs w:val="20"/>
        </w:rPr>
        <w:t>, m</w:t>
      </w:r>
      <w:r w:rsidR="00475B2B" w:rsidRPr="00475B2B">
        <w:rPr>
          <w:rFonts w:ascii="Arial" w:eastAsia="Arial" w:hAnsi="Arial" w:cs="Arial"/>
          <w:sz w:val="20"/>
          <w:szCs w:val="20"/>
        </w:rPr>
        <w:t xml:space="preserve">as houve diferença significativa </w:t>
      </w:r>
      <w:r w:rsidR="00B839C2">
        <w:rPr>
          <w:rFonts w:ascii="Arial" w:eastAsia="Arial" w:hAnsi="Arial" w:cs="Arial"/>
          <w:sz w:val="20"/>
          <w:szCs w:val="20"/>
        </w:rPr>
        <w:t xml:space="preserve">(F = </w:t>
      </w:r>
      <w:r w:rsidR="00B839C2" w:rsidRPr="00F5151B">
        <w:rPr>
          <w:rFonts w:ascii="Arial" w:eastAsia="Times New Roman" w:hAnsi="Arial" w:cs="Arial"/>
          <w:color w:val="000000"/>
          <w:sz w:val="18"/>
          <w:szCs w:val="18"/>
        </w:rPr>
        <w:t>61,62</w:t>
      </w:r>
      <w:r w:rsidR="00B839C2">
        <w:rPr>
          <w:rFonts w:ascii="Arial" w:eastAsia="Times New Roman" w:hAnsi="Arial" w:cs="Arial"/>
          <w:color w:val="000000"/>
          <w:sz w:val="18"/>
          <w:szCs w:val="18"/>
        </w:rPr>
        <w:t xml:space="preserve">) </w:t>
      </w:r>
      <w:r w:rsidR="00475B2B" w:rsidRPr="00475B2B">
        <w:rPr>
          <w:rFonts w:ascii="Arial" w:eastAsia="Arial" w:hAnsi="Arial" w:cs="Arial"/>
          <w:sz w:val="20"/>
          <w:szCs w:val="20"/>
        </w:rPr>
        <w:t>na produtividade</w:t>
      </w:r>
      <w:r w:rsidR="00B839C2">
        <w:rPr>
          <w:rFonts w:ascii="Arial" w:eastAsia="Arial" w:hAnsi="Arial" w:cs="Arial"/>
          <w:sz w:val="20"/>
          <w:szCs w:val="20"/>
        </w:rPr>
        <w:t xml:space="preserve"> (massa)</w:t>
      </w:r>
      <w:r w:rsidR="00475B2B" w:rsidRPr="00475B2B">
        <w:rPr>
          <w:rFonts w:ascii="Arial" w:eastAsia="Arial" w:hAnsi="Arial" w:cs="Arial"/>
          <w:sz w:val="20"/>
          <w:szCs w:val="20"/>
        </w:rPr>
        <w:t xml:space="preserve"> das plantas cultivadas ao sol e no SAF, sendo a produtividade no SAF muito maior em relação ao cultivo a pleno sol (1439,18g</w:t>
      </w:r>
      <w:r w:rsidR="00475B2B">
        <w:rPr>
          <w:rFonts w:ascii="Arial" w:eastAsia="Arial" w:hAnsi="Arial" w:cs="Arial"/>
          <w:sz w:val="20"/>
          <w:szCs w:val="20"/>
        </w:rPr>
        <w:t xml:space="preserve"> planta</w:t>
      </w:r>
      <w:r w:rsidR="00475B2B" w:rsidRPr="00475B2B">
        <w:rPr>
          <w:rFonts w:ascii="Arial" w:eastAsia="Arial" w:hAnsi="Arial" w:cs="Arial"/>
          <w:sz w:val="20"/>
          <w:szCs w:val="20"/>
          <w:vertAlign w:val="superscript"/>
        </w:rPr>
        <w:t>-1</w:t>
      </w:r>
      <w:r w:rsidR="00475B2B" w:rsidRPr="00475B2B">
        <w:rPr>
          <w:rFonts w:ascii="Arial" w:eastAsia="Arial" w:hAnsi="Arial" w:cs="Arial"/>
          <w:sz w:val="20"/>
          <w:szCs w:val="20"/>
        </w:rPr>
        <w:t xml:space="preserve"> e 136,896g</w:t>
      </w:r>
      <w:r w:rsidR="00475B2B">
        <w:rPr>
          <w:rFonts w:ascii="Arial" w:eastAsia="Arial" w:hAnsi="Arial" w:cs="Arial"/>
          <w:sz w:val="20"/>
          <w:szCs w:val="20"/>
        </w:rPr>
        <w:t xml:space="preserve"> planta</w:t>
      </w:r>
      <w:r w:rsidR="00475B2B" w:rsidRPr="00475B2B">
        <w:rPr>
          <w:rFonts w:ascii="Arial" w:eastAsia="Arial" w:hAnsi="Arial" w:cs="Arial"/>
          <w:sz w:val="20"/>
          <w:szCs w:val="20"/>
          <w:vertAlign w:val="superscript"/>
        </w:rPr>
        <w:t>-1</w:t>
      </w:r>
      <w:r w:rsidR="00475B2B" w:rsidRPr="00475B2B">
        <w:rPr>
          <w:rFonts w:ascii="Arial" w:eastAsia="Arial" w:hAnsi="Arial" w:cs="Arial"/>
          <w:sz w:val="20"/>
          <w:szCs w:val="20"/>
        </w:rPr>
        <w:t>, respectivamente</w:t>
      </w:r>
      <w:r w:rsidR="00475B2B">
        <w:rPr>
          <w:rFonts w:ascii="Arial" w:eastAsia="Arial" w:hAnsi="Arial" w:cs="Arial"/>
          <w:sz w:val="20"/>
          <w:szCs w:val="20"/>
        </w:rPr>
        <w:t>).</w:t>
      </w:r>
    </w:p>
    <w:p w14:paraId="01899AFC" w14:textId="475A8336" w:rsidR="00945FA2" w:rsidRDefault="00D268B5" w:rsidP="00D268B5">
      <w:pPr>
        <w:spacing w:before="0" w:after="0" w:line="240" w:lineRule="auto"/>
        <w:rPr>
          <w:rFonts w:ascii="Arial" w:eastAsia="Arial" w:hAnsi="Arial" w:cs="Arial"/>
          <w:sz w:val="18"/>
          <w:szCs w:val="18"/>
        </w:rPr>
      </w:pPr>
      <w:r>
        <w:rPr>
          <w:rFonts w:ascii="Arial" w:eastAsia="Arial" w:hAnsi="Arial" w:cs="Arial"/>
          <w:sz w:val="18"/>
          <w:szCs w:val="18"/>
        </w:rPr>
        <w:lastRenderedPageBreak/>
        <w:t>Ou seja, no SAF, os tubérculos cresceram mais, acumulando mais massa, na safra em questão.</w:t>
      </w:r>
    </w:p>
    <w:p w14:paraId="260BB912" w14:textId="77777777" w:rsidR="00945FA2" w:rsidRDefault="00945FA2">
      <w:pPr>
        <w:spacing w:before="0" w:after="0" w:line="240" w:lineRule="auto"/>
        <w:jc w:val="center"/>
        <w:rPr>
          <w:rFonts w:ascii="Arial" w:eastAsia="Arial" w:hAnsi="Arial" w:cs="Arial"/>
          <w:sz w:val="18"/>
          <w:szCs w:val="18"/>
        </w:rPr>
      </w:pPr>
    </w:p>
    <w:p w14:paraId="4C8E1D5B" w14:textId="3D69FC95" w:rsidR="005C78CB" w:rsidRDefault="00865493">
      <w:pPr>
        <w:spacing w:before="0" w:after="0" w:line="240" w:lineRule="auto"/>
        <w:jc w:val="center"/>
        <w:rPr>
          <w:rFonts w:ascii="Arial" w:eastAsia="Arial" w:hAnsi="Arial" w:cs="Arial"/>
          <w:sz w:val="18"/>
          <w:szCs w:val="18"/>
        </w:rPr>
      </w:pPr>
      <w:r>
        <w:rPr>
          <w:rFonts w:ascii="Arial" w:eastAsia="Arial" w:hAnsi="Arial" w:cs="Arial"/>
          <w:sz w:val="18"/>
          <w:szCs w:val="18"/>
        </w:rPr>
        <w:t xml:space="preserve">Tabela 1: </w:t>
      </w:r>
      <w:r w:rsidR="00657EC2">
        <w:rPr>
          <w:rFonts w:ascii="Arial" w:eastAsia="Arial" w:hAnsi="Arial" w:cs="Arial"/>
          <w:sz w:val="18"/>
          <w:szCs w:val="18"/>
        </w:rPr>
        <w:t>Número e massa de tubérculos de 12 diferentes acessos de cará, sob pleno sol e SAF</w:t>
      </w:r>
    </w:p>
    <w:tbl>
      <w:tblPr>
        <w:tblW w:w="4300" w:type="dxa"/>
        <w:tblCellMar>
          <w:left w:w="70" w:type="dxa"/>
          <w:right w:w="70" w:type="dxa"/>
        </w:tblCellMar>
        <w:tblLook w:val="04A0" w:firstRow="1" w:lastRow="0" w:firstColumn="1" w:lastColumn="0" w:noHBand="0" w:noVBand="1"/>
      </w:tblPr>
      <w:tblGrid>
        <w:gridCol w:w="1260"/>
        <w:gridCol w:w="441"/>
        <w:gridCol w:w="757"/>
        <w:gridCol w:w="591"/>
        <w:gridCol w:w="757"/>
        <w:gridCol w:w="591"/>
      </w:tblGrid>
      <w:tr w:rsidR="00F5151B" w:rsidRPr="00F5151B" w14:paraId="2587A6AD" w14:textId="77777777" w:rsidTr="00F5151B">
        <w:trPr>
          <w:trHeight w:val="300"/>
        </w:trPr>
        <w:tc>
          <w:tcPr>
            <w:tcW w:w="1260" w:type="dxa"/>
            <w:tcBorders>
              <w:top w:val="nil"/>
              <w:left w:val="nil"/>
              <w:bottom w:val="nil"/>
              <w:right w:val="nil"/>
            </w:tcBorders>
            <w:noWrap/>
            <w:vAlign w:val="center"/>
            <w:hideMark/>
          </w:tcPr>
          <w:p w14:paraId="308F21EF" w14:textId="77777777" w:rsidR="00F5151B" w:rsidRPr="00F5151B" w:rsidRDefault="00F5151B" w:rsidP="00F5151B">
            <w:pPr>
              <w:spacing w:before="0" w:after="0" w:line="240" w:lineRule="auto"/>
              <w:jc w:val="center"/>
              <w:rPr>
                <w:rFonts w:ascii="Times New Roman" w:eastAsia="Times New Roman" w:hAnsi="Times New Roman" w:cs="Times New Roman"/>
                <w:sz w:val="24"/>
                <w:szCs w:val="24"/>
              </w:rPr>
            </w:pPr>
          </w:p>
        </w:tc>
        <w:tc>
          <w:tcPr>
            <w:tcW w:w="440" w:type="dxa"/>
            <w:tcBorders>
              <w:top w:val="nil"/>
              <w:left w:val="nil"/>
              <w:bottom w:val="nil"/>
              <w:right w:val="nil"/>
            </w:tcBorders>
            <w:noWrap/>
            <w:vAlign w:val="center"/>
            <w:hideMark/>
          </w:tcPr>
          <w:p w14:paraId="7E1597C6" w14:textId="77777777" w:rsidR="00F5151B" w:rsidRPr="00F5151B" w:rsidRDefault="00F5151B" w:rsidP="00F5151B">
            <w:pPr>
              <w:spacing w:before="0" w:after="0" w:line="240" w:lineRule="auto"/>
              <w:jc w:val="center"/>
              <w:rPr>
                <w:rFonts w:ascii="Times New Roman" w:eastAsia="Times New Roman" w:hAnsi="Times New Roman" w:cs="Times New Roman"/>
                <w:sz w:val="20"/>
                <w:szCs w:val="20"/>
              </w:rPr>
            </w:pPr>
          </w:p>
        </w:tc>
        <w:tc>
          <w:tcPr>
            <w:tcW w:w="1300" w:type="dxa"/>
            <w:gridSpan w:val="2"/>
            <w:tcBorders>
              <w:top w:val="nil"/>
              <w:left w:val="nil"/>
              <w:bottom w:val="single" w:sz="4" w:space="0" w:color="auto"/>
              <w:right w:val="nil"/>
            </w:tcBorders>
            <w:noWrap/>
            <w:vAlign w:val="center"/>
            <w:hideMark/>
          </w:tcPr>
          <w:p w14:paraId="1D6C91D9" w14:textId="30005A8B" w:rsidR="00F5151B" w:rsidRPr="00F5151B" w:rsidRDefault="00657EC2" w:rsidP="00F5151B">
            <w:pPr>
              <w:spacing w:before="0"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Número</w:t>
            </w:r>
          </w:p>
        </w:tc>
        <w:tc>
          <w:tcPr>
            <w:tcW w:w="1300" w:type="dxa"/>
            <w:gridSpan w:val="2"/>
            <w:tcBorders>
              <w:top w:val="nil"/>
              <w:left w:val="nil"/>
              <w:bottom w:val="single" w:sz="4" w:space="0" w:color="auto"/>
              <w:right w:val="nil"/>
            </w:tcBorders>
            <w:noWrap/>
            <w:vAlign w:val="center"/>
            <w:hideMark/>
          </w:tcPr>
          <w:p w14:paraId="692402AD"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Massa</w:t>
            </w:r>
          </w:p>
        </w:tc>
      </w:tr>
      <w:tr w:rsidR="00F5151B" w:rsidRPr="00F5151B" w14:paraId="6ECF83DB" w14:textId="77777777" w:rsidTr="00F5151B">
        <w:trPr>
          <w:trHeight w:val="300"/>
        </w:trPr>
        <w:tc>
          <w:tcPr>
            <w:tcW w:w="1260" w:type="dxa"/>
            <w:tcBorders>
              <w:top w:val="single" w:sz="4" w:space="0" w:color="auto"/>
              <w:left w:val="nil"/>
              <w:bottom w:val="single" w:sz="4" w:space="0" w:color="auto"/>
              <w:right w:val="nil"/>
            </w:tcBorders>
            <w:noWrap/>
            <w:vAlign w:val="center"/>
            <w:hideMark/>
          </w:tcPr>
          <w:p w14:paraId="6012100A"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Variação</w:t>
            </w:r>
          </w:p>
        </w:tc>
        <w:tc>
          <w:tcPr>
            <w:tcW w:w="440" w:type="dxa"/>
            <w:tcBorders>
              <w:top w:val="single" w:sz="4" w:space="0" w:color="auto"/>
              <w:left w:val="nil"/>
              <w:bottom w:val="single" w:sz="4" w:space="0" w:color="auto"/>
              <w:right w:val="nil"/>
            </w:tcBorders>
            <w:noWrap/>
            <w:vAlign w:val="center"/>
            <w:hideMark/>
          </w:tcPr>
          <w:p w14:paraId="2FFE3DA1"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GL</w:t>
            </w:r>
          </w:p>
        </w:tc>
        <w:tc>
          <w:tcPr>
            <w:tcW w:w="757" w:type="dxa"/>
            <w:tcBorders>
              <w:top w:val="nil"/>
              <w:left w:val="nil"/>
              <w:bottom w:val="single" w:sz="4" w:space="0" w:color="auto"/>
              <w:right w:val="nil"/>
            </w:tcBorders>
            <w:noWrap/>
            <w:vAlign w:val="center"/>
            <w:hideMark/>
          </w:tcPr>
          <w:p w14:paraId="478F15D7" w14:textId="16F9612F"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F</w:t>
            </w:r>
          </w:p>
        </w:tc>
        <w:tc>
          <w:tcPr>
            <w:tcW w:w="543" w:type="dxa"/>
            <w:tcBorders>
              <w:top w:val="nil"/>
              <w:left w:val="nil"/>
              <w:bottom w:val="single" w:sz="4" w:space="0" w:color="auto"/>
              <w:right w:val="nil"/>
            </w:tcBorders>
            <w:noWrap/>
            <w:vAlign w:val="center"/>
            <w:hideMark/>
          </w:tcPr>
          <w:p w14:paraId="5745B677" w14:textId="2BFCE630" w:rsidR="00F5151B" w:rsidRPr="00F5151B" w:rsidRDefault="00B839C2"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P</w:t>
            </w:r>
          </w:p>
        </w:tc>
        <w:tc>
          <w:tcPr>
            <w:tcW w:w="757" w:type="dxa"/>
            <w:tcBorders>
              <w:top w:val="nil"/>
              <w:left w:val="nil"/>
              <w:bottom w:val="single" w:sz="4" w:space="0" w:color="auto"/>
              <w:right w:val="nil"/>
            </w:tcBorders>
            <w:noWrap/>
            <w:vAlign w:val="center"/>
            <w:hideMark/>
          </w:tcPr>
          <w:p w14:paraId="2875D982" w14:textId="781217DF"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F</w:t>
            </w:r>
          </w:p>
        </w:tc>
        <w:tc>
          <w:tcPr>
            <w:tcW w:w="543" w:type="dxa"/>
            <w:tcBorders>
              <w:top w:val="nil"/>
              <w:left w:val="nil"/>
              <w:bottom w:val="single" w:sz="4" w:space="0" w:color="auto"/>
              <w:right w:val="nil"/>
            </w:tcBorders>
            <w:noWrap/>
            <w:vAlign w:val="center"/>
            <w:hideMark/>
          </w:tcPr>
          <w:p w14:paraId="4C2627BE" w14:textId="1C4A3E14" w:rsidR="00F5151B" w:rsidRPr="00F5151B" w:rsidRDefault="00945FA2"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P</w:t>
            </w:r>
          </w:p>
        </w:tc>
      </w:tr>
      <w:tr w:rsidR="00F5151B" w:rsidRPr="00F5151B" w14:paraId="51FF4332" w14:textId="77777777" w:rsidTr="00F5151B">
        <w:trPr>
          <w:trHeight w:val="300"/>
        </w:trPr>
        <w:tc>
          <w:tcPr>
            <w:tcW w:w="1260" w:type="dxa"/>
            <w:tcBorders>
              <w:top w:val="nil"/>
              <w:left w:val="nil"/>
              <w:bottom w:val="nil"/>
              <w:right w:val="nil"/>
            </w:tcBorders>
            <w:noWrap/>
            <w:vAlign w:val="center"/>
            <w:hideMark/>
          </w:tcPr>
          <w:p w14:paraId="2A024E9D"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Blocos</w:t>
            </w:r>
          </w:p>
        </w:tc>
        <w:tc>
          <w:tcPr>
            <w:tcW w:w="440" w:type="dxa"/>
            <w:tcBorders>
              <w:top w:val="nil"/>
              <w:left w:val="nil"/>
              <w:bottom w:val="nil"/>
              <w:right w:val="nil"/>
            </w:tcBorders>
            <w:noWrap/>
            <w:vAlign w:val="center"/>
            <w:hideMark/>
          </w:tcPr>
          <w:p w14:paraId="358E9FCC"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3</w:t>
            </w:r>
          </w:p>
        </w:tc>
        <w:tc>
          <w:tcPr>
            <w:tcW w:w="757" w:type="dxa"/>
            <w:tcBorders>
              <w:top w:val="nil"/>
              <w:left w:val="nil"/>
              <w:bottom w:val="nil"/>
              <w:right w:val="nil"/>
            </w:tcBorders>
            <w:noWrap/>
            <w:vAlign w:val="center"/>
            <w:hideMark/>
          </w:tcPr>
          <w:p w14:paraId="3B9528E1" w14:textId="02828BAE"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0,89ns</w:t>
            </w:r>
          </w:p>
        </w:tc>
        <w:tc>
          <w:tcPr>
            <w:tcW w:w="543" w:type="dxa"/>
            <w:tcBorders>
              <w:top w:val="nil"/>
              <w:left w:val="nil"/>
              <w:bottom w:val="nil"/>
              <w:right w:val="nil"/>
            </w:tcBorders>
            <w:noWrap/>
            <w:vAlign w:val="center"/>
            <w:hideMark/>
          </w:tcPr>
          <w:p w14:paraId="644E1C6C"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0,538</w:t>
            </w:r>
          </w:p>
        </w:tc>
        <w:tc>
          <w:tcPr>
            <w:tcW w:w="757" w:type="dxa"/>
            <w:tcBorders>
              <w:top w:val="nil"/>
              <w:left w:val="nil"/>
              <w:bottom w:val="nil"/>
              <w:right w:val="nil"/>
            </w:tcBorders>
            <w:noWrap/>
            <w:vAlign w:val="center"/>
            <w:hideMark/>
          </w:tcPr>
          <w:p w14:paraId="23A54F86" w14:textId="692AB102"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0,79ns</w:t>
            </w:r>
          </w:p>
        </w:tc>
        <w:tc>
          <w:tcPr>
            <w:tcW w:w="543" w:type="dxa"/>
            <w:tcBorders>
              <w:top w:val="nil"/>
              <w:left w:val="nil"/>
              <w:bottom w:val="nil"/>
              <w:right w:val="nil"/>
            </w:tcBorders>
            <w:noWrap/>
            <w:vAlign w:val="center"/>
            <w:hideMark/>
          </w:tcPr>
          <w:p w14:paraId="17E89DED"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0,573</w:t>
            </w:r>
          </w:p>
        </w:tc>
      </w:tr>
      <w:tr w:rsidR="00F5151B" w:rsidRPr="00F5151B" w14:paraId="4CFF4E8E" w14:textId="77777777" w:rsidTr="00F5151B">
        <w:trPr>
          <w:trHeight w:val="300"/>
        </w:trPr>
        <w:tc>
          <w:tcPr>
            <w:tcW w:w="1260" w:type="dxa"/>
            <w:tcBorders>
              <w:top w:val="nil"/>
              <w:left w:val="nil"/>
              <w:bottom w:val="nil"/>
              <w:right w:val="nil"/>
            </w:tcBorders>
            <w:noWrap/>
            <w:vAlign w:val="center"/>
            <w:hideMark/>
          </w:tcPr>
          <w:p w14:paraId="48C1B48C"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Ambiente (Am)</w:t>
            </w:r>
          </w:p>
        </w:tc>
        <w:tc>
          <w:tcPr>
            <w:tcW w:w="440" w:type="dxa"/>
            <w:tcBorders>
              <w:top w:val="nil"/>
              <w:left w:val="nil"/>
              <w:bottom w:val="nil"/>
              <w:right w:val="nil"/>
            </w:tcBorders>
            <w:noWrap/>
            <w:vAlign w:val="center"/>
            <w:hideMark/>
          </w:tcPr>
          <w:p w14:paraId="4A384177"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1</w:t>
            </w:r>
          </w:p>
        </w:tc>
        <w:tc>
          <w:tcPr>
            <w:tcW w:w="757" w:type="dxa"/>
            <w:tcBorders>
              <w:top w:val="nil"/>
              <w:left w:val="nil"/>
              <w:bottom w:val="nil"/>
              <w:right w:val="nil"/>
            </w:tcBorders>
            <w:noWrap/>
            <w:vAlign w:val="center"/>
            <w:hideMark/>
          </w:tcPr>
          <w:p w14:paraId="6B344D91" w14:textId="0960F3A1"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6,45ns</w:t>
            </w:r>
          </w:p>
        </w:tc>
        <w:tc>
          <w:tcPr>
            <w:tcW w:w="543" w:type="dxa"/>
            <w:tcBorders>
              <w:top w:val="nil"/>
              <w:left w:val="nil"/>
              <w:bottom w:val="nil"/>
              <w:right w:val="nil"/>
            </w:tcBorders>
            <w:noWrap/>
            <w:vAlign w:val="center"/>
            <w:hideMark/>
          </w:tcPr>
          <w:p w14:paraId="50909DA0"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0,085</w:t>
            </w:r>
          </w:p>
        </w:tc>
        <w:tc>
          <w:tcPr>
            <w:tcW w:w="757" w:type="dxa"/>
            <w:tcBorders>
              <w:top w:val="nil"/>
              <w:left w:val="nil"/>
              <w:bottom w:val="nil"/>
              <w:right w:val="nil"/>
            </w:tcBorders>
            <w:noWrap/>
            <w:vAlign w:val="center"/>
            <w:hideMark/>
          </w:tcPr>
          <w:p w14:paraId="56FBD6F8"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61,62**</w:t>
            </w:r>
          </w:p>
        </w:tc>
        <w:tc>
          <w:tcPr>
            <w:tcW w:w="543" w:type="dxa"/>
            <w:tcBorders>
              <w:top w:val="nil"/>
              <w:left w:val="nil"/>
              <w:bottom w:val="nil"/>
              <w:right w:val="nil"/>
            </w:tcBorders>
            <w:noWrap/>
            <w:vAlign w:val="center"/>
            <w:hideMark/>
          </w:tcPr>
          <w:p w14:paraId="1672CBC0"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0,004</w:t>
            </w:r>
          </w:p>
        </w:tc>
      </w:tr>
      <w:tr w:rsidR="00F5151B" w:rsidRPr="00F5151B" w14:paraId="3B1CB27D" w14:textId="77777777" w:rsidTr="00F5151B">
        <w:trPr>
          <w:trHeight w:val="300"/>
        </w:trPr>
        <w:tc>
          <w:tcPr>
            <w:tcW w:w="1260" w:type="dxa"/>
            <w:tcBorders>
              <w:top w:val="nil"/>
              <w:left w:val="nil"/>
              <w:bottom w:val="nil"/>
              <w:right w:val="nil"/>
            </w:tcBorders>
            <w:noWrap/>
            <w:vAlign w:val="center"/>
            <w:hideMark/>
          </w:tcPr>
          <w:p w14:paraId="79757433"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proofErr w:type="spellStart"/>
            <w:r w:rsidRPr="00F5151B">
              <w:rPr>
                <w:rFonts w:ascii="Arial" w:eastAsia="Times New Roman" w:hAnsi="Arial" w:cs="Arial"/>
                <w:color w:val="000000"/>
                <w:sz w:val="18"/>
                <w:szCs w:val="18"/>
              </w:rPr>
              <w:t>Residuo</w:t>
            </w:r>
            <w:proofErr w:type="spellEnd"/>
            <w:r w:rsidRPr="00F5151B">
              <w:rPr>
                <w:rFonts w:ascii="Arial" w:eastAsia="Times New Roman" w:hAnsi="Arial" w:cs="Arial"/>
                <w:color w:val="000000"/>
                <w:sz w:val="18"/>
                <w:szCs w:val="18"/>
              </w:rPr>
              <w:t xml:space="preserve"> (a)</w:t>
            </w:r>
          </w:p>
        </w:tc>
        <w:tc>
          <w:tcPr>
            <w:tcW w:w="440" w:type="dxa"/>
            <w:tcBorders>
              <w:top w:val="nil"/>
              <w:left w:val="nil"/>
              <w:bottom w:val="nil"/>
              <w:right w:val="nil"/>
            </w:tcBorders>
            <w:noWrap/>
            <w:vAlign w:val="center"/>
            <w:hideMark/>
          </w:tcPr>
          <w:p w14:paraId="29F7C7D5"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3</w:t>
            </w:r>
          </w:p>
        </w:tc>
        <w:tc>
          <w:tcPr>
            <w:tcW w:w="757" w:type="dxa"/>
            <w:tcBorders>
              <w:top w:val="nil"/>
              <w:left w:val="nil"/>
              <w:bottom w:val="nil"/>
              <w:right w:val="nil"/>
            </w:tcBorders>
            <w:noWrap/>
            <w:vAlign w:val="center"/>
            <w:hideMark/>
          </w:tcPr>
          <w:p w14:paraId="21BA013C" w14:textId="0AF2BA01"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w:t>
            </w:r>
          </w:p>
        </w:tc>
        <w:tc>
          <w:tcPr>
            <w:tcW w:w="543" w:type="dxa"/>
            <w:tcBorders>
              <w:top w:val="nil"/>
              <w:left w:val="nil"/>
              <w:bottom w:val="nil"/>
              <w:right w:val="nil"/>
            </w:tcBorders>
            <w:noWrap/>
            <w:vAlign w:val="center"/>
            <w:hideMark/>
          </w:tcPr>
          <w:p w14:paraId="77CE1FE1"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757" w:type="dxa"/>
            <w:tcBorders>
              <w:top w:val="nil"/>
              <w:left w:val="nil"/>
              <w:bottom w:val="nil"/>
              <w:right w:val="nil"/>
            </w:tcBorders>
            <w:noWrap/>
            <w:vAlign w:val="center"/>
            <w:hideMark/>
          </w:tcPr>
          <w:p w14:paraId="39A9E6B6" w14:textId="68922D2C"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w:t>
            </w:r>
          </w:p>
        </w:tc>
        <w:tc>
          <w:tcPr>
            <w:tcW w:w="543" w:type="dxa"/>
            <w:tcBorders>
              <w:top w:val="nil"/>
              <w:left w:val="nil"/>
              <w:bottom w:val="nil"/>
              <w:right w:val="nil"/>
            </w:tcBorders>
            <w:noWrap/>
            <w:vAlign w:val="center"/>
            <w:hideMark/>
          </w:tcPr>
          <w:p w14:paraId="4604A437"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p>
        </w:tc>
      </w:tr>
      <w:tr w:rsidR="00F5151B" w:rsidRPr="00F5151B" w14:paraId="2FC331F1" w14:textId="77777777" w:rsidTr="00F5151B">
        <w:trPr>
          <w:trHeight w:val="300"/>
        </w:trPr>
        <w:tc>
          <w:tcPr>
            <w:tcW w:w="1260" w:type="dxa"/>
            <w:tcBorders>
              <w:top w:val="single" w:sz="4" w:space="0" w:color="auto"/>
              <w:left w:val="nil"/>
              <w:bottom w:val="single" w:sz="4" w:space="0" w:color="auto"/>
              <w:right w:val="nil"/>
            </w:tcBorders>
            <w:noWrap/>
            <w:vAlign w:val="center"/>
            <w:hideMark/>
          </w:tcPr>
          <w:p w14:paraId="56F83D73" w14:textId="4ADBE366"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(Parcelas)</w:t>
            </w:r>
          </w:p>
        </w:tc>
        <w:tc>
          <w:tcPr>
            <w:tcW w:w="440" w:type="dxa"/>
            <w:tcBorders>
              <w:top w:val="single" w:sz="4" w:space="0" w:color="auto"/>
              <w:left w:val="nil"/>
              <w:bottom w:val="single" w:sz="4" w:space="0" w:color="auto"/>
              <w:right w:val="nil"/>
            </w:tcBorders>
            <w:noWrap/>
            <w:vAlign w:val="center"/>
            <w:hideMark/>
          </w:tcPr>
          <w:p w14:paraId="0C5A4F07"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7</w:t>
            </w:r>
          </w:p>
        </w:tc>
        <w:tc>
          <w:tcPr>
            <w:tcW w:w="757" w:type="dxa"/>
            <w:tcBorders>
              <w:top w:val="single" w:sz="4" w:space="0" w:color="auto"/>
              <w:left w:val="nil"/>
              <w:bottom w:val="single" w:sz="4" w:space="0" w:color="auto"/>
              <w:right w:val="nil"/>
            </w:tcBorders>
            <w:noWrap/>
            <w:vAlign w:val="center"/>
            <w:hideMark/>
          </w:tcPr>
          <w:p w14:paraId="7F9688BF" w14:textId="70AFA7E7"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543" w:type="dxa"/>
            <w:tcBorders>
              <w:top w:val="single" w:sz="4" w:space="0" w:color="auto"/>
              <w:left w:val="nil"/>
              <w:bottom w:val="single" w:sz="4" w:space="0" w:color="auto"/>
              <w:right w:val="nil"/>
            </w:tcBorders>
            <w:noWrap/>
            <w:vAlign w:val="center"/>
            <w:hideMark/>
          </w:tcPr>
          <w:p w14:paraId="4D08F2FC" w14:textId="1DC93FAF"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757" w:type="dxa"/>
            <w:tcBorders>
              <w:top w:val="single" w:sz="4" w:space="0" w:color="auto"/>
              <w:left w:val="nil"/>
              <w:bottom w:val="single" w:sz="4" w:space="0" w:color="auto"/>
              <w:right w:val="nil"/>
            </w:tcBorders>
            <w:noWrap/>
            <w:vAlign w:val="center"/>
            <w:hideMark/>
          </w:tcPr>
          <w:p w14:paraId="6B5E8117" w14:textId="4C9CCC4E"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543" w:type="dxa"/>
            <w:tcBorders>
              <w:top w:val="single" w:sz="4" w:space="0" w:color="auto"/>
              <w:left w:val="nil"/>
              <w:bottom w:val="single" w:sz="4" w:space="0" w:color="auto"/>
              <w:right w:val="nil"/>
            </w:tcBorders>
            <w:noWrap/>
            <w:vAlign w:val="center"/>
            <w:hideMark/>
          </w:tcPr>
          <w:p w14:paraId="238B3D81" w14:textId="36569ADD" w:rsidR="00F5151B" w:rsidRPr="00F5151B" w:rsidRDefault="00F5151B" w:rsidP="00F5151B">
            <w:pPr>
              <w:spacing w:before="0" w:after="0" w:line="240" w:lineRule="auto"/>
              <w:jc w:val="center"/>
              <w:rPr>
                <w:rFonts w:ascii="Arial" w:eastAsia="Times New Roman" w:hAnsi="Arial" w:cs="Arial"/>
                <w:color w:val="000000"/>
                <w:sz w:val="18"/>
                <w:szCs w:val="18"/>
              </w:rPr>
            </w:pPr>
          </w:p>
        </w:tc>
      </w:tr>
      <w:tr w:rsidR="00F5151B" w:rsidRPr="00F5151B" w14:paraId="7ACB514B" w14:textId="77777777" w:rsidTr="00F5151B">
        <w:trPr>
          <w:trHeight w:val="300"/>
        </w:trPr>
        <w:tc>
          <w:tcPr>
            <w:tcW w:w="1260" w:type="dxa"/>
            <w:tcBorders>
              <w:top w:val="nil"/>
              <w:left w:val="nil"/>
              <w:bottom w:val="nil"/>
              <w:right w:val="nil"/>
            </w:tcBorders>
            <w:noWrap/>
            <w:vAlign w:val="center"/>
            <w:hideMark/>
          </w:tcPr>
          <w:p w14:paraId="6E5FA73D"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Acessos (Ac)</w:t>
            </w:r>
          </w:p>
        </w:tc>
        <w:tc>
          <w:tcPr>
            <w:tcW w:w="440" w:type="dxa"/>
            <w:tcBorders>
              <w:top w:val="nil"/>
              <w:left w:val="nil"/>
              <w:bottom w:val="nil"/>
              <w:right w:val="nil"/>
            </w:tcBorders>
            <w:noWrap/>
            <w:vAlign w:val="center"/>
            <w:hideMark/>
          </w:tcPr>
          <w:p w14:paraId="669FD44E"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11</w:t>
            </w:r>
          </w:p>
        </w:tc>
        <w:tc>
          <w:tcPr>
            <w:tcW w:w="757" w:type="dxa"/>
            <w:tcBorders>
              <w:top w:val="nil"/>
              <w:left w:val="nil"/>
              <w:bottom w:val="nil"/>
              <w:right w:val="nil"/>
            </w:tcBorders>
            <w:noWrap/>
            <w:vAlign w:val="center"/>
            <w:hideMark/>
          </w:tcPr>
          <w:p w14:paraId="1CA0AC00" w14:textId="337FD18C"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1,81ns</w:t>
            </w:r>
          </w:p>
        </w:tc>
        <w:tc>
          <w:tcPr>
            <w:tcW w:w="543" w:type="dxa"/>
            <w:tcBorders>
              <w:top w:val="nil"/>
              <w:left w:val="nil"/>
              <w:bottom w:val="nil"/>
              <w:right w:val="nil"/>
            </w:tcBorders>
            <w:noWrap/>
            <w:vAlign w:val="center"/>
            <w:hideMark/>
          </w:tcPr>
          <w:p w14:paraId="5AF3328C"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0,069</w:t>
            </w:r>
          </w:p>
        </w:tc>
        <w:tc>
          <w:tcPr>
            <w:tcW w:w="757" w:type="dxa"/>
            <w:tcBorders>
              <w:top w:val="nil"/>
              <w:left w:val="nil"/>
              <w:bottom w:val="nil"/>
              <w:right w:val="nil"/>
            </w:tcBorders>
            <w:noWrap/>
            <w:vAlign w:val="center"/>
            <w:hideMark/>
          </w:tcPr>
          <w:p w14:paraId="3EE707B1" w14:textId="4996C9B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3,32**</w:t>
            </w:r>
          </w:p>
        </w:tc>
        <w:tc>
          <w:tcPr>
            <w:tcW w:w="543" w:type="dxa"/>
            <w:tcBorders>
              <w:top w:val="nil"/>
              <w:left w:val="nil"/>
              <w:bottom w:val="nil"/>
              <w:right w:val="nil"/>
            </w:tcBorders>
            <w:noWrap/>
            <w:vAlign w:val="center"/>
            <w:hideMark/>
          </w:tcPr>
          <w:p w14:paraId="401EDB2E"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0,001</w:t>
            </w:r>
          </w:p>
        </w:tc>
      </w:tr>
      <w:tr w:rsidR="00F5151B" w:rsidRPr="00F5151B" w14:paraId="34B4739C" w14:textId="77777777" w:rsidTr="00F5151B">
        <w:trPr>
          <w:trHeight w:val="300"/>
        </w:trPr>
        <w:tc>
          <w:tcPr>
            <w:tcW w:w="1260" w:type="dxa"/>
            <w:tcBorders>
              <w:top w:val="nil"/>
              <w:left w:val="nil"/>
              <w:bottom w:val="nil"/>
              <w:right w:val="nil"/>
            </w:tcBorders>
            <w:noWrap/>
            <w:vAlign w:val="center"/>
            <w:hideMark/>
          </w:tcPr>
          <w:p w14:paraId="64FAA56D"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Am x Ac</w:t>
            </w:r>
          </w:p>
        </w:tc>
        <w:tc>
          <w:tcPr>
            <w:tcW w:w="440" w:type="dxa"/>
            <w:tcBorders>
              <w:top w:val="nil"/>
              <w:left w:val="nil"/>
              <w:bottom w:val="nil"/>
              <w:right w:val="nil"/>
            </w:tcBorders>
            <w:noWrap/>
            <w:vAlign w:val="center"/>
            <w:hideMark/>
          </w:tcPr>
          <w:p w14:paraId="7EA9381C"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11</w:t>
            </w:r>
          </w:p>
        </w:tc>
        <w:tc>
          <w:tcPr>
            <w:tcW w:w="757" w:type="dxa"/>
            <w:tcBorders>
              <w:top w:val="nil"/>
              <w:left w:val="nil"/>
              <w:bottom w:val="nil"/>
              <w:right w:val="nil"/>
            </w:tcBorders>
            <w:noWrap/>
            <w:vAlign w:val="center"/>
            <w:hideMark/>
          </w:tcPr>
          <w:p w14:paraId="3CDA917E" w14:textId="38C553DD"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1,17ns</w:t>
            </w:r>
          </w:p>
        </w:tc>
        <w:tc>
          <w:tcPr>
            <w:tcW w:w="543" w:type="dxa"/>
            <w:tcBorders>
              <w:top w:val="nil"/>
              <w:left w:val="nil"/>
              <w:bottom w:val="nil"/>
              <w:right w:val="nil"/>
            </w:tcBorders>
            <w:noWrap/>
            <w:vAlign w:val="center"/>
            <w:hideMark/>
          </w:tcPr>
          <w:p w14:paraId="280C6A6A"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0,322</w:t>
            </w:r>
          </w:p>
        </w:tc>
        <w:tc>
          <w:tcPr>
            <w:tcW w:w="757" w:type="dxa"/>
            <w:tcBorders>
              <w:top w:val="nil"/>
              <w:left w:val="nil"/>
              <w:bottom w:val="nil"/>
              <w:right w:val="nil"/>
            </w:tcBorders>
            <w:noWrap/>
            <w:vAlign w:val="center"/>
            <w:hideMark/>
          </w:tcPr>
          <w:p w14:paraId="7F5B1D9A" w14:textId="052F0BB9"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1,72ns</w:t>
            </w:r>
          </w:p>
        </w:tc>
        <w:tc>
          <w:tcPr>
            <w:tcW w:w="543" w:type="dxa"/>
            <w:tcBorders>
              <w:top w:val="nil"/>
              <w:left w:val="nil"/>
              <w:bottom w:val="nil"/>
              <w:right w:val="nil"/>
            </w:tcBorders>
            <w:noWrap/>
            <w:vAlign w:val="center"/>
            <w:hideMark/>
          </w:tcPr>
          <w:p w14:paraId="658B8684"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0,087</w:t>
            </w:r>
          </w:p>
        </w:tc>
      </w:tr>
      <w:tr w:rsidR="00F5151B" w:rsidRPr="00F5151B" w14:paraId="611F3F4D" w14:textId="77777777" w:rsidTr="00F5151B">
        <w:trPr>
          <w:trHeight w:val="300"/>
        </w:trPr>
        <w:tc>
          <w:tcPr>
            <w:tcW w:w="1260" w:type="dxa"/>
            <w:tcBorders>
              <w:top w:val="nil"/>
              <w:left w:val="nil"/>
              <w:bottom w:val="nil"/>
              <w:right w:val="nil"/>
            </w:tcBorders>
            <w:noWrap/>
            <w:vAlign w:val="center"/>
            <w:hideMark/>
          </w:tcPr>
          <w:p w14:paraId="09C3F29B"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proofErr w:type="spellStart"/>
            <w:r w:rsidRPr="00F5151B">
              <w:rPr>
                <w:rFonts w:ascii="Arial" w:eastAsia="Times New Roman" w:hAnsi="Arial" w:cs="Arial"/>
                <w:color w:val="000000"/>
                <w:sz w:val="18"/>
                <w:szCs w:val="18"/>
              </w:rPr>
              <w:t>Residuo</w:t>
            </w:r>
            <w:proofErr w:type="spellEnd"/>
            <w:r w:rsidRPr="00F5151B">
              <w:rPr>
                <w:rFonts w:ascii="Arial" w:eastAsia="Times New Roman" w:hAnsi="Arial" w:cs="Arial"/>
                <w:color w:val="000000"/>
                <w:sz w:val="18"/>
                <w:szCs w:val="18"/>
              </w:rPr>
              <w:t xml:space="preserve"> (b)</w:t>
            </w:r>
          </w:p>
        </w:tc>
        <w:tc>
          <w:tcPr>
            <w:tcW w:w="440" w:type="dxa"/>
            <w:tcBorders>
              <w:top w:val="nil"/>
              <w:left w:val="nil"/>
              <w:bottom w:val="nil"/>
              <w:right w:val="nil"/>
            </w:tcBorders>
            <w:noWrap/>
            <w:vAlign w:val="center"/>
            <w:hideMark/>
          </w:tcPr>
          <w:p w14:paraId="3D3EC9FF"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66</w:t>
            </w:r>
          </w:p>
        </w:tc>
        <w:tc>
          <w:tcPr>
            <w:tcW w:w="757" w:type="dxa"/>
            <w:tcBorders>
              <w:top w:val="nil"/>
              <w:left w:val="nil"/>
              <w:bottom w:val="nil"/>
              <w:right w:val="nil"/>
            </w:tcBorders>
            <w:noWrap/>
            <w:vAlign w:val="center"/>
            <w:hideMark/>
          </w:tcPr>
          <w:p w14:paraId="2CD8237D" w14:textId="79717B50"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w:t>
            </w:r>
          </w:p>
        </w:tc>
        <w:tc>
          <w:tcPr>
            <w:tcW w:w="543" w:type="dxa"/>
            <w:tcBorders>
              <w:top w:val="nil"/>
              <w:left w:val="nil"/>
              <w:bottom w:val="nil"/>
              <w:right w:val="nil"/>
            </w:tcBorders>
            <w:noWrap/>
            <w:vAlign w:val="center"/>
            <w:hideMark/>
          </w:tcPr>
          <w:p w14:paraId="7AD642CE"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757" w:type="dxa"/>
            <w:tcBorders>
              <w:top w:val="nil"/>
              <w:left w:val="nil"/>
              <w:bottom w:val="nil"/>
              <w:right w:val="nil"/>
            </w:tcBorders>
            <w:noWrap/>
            <w:vAlign w:val="center"/>
            <w:hideMark/>
          </w:tcPr>
          <w:p w14:paraId="08CDD538" w14:textId="109E7313"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w:t>
            </w:r>
          </w:p>
        </w:tc>
        <w:tc>
          <w:tcPr>
            <w:tcW w:w="543" w:type="dxa"/>
            <w:tcBorders>
              <w:top w:val="nil"/>
              <w:left w:val="nil"/>
              <w:bottom w:val="nil"/>
              <w:right w:val="nil"/>
            </w:tcBorders>
            <w:noWrap/>
            <w:vAlign w:val="center"/>
            <w:hideMark/>
          </w:tcPr>
          <w:p w14:paraId="5B798CE6"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p>
        </w:tc>
      </w:tr>
      <w:tr w:rsidR="00F5151B" w:rsidRPr="00F5151B" w14:paraId="63A6622E" w14:textId="77777777" w:rsidTr="00F5151B">
        <w:trPr>
          <w:trHeight w:val="300"/>
        </w:trPr>
        <w:tc>
          <w:tcPr>
            <w:tcW w:w="1260" w:type="dxa"/>
            <w:tcBorders>
              <w:top w:val="single" w:sz="4" w:space="0" w:color="auto"/>
              <w:left w:val="nil"/>
              <w:bottom w:val="single" w:sz="4" w:space="0" w:color="auto"/>
              <w:right w:val="nil"/>
            </w:tcBorders>
            <w:noWrap/>
            <w:vAlign w:val="center"/>
            <w:hideMark/>
          </w:tcPr>
          <w:p w14:paraId="06CC4E75"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Total</w:t>
            </w:r>
          </w:p>
        </w:tc>
        <w:tc>
          <w:tcPr>
            <w:tcW w:w="440" w:type="dxa"/>
            <w:tcBorders>
              <w:top w:val="single" w:sz="4" w:space="0" w:color="auto"/>
              <w:left w:val="nil"/>
              <w:bottom w:val="single" w:sz="4" w:space="0" w:color="auto"/>
              <w:right w:val="nil"/>
            </w:tcBorders>
            <w:noWrap/>
            <w:vAlign w:val="center"/>
            <w:hideMark/>
          </w:tcPr>
          <w:p w14:paraId="66EA9E0B"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95</w:t>
            </w:r>
          </w:p>
        </w:tc>
        <w:tc>
          <w:tcPr>
            <w:tcW w:w="757" w:type="dxa"/>
            <w:tcBorders>
              <w:top w:val="single" w:sz="4" w:space="0" w:color="auto"/>
              <w:left w:val="nil"/>
              <w:bottom w:val="single" w:sz="4" w:space="0" w:color="auto"/>
              <w:right w:val="nil"/>
            </w:tcBorders>
            <w:noWrap/>
            <w:vAlign w:val="center"/>
            <w:hideMark/>
          </w:tcPr>
          <w:p w14:paraId="51BDE709" w14:textId="29B14884"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543" w:type="dxa"/>
            <w:tcBorders>
              <w:top w:val="single" w:sz="4" w:space="0" w:color="auto"/>
              <w:left w:val="nil"/>
              <w:bottom w:val="single" w:sz="4" w:space="0" w:color="auto"/>
              <w:right w:val="nil"/>
            </w:tcBorders>
            <w:noWrap/>
            <w:vAlign w:val="center"/>
            <w:hideMark/>
          </w:tcPr>
          <w:p w14:paraId="7D551257" w14:textId="1137B4AA"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757" w:type="dxa"/>
            <w:tcBorders>
              <w:top w:val="single" w:sz="4" w:space="0" w:color="auto"/>
              <w:left w:val="nil"/>
              <w:bottom w:val="single" w:sz="4" w:space="0" w:color="auto"/>
              <w:right w:val="nil"/>
            </w:tcBorders>
            <w:noWrap/>
            <w:vAlign w:val="center"/>
            <w:hideMark/>
          </w:tcPr>
          <w:p w14:paraId="43AD9E26" w14:textId="211AA6E4"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543" w:type="dxa"/>
            <w:tcBorders>
              <w:top w:val="single" w:sz="4" w:space="0" w:color="auto"/>
              <w:left w:val="nil"/>
              <w:bottom w:val="single" w:sz="4" w:space="0" w:color="auto"/>
              <w:right w:val="nil"/>
            </w:tcBorders>
            <w:noWrap/>
            <w:vAlign w:val="center"/>
            <w:hideMark/>
          </w:tcPr>
          <w:p w14:paraId="7698EC19" w14:textId="16813719" w:rsidR="00F5151B" w:rsidRPr="00F5151B" w:rsidRDefault="00F5151B" w:rsidP="00F5151B">
            <w:pPr>
              <w:spacing w:before="0" w:after="0" w:line="240" w:lineRule="auto"/>
              <w:jc w:val="center"/>
              <w:rPr>
                <w:rFonts w:ascii="Arial" w:eastAsia="Times New Roman" w:hAnsi="Arial" w:cs="Arial"/>
                <w:color w:val="000000"/>
                <w:sz w:val="18"/>
                <w:szCs w:val="18"/>
              </w:rPr>
            </w:pPr>
          </w:p>
        </w:tc>
      </w:tr>
      <w:tr w:rsidR="00F5151B" w:rsidRPr="00F5151B" w14:paraId="3CE29F51" w14:textId="77777777" w:rsidTr="00F5151B">
        <w:trPr>
          <w:trHeight w:val="300"/>
        </w:trPr>
        <w:tc>
          <w:tcPr>
            <w:tcW w:w="1260" w:type="dxa"/>
            <w:tcBorders>
              <w:top w:val="nil"/>
              <w:left w:val="nil"/>
              <w:bottom w:val="single" w:sz="4" w:space="0" w:color="auto"/>
              <w:right w:val="nil"/>
            </w:tcBorders>
            <w:noWrap/>
            <w:vAlign w:val="center"/>
            <w:hideMark/>
          </w:tcPr>
          <w:p w14:paraId="01117C85"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CV (%) Am</w:t>
            </w:r>
          </w:p>
        </w:tc>
        <w:tc>
          <w:tcPr>
            <w:tcW w:w="440" w:type="dxa"/>
            <w:tcBorders>
              <w:top w:val="nil"/>
              <w:left w:val="nil"/>
              <w:bottom w:val="nil"/>
              <w:right w:val="nil"/>
            </w:tcBorders>
            <w:noWrap/>
            <w:vAlign w:val="center"/>
            <w:hideMark/>
          </w:tcPr>
          <w:p w14:paraId="16E2ACD2"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103</w:t>
            </w:r>
          </w:p>
        </w:tc>
        <w:tc>
          <w:tcPr>
            <w:tcW w:w="757" w:type="dxa"/>
            <w:tcBorders>
              <w:top w:val="nil"/>
              <w:left w:val="nil"/>
              <w:bottom w:val="nil"/>
              <w:right w:val="nil"/>
            </w:tcBorders>
            <w:noWrap/>
            <w:vAlign w:val="center"/>
            <w:hideMark/>
          </w:tcPr>
          <w:p w14:paraId="110CB81B" w14:textId="762B6B62"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543" w:type="dxa"/>
            <w:tcBorders>
              <w:top w:val="nil"/>
              <w:left w:val="nil"/>
              <w:bottom w:val="nil"/>
              <w:right w:val="nil"/>
            </w:tcBorders>
            <w:noWrap/>
            <w:vAlign w:val="center"/>
            <w:hideMark/>
          </w:tcPr>
          <w:p w14:paraId="2FFF8B2F" w14:textId="7AC37C5E"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757" w:type="dxa"/>
            <w:tcBorders>
              <w:top w:val="nil"/>
              <w:left w:val="nil"/>
              <w:bottom w:val="nil"/>
              <w:right w:val="nil"/>
            </w:tcBorders>
            <w:noWrap/>
            <w:vAlign w:val="center"/>
            <w:hideMark/>
          </w:tcPr>
          <w:p w14:paraId="798B6213" w14:textId="38872666"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543" w:type="dxa"/>
            <w:tcBorders>
              <w:top w:val="nil"/>
              <w:left w:val="nil"/>
              <w:bottom w:val="nil"/>
              <w:right w:val="nil"/>
            </w:tcBorders>
            <w:noWrap/>
            <w:vAlign w:val="center"/>
            <w:hideMark/>
          </w:tcPr>
          <w:p w14:paraId="733E6CD8" w14:textId="33D8E176" w:rsidR="00F5151B" w:rsidRPr="00F5151B" w:rsidRDefault="00F5151B" w:rsidP="00F5151B">
            <w:pPr>
              <w:spacing w:before="0" w:after="0" w:line="240" w:lineRule="auto"/>
              <w:jc w:val="center"/>
              <w:rPr>
                <w:rFonts w:ascii="Arial" w:eastAsia="Times New Roman" w:hAnsi="Arial" w:cs="Arial"/>
                <w:color w:val="000000"/>
                <w:sz w:val="18"/>
                <w:szCs w:val="18"/>
              </w:rPr>
            </w:pPr>
          </w:p>
        </w:tc>
      </w:tr>
      <w:tr w:rsidR="00F5151B" w:rsidRPr="00F5151B" w14:paraId="512572C6" w14:textId="77777777" w:rsidTr="00F5151B">
        <w:trPr>
          <w:trHeight w:val="300"/>
        </w:trPr>
        <w:tc>
          <w:tcPr>
            <w:tcW w:w="1260" w:type="dxa"/>
            <w:tcBorders>
              <w:top w:val="nil"/>
              <w:left w:val="nil"/>
              <w:bottom w:val="single" w:sz="4" w:space="0" w:color="auto"/>
              <w:right w:val="nil"/>
            </w:tcBorders>
            <w:noWrap/>
            <w:vAlign w:val="center"/>
            <w:hideMark/>
          </w:tcPr>
          <w:p w14:paraId="5D06C236"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CV (%) Ac</w:t>
            </w:r>
          </w:p>
        </w:tc>
        <w:tc>
          <w:tcPr>
            <w:tcW w:w="440" w:type="dxa"/>
            <w:tcBorders>
              <w:top w:val="single" w:sz="4" w:space="0" w:color="auto"/>
              <w:left w:val="nil"/>
              <w:bottom w:val="single" w:sz="4" w:space="0" w:color="auto"/>
              <w:right w:val="nil"/>
            </w:tcBorders>
            <w:vAlign w:val="center"/>
            <w:hideMark/>
          </w:tcPr>
          <w:p w14:paraId="67557F03" w14:textId="77777777" w:rsidR="00F5151B" w:rsidRPr="00F5151B" w:rsidRDefault="00F5151B" w:rsidP="00F5151B">
            <w:pPr>
              <w:spacing w:before="0" w:after="0" w:line="240" w:lineRule="auto"/>
              <w:jc w:val="center"/>
              <w:rPr>
                <w:rFonts w:ascii="Arial" w:eastAsia="Times New Roman" w:hAnsi="Arial" w:cs="Arial"/>
                <w:color w:val="000000"/>
                <w:sz w:val="18"/>
                <w:szCs w:val="18"/>
              </w:rPr>
            </w:pPr>
            <w:r w:rsidRPr="00F5151B">
              <w:rPr>
                <w:rFonts w:ascii="Arial" w:eastAsia="Times New Roman" w:hAnsi="Arial" w:cs="Arial"/>
                <w:color w:val="000000"/>
                <w:sz w:val="18"/>
                <w:szCs w:val="18"/>
              </w:rPr>
              <w:t>194</w:t>
            </w:r>
          </w:p>
        </w:tc>
        <w:tc>
          <w:tcPr>
            <w:tcW w:w="757" w:type="dxa"/>
            <w:tcBorders>
              <w:top w:val="single" w:sz="4" w:space="0" w:color="auto"/>
              <w:left w:val="nil"/>
              <w:bottom w:val="single" w:sz="4" w:space="0" w:color="auto"/>
              <w:right w:val="nil"/>
            </w:tcBorders>
            <w:noWrap/>
            <w:vAlign w:val="center"/>
            <w:hideMark/>
          </w:tcPr>
          <w:p w14:paraId="55F6776C" w14:textId="224E2D82"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543" w:type="dxa"/>
            <w:tcBorders>
              <w:top w:val="single" w:sz="4" w:space="0" w:color="auto"/>
              <w:left w:val="nil"/>
              <w:bottom w:val="single" w:sz="4" w:space="0" w:color="auto"/>
              <w:right w:val="nil"/>
            </w:tcBorders>
            <w:noWrap/>
            <w:vAlign w:val="center"/>
            <w:hideMark/>
          </w:tcPr>
          <w:p w14:paraId="6B504233" w14:textId="2C348C33"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757" w:type="dxa"/>
            <w:tcBorders>
              <w:top w:val="single" w:sz="4" w:space="0" w:color="auto"/>
              <w:left w:val="nil"/>
              <w:bottom w:val="single" w:sz="4" w:space="0" w:color="auto"/>
              <w:right w:val="nil"/>
            </w:tcBorders>
            <w:noWrap/>
            <w:vAlign w:val="center"/>
            <w:hideMark/>
          </w:tcPr>
          <w:p w14:paraId="010881D0" w14:textId="76F34E4D" w:rsidR="00F5151B" w:rsidRPr="00F5151B" w:rsidRDefault="00F5151B" w:rsidP="00F5151B">
            <w:pPr>
              <w:spacing w:before="0" w:after="0" w:line="240" w:lineRule="auto"/>
              <w:jc w:val="center"/>
              <w:rPr>
                <w:rFonts w:ascii="Arial" w:eastAsia="Times New Roman" w:hAnsi="Arial" w:cs="Arial"/>
                <w:color w:val="000000"/>
                <w:sz w:val="18"/>
                <w:szCs w:val="18"/>
              </w:rPr>
            </w:pPr>
          </w:p>
        </w:tc>
        <w:tc>
          <w:tcPr>
            <w:tcW w:w="543" w:type="dxa"/>
            <w:tcBorders>
              <w:top w:val="single" w:sz="4" w:space="0" w:color="auto"/>
              <w:left w:val="nil"/>
              <w:bottom w:val="single" w:sz="4" w:space="0" w:color="auto"/>
              <w:right w:val="nil"/>
            </w:tcBorders>
            <w:noWrap/>
            <w:vAlign w:val="center"/>
            <w:hideMark/>
          </w:tcPr>
          <w:p w14:paraId="3E68AF9A" w14:textId="6F0FCEA4" w:rsidR="00F5151B" w:rsidRPr="00F5151B" w:rsidRDefault="00F5151B" w:rsidP="00F5151B">
            <w:pPr>
              <w:spacing w:before="0" w:after="0" w:line="240" w:lineRule="auto"/>
              <w:jc w:val="center"/>
              <w:rPr>
                <w:rFonts w:ascii="Arial" w:eastAsia="Times New Roman" w:hAnsi="Arial" w:cs="Arial"/>
                <w:color w:val="000000"/>
                <w:sz w:val="18"/>
                <w:szCs w:val="18"/>
              </w:rPr>
            </w:pPr>
          </w:p>
        </w:tc>
      </w:tr>
    </w:tbl>
    <w:p w14:paraId="5F585035" w14:textId="77777777" w:rsidR="00865493" w:rsidRDefault="00865493" w:rsidP="00B839C2">
      <w:pPr>
        <w:spacing w:before="0" w:after="0" w:line="240" w:lineRule="auto"/>
        <w:rPr>
          <w:rFonts w:ascii="Arial" w:eastAsia="Arial" w:hAnsi="Arial" w:cs="Arial"/>
          <w:sz w:val="18"/>
          <w:szCs w:val="18"/>
        </w:rPr>
      </w:pPr>
    </w:p>
    <w:p w14:paraId="2D3FC924" w14:textId="77777777" w:rsidR="00D32AF7" w:rsidRDefault="00D32AF7" w:rsidP="00945FA2">
      <w:pPr>
        <w:spacing w:before="0" w:after="0" w:line="240" w:lineRule="auto"/>
        <w:jc w:val="center"/>
        <w:rPr>
          <w:rFonts w:ascii="Arial" w:eastAsia="Arial" w:hAnsi="Arial" w:cs="Arial"/>
          <w:sz w:val="18"/>
          <w:szCs w:val="18"/>
        </w:rPr>
      </w:pPr>
    </w:p>
    <w:p w14:paraId="6F0C4137" w14:textId="75DC6AAE" w:rsidR="00D32AF7" w:rsidRDefault="00D32AF7" w:rsidP="00D32AF7">
      <w:pPr>
        <w:spacing w:before="0" w:after="0" w:line="240" w:lineRule="auto"/>
        <w:jc w:val="center"/>
        <w:rPr>
          <w:rFonts w:ascii="Arial" w:eastAsia="Arial" w:hAnsi="Arial" w:cs="Arial"/>
          <w:sz w:val="18"/>
          <w:szCs w:val="18"/>
        </w:rPr>
      </w:pPr>
      <w:r>
        <w:rPr>
          <w:rFonts w:ascii="Arial" w:eastAsia="Arial" w:hAnsi="Arial" w:cs="Arial"/>
          <w:sz w:val="18"/>
          <w:szCs w:val="18"/>
        </w:rPr>
        <w:t>Tabela 2: Massa de tubérculos de 12 diferentes acessos de cará</w:t>
      </w:r>
    </w:p>
    <w:tbl>
      <w:tblPr>
        <w:tblW w:w="3680" w:type="dxa"/>
        <w:tblCellMar>
          <w:left w:w="70" w:type="dxa"/>
          <w:right w:w="70" w:type="dxa"/>
        </w:tblCellMar>
        <w:tblLook w:val="04A0" w:firstRow="1" w:lastRow="0" w:firstColumn="1" w:lastColumn="0" w:noHBand="0" w:noVBand="1"/>
      </w:tblPr>
      <w:tblGrid>
        <w:gridCol w:w="1960"/>
        <w:gridCol w:w="1720"/>
      </w:tblGrid>
      <w:tr w:rsidR="00D32AF7" w:rsidRPr="00D32AF7" w14:paraId="2062742D" w14:textId="77777777" w:rsidTr="00D32AF7">
        <w:trPr>
          <w:trHeight w:val="300"/>
        </w:trPr>
        <w:tc>
          <w:tcPr>
            <w:tcW w:w="1960" w:type="dxa"/>
            <w:tcBorders>
              <w:top w:val="single" w:sz="4" w:space="0" w:color="auto"/>
              <w:left w:val="nil"/>
              <w:bottom w:val="single" w:sz="4" w:space="0" w:color="auto"/>
              <w:right w:val="nil"/>
            </w:tcBorders>
            <w:noWrap/>
            <w:vAlign w:val="bottom"/>
            <w:hideMark/>
          </w:tcPr>
          <w:p w14:paraId="6749EA17"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Acesso</w:t>
            </w:r>
          </w:p>
        </w:tc>
        <w:tc>
          <w:tcPr>
            <w:tcW w:w="1720" w:type="dxa"/>
            <w:tcBorders>
              <w:top w:val="single" w:sz="4" w:space="0" w:color="auto"/>
              <w:left w:val="nil"/>
              <w:bottom w:val="single" w:sz="4" w:space="0" w:color="auto"/>
              <w:right w:val="nil"/>
            </w:tcBorders>
            <w:noWrap/>
            <w:vAlign w:val="bottom"/>
            <w:hideMark/>
          </w:tcPr>
          <w:p w14:paraId="19A66AF8"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Massa total de </w:t>
            </w:r>
            <w:proofErr w:type="spellStart"/>
            <w:r w:rsidRPr="00D32AF7">
              <w:rPr>
                <w:rFonts w:ascii="Arial" w:eastAsia="Times New Roman" w:hAnsi="Arial" w:cs="Arial"/>
                <w:color w:val="000000"/>
                <w:sz w:val="18"/>
                <w:szCs w:val="18"/>
              </w:rPr>
              <w:t>tuberas</w:t>
            </w:r>
            <w:proofErr w:type="spellEnd"/>
            <w:r w:rsidRPr="00D32AF7">
              <w:rPr>
                <w:rFonts w:ascii="Arial" w:eastAsia="Times New Roman" w:hAnsi="Arial" w:cs="Arial"/>
                <w:color w:val="000000"/>
                <w:sz w:val="18"/>
                <w:szCs w:val="18"/>
              </w:rPr>
              <w:t xml:space="preserve"> (kg)</w:t>
            </w:r>
          </w:p>
        </w:tc>
      </w:tr>
      <w:tr w:rsidR="00D32AF7" w:rsidRPr="00D32AF7" w14:paraId="7B135136" w14:textId="77777777" w:rsidTr="00D32AF7">
        <w:trPr>
          <w:trHeight w:val="300"/>
        </w:trPr>
        <w:tc>
          <w:tcPr>
            <w:tcW w:w="1960" w:type="dxa"/>
            <w:tcBorders>
              <w:top w:val="nil"/>
              <w:left w:val="nil"/>
              <w:bottom w:val="nil"/>
              <w:right w:val="nil"/>
            </w:tcBorders>
            <w:noWrap/>
            <w:vAlign w:val="bottom"/>
            <w:hideMark/>
          </w:tcPr>
          <w:p w14:paraId="7C0FB225"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SRT111</w:t>
            </w:r>
          </w:p>
        </w:tc>
        <w:tc>
          <w:tcPr>
            <w:tcW w:w="1720" w:type="dxa"/>
            <w:tcBorders>
              <w:top w:val="nil"/>
              <w:left w:val="nil"/>
              <w:bottom w:val="nil"/>
              <w:right w:val="nil"/>
            </w:tcBorders>
            <w:noWrap/>
            <w:vAlign w:val="bottom"/>
            <w:hideMark/>
          </w:tcPr>
          <w:p w14:paraId="01322071"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3,594a </w:t>
            </w:r>
          </w:p>
        </w:tc>
      </w:tr>
      <w:tr w:rsidR="00D32AF7" w:rsidRPr="00D32AF7" w14:paraId="7AF4140F" w14:textId="77777777" w:rsidTr="00D32AF7">
        <w:trPr>
          <w:trHeight w:val="300"/>
        </w:trPr>
        <w:tc>
          <w:tcPr>
            <w:tcW w:w="1960" w:type="dxa"/>
            <w:tcBorders>
              <w:top w:val="nil"/>
              <w:left w:val="nil"/>
              <w:bottom w:val="nil"/>
              <w:right w:val="nil"/>
            </w:tcBorders>
            <w:noWrap/>
            <w:vAlign w:val="bottom"/>
            <w:hideMark/>
          </w:tcPr>
          <w:p w14:paraId="2F1F6D5F"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Bodoquena</w:t>
            </w:r>
          </w:p>
        </w:tc>
        <w:tc>
          <w:tcPr>
            <w:tcW w:w="1720" w:type="dxa"/>
            <w:tcBorders>
              <w:top w:val="nil"/>
              <w:left w:val="nil"/>
              <w:bottom w:val="nil"/>
              <w:right w:val="nil"/>
            </w:tcBorders>
            <w:noWrap/>
            <w:vAlign w:val="bottom"/>
            <w:hideMark/>
          </w:tcPr>
          <w:p w14:paraId="63B391FA"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1,325b </w:t>
            </w:r>
          </w:p>
        </w:tc>
      </w:tr>
      <w:tr w:rsidR="00D32AF7" w:rsidRPr="00D32AF7" w14:paraId="338CC467" w14:textId="77777777" w:rsidTr="00D32AF7">
        <w:trPr>
          <w:trHeight w:val="300"/>
        </w:trPr>
        <w:tc>
          <w:tcPr>
            <w:tcW w:w="1960" w:type="dxa"/>
            <w:tcBorders>
              <w:top w:val="nil"/>
              <w:left w:val="nil"/>
              <w:bottom w:val="nil"/>
              <w:right w:val="nil"/>
            </w:tcBorders>
            <w:noWrap/>
            <w:vAlign w:val="bottom"/>
            <w:hideMark/>
          </w:tcPr>
          <w:p w14:paraId="00B28767"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SRT108</w:t>
            </w:r>
          </w:p>
        </w:tc>
        <w:tc>
          <w:tcPr>
            <w:tcW w:w="1720" w:type="dxa"/>
            <w:tcBorders>
              <w:top w:val="nil"/>
              <w:left w:val="nil"/>
              <w:bottom w:val="nil"/>
              <w:right w:val="nil"/>
            </w:tcBorders>
            <w:noWrap/>
            <w:vAlign w:val="bottom"/>
            <w:hideMark/>
          </w:tcPr>
          <w:p w14:paraId="5C0128F2"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1,266b </w:t>
            </w:r>
          </w:p>
        </w:tc>
      </w:tr>
      <w:tr w:rsidR="00D32AF7" w:rsidRPr="00D32AF7" w14:paraId="107FAC93" w14:textId="77777777" w:rsidTr="00D32AF7">
        <w:trPr>
          <w:trHeight w:val="300"/>
        </w:trPr>
        <w:tc>
          <w:tcPr>
            <w:tcW w:w="1960" w:type="dxa"/>
            <w:tcBorders>
              <w:top w:val="nil"/>
              <w:left w:val="nil"/>
              <w:bottom w:val="nil"/>
              <w:right w:val="nil"/>
            </w:tcBorders>
            <w:noWrap/>
            <w:vAlign w:val="bottom"/>
            <w:hideMark/>
          </w:tcPr>
          <w:p w14:paraId="3A57655B"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SRT207</w:t>
            </w:r>
          </w:p>
        </w:tc>
        <w:tc>
          <w:tcPr>
            <w:tcW w:w="1720" w:type="dxa"/>
            <w:tcBorders>
              <w:top w:val="nil"/>
              <w:left w:val="nil"/>
              <w:bottom w:val="nil"/>
              <w:right w:val="nil"/>
            </w:tcBorders>
            <w:noWrap/>
            <w:vAlign w:val="bottom"/>
            <w:hideMark/>
          </w:tcPr>
          <w:p w14:paraId="45D827E7"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0,783b </w:t>
            </w:r>
          </w:p>
        </w:tc>
      </w:tr>
      <w:tr w:rsidR="00D32AF7" w:rsidRPr="00D32AF7" w14:paraId="4DC603F3" w14:textId="77777777" w:rsidTr="00D32AF7">
        <w:trPr>
          <w:trHeight w:val="300"/>
        </w:trPr>
        <w:tc>
          <w:tcPr>
            <w:tcW w:w="1960" w:type="dxa"/>
            <w:tcBorders>
              <w:top w:val="nil"/>
              <w:left w:val="nil"/>
              <w:bottom w:val="nil"/>
              <w:right w:val="nil"/>
            </w:tcBorders>
            <w:noWrap/>
            <w:vAlign w:val="bottom"/>
            <w:hideMark/>
          </w:tcPr>
          <w:p w14:paraId="0D0C4D36"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SRT97</w:t>
            </w:r>
          </w:p>
        </w:tc>
        <w:tc>
          <w:tcPr>
            <w:tcW w:w="1720" w:type="dxa"/>
            <w:tcBorders>
              <w:top w:val="nil"/>
              <w:left w:val="nil"/>
              <w:bottom w:val="nil"/>
              <w:right w:val="nil"/>
            </w:tcBorders>
            <w:noWrap/>
            <w:vAlign w:val="bottom"/>
            <w:hideMark/>
          </w:tcPr>
          <w:p w14:paraId="2BFAC0DF"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0,696b </w:t>
            </w:r>
          </w:p>
        </w:tc>
      </w:tr>
      <w:tr w:rsidR="00D32AF7" w:rsidRPr="00D32AF7" w14:paraId="1EEFE16D" w14:textId="77777777" w:rsidTr="00D32AF7">
        <w:trPr>
          <w:trHeight w:val="300"/>
        </w:trPr>
        <w:tc>
          <w:tcPr>
            <w:tcW w:w="1960" w:type="dxa"/>
            <w:tcBorders>
              <w:top w:val="nil"/>
              <w:left w:val="nil"/>
              <w:bottom w:val="nil"/>
              <w:right w:val="nil"/>
            </w:tcBorders>
            <w:noWrap/>
            <w:vAlign w:val="bottom"/>
            <w:hideMark/>
          </w:tcPr>
          <w:p w14:paraId="4092726B"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SRT78</w:t>
            </w:r>
          </w:p>
        </w:tc>
        <w:tc>
          <w:tcPr>
            <w:tcW w:w="1720" w:type="dxa"/>
            <w:tcBorders>
              <w:top w:val="nil"/>
              <w:left w:val="nil"/>
              <w:bottom w:val="nil"/>
              <w:right w:val="nil"/>
            </w:tcBorders>
            <w:noWrap/>
            <w:vAlign w:val="bottom"/>
            <w:hideMark/>
          </w:tcPr>
          <w:p w14:paraId="4D3C5759"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0,596b </w:t>
            </w:r>
          </w:p>
        </w:tc>
      </w:tr>
      <w:tr w:rsidR="00D32AF7" w:rsidRPr="00D32AF7" w14:paraId="20639FD5" w14:textId="77777777" w:rsidTr="00D32AF7">
        <w:trPr>
          <w:trHeight w:val="300"/>
        </w:trPr>
        <w:tc>
          <w:tcPr>
            <w:tcW w:w="1960" w:type="dxa"/>
            <w:tcBorders>
              <w:top w:val="nil"/>
              <w:left w:val="nil"/>
              <w:bottom w:val="nil"/>
              <w:right w:val="nil"/>
            </w:tcBorders>
            <w:noWrap/>
            <w:vAlign w:val="bottom"/>
            <w:hideMark/>
          </w:tcPr>
          <w:p w14:paraId="73A7E23E"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SRT112</w:t>
            </w:r>
          </w:p>
        </w:tc>
        <w:tc>
          <w:tcPr>
            <w:tcW w:w="1720" w:type="dxa"/>
            <w:tcBorders>
              <w:top w:val="nil"/>
              <w:left w:val="nil"/>
              <w:bottom w:val="nil"/>
              <w:right w:val="nil"/>
            </w:tcBorders>
            <w:noWrap/>
            <w:vAlign w:val="bottom"/>
            <w:hideMark/>
          </w:tcPr>
          <w:p w14:paraId="0A9F67F4"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0,534b </w:t>
            </w:r>
          </w:p>
        </w:tc>
      </w:tr>
      <w:tr w:rsidR="00D32AF7" w:rsidRPr="00D32AF7" w14:paraId="75D92DD2" w14:textId="77777777" w:rsidTr="00D32AF7">
        <w:trPr>
          <w:trHeight w:val="300"/>
        </w:trPr>
        <w:tc>
          <w:tcPr>
            <w:tcW w:w="1960" w:type="dxa"/>
            <w:tcBorders>
              <w:top w:val="nil"/>
              <w:left w:val="nil"/>
              <w:bottom w:val="nil"/>
              <w:right w:val="nil"/>
            </w:tcBorders>
            <w:noWrap/>
            <w:vAlign w:val="bottom"/>
            <w:hideMark/>
          </w:tcPr>
          <w:p w14:paraId="28F77DF4"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SRT116</w:t>
            </w:r>
          </w:p>
        </w:tc>
        <w:tc>
          <w:tcPr>
            <w:tcW w:w="1720" w:type="dxa"/>
            <w:tcBorders>
              <w:top w:val="nil"/>
              <w:left w:val="nil"/>
              <w:bottom w:val="nil"/>
              <w:right w:val="nil"/>
            </w:tcBorders>
            <w:noWrap/>
            <w:vAlign w:val="bottom"/>
            <w:hideMark/>
          </w:tcPr>
          <w:p w14:paraId="39A7CFBC"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0,219b </w:t>
            </w:r>
          </w:p>
        </w:tc>
      </w:tr>
      <w:tr w:rsidR="00D32AF7" w:rsidRPr="00D32AF7" w14:paraId="21E7428A" w14:textId="77777777" w:rsidTr="00D32AF7">
        <w:trPr>
          <w:trHeight w:val="300"/>
        </w:trPr>
        <w:tc>
          <w:tcPr>
            <w:tcW w:w="1960" w:type="dxa"/>
            <w:tcBorders>
              <w:top w:val="nil"/>
              <w:left w:val="nil"/>
              <w:bottom w:val="nil"/>
              <w:right w:val="nil"/>
            </w:tcBorders>
            <w:noWrap/>
            <w:vAlign w:val="bottom"/>
            <w:hideMark/>
          </w:tcPr>
          <w:p w14:paraId="27BFB8EB"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SRT24</w:t>
            </w:r>
          </w:p>
        </w:tc>
        <w:tc>
          <w:tcPr>
            <w:tcW w:w="1720" w:type="dxa"/>
            <w:tcBorders>
              <w:top w:val="nil"/>
              <w:left w:val="nil"/>
              <w:bottom w:val="nil"/>
              <w:right w:val="nil"/>
            </w:tcBorders>
            <w:noWrap/>
            <w:vAlign w:val="bottom"/>
            <w:hideMark/>
          </w:tcPr>
          <w:p w14:paraId="0125CAF1"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0,213b </w:t>
            </w:r>
          </w:p>
        </w:tc>
      </w:tr>
      <w:tr w:rsidR="00D32AF7" w:rsidRPr="00D32AF7" w14:paraId="2EC1C8D2" w14:textId="77777777" w:rsidTr="00D32AF7">
        <w:trPr>
          <w:trHeight w:val="300"/>
        </w:trPr>
        <w:tc>
          <w:tcPr>
            <w:tcW w:w="1960" w:type="dxa"/>
            <w:tcBorders>
              <w:top w:val="nil"/>
              <w:left w:val="nil"/>
              <w:bottom w:val="nil"/>
              <w:right w:val="nil"/>
            </w:tcBorders>
            <w:noWrap/>
            <w:vAlign w:val="bottom"/>
            <w:hideMark/>
          </w:tcPr>
          <w:p w14:paraId="3FF06A72"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SRT75</w:t>
            </w:r>
          </w:p>
        </w:tc>
        <w:tc>
          <w:tcPr>
            <w:tcW w:w="1720" w:type="dxa"/>
            <w:tcBorders>
              <w:top w:val="nil"/>
              <w:left w:val="nil"/>
              <w:bottom w:val="nil"/>
              <w:right w:val="nil"/>
            </w:tcBorders>
            <w:noWrap/>
            <w:vAlign w:val="bottom"/>
            <w:hideMark/>
          </w:tcPr>
          <w:p w14:paraId="0530733E"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0,128b </w:t>
            </w:r>
          </w:p>
        </w:tc>
      </w:tr>
      <w:tr w:rsidR="00D32AF7" w:rsidRPr="00D32AF7" w14:paraId="29120EF1" w14:textId="77777777" w:rsidTr="00D32AF7">
        <w:trPr>
          <w:trHeight w:val="300"/>
        </w:trPr>
        <w:tc>
          <w:tcPr>
            <w:tcW w:w="1960" w:type="dxa"/>
            <w:tcBorders>
              <w:top w:val="nil"/>
              <w:left w:val="nil"/>
              <w:bottom w:val="nil"/>
              <w:right w:val="nil"/>
            </w:tcBorders>
            <w:noWrap/>
            <w:vAlign w:val="bottom"/>
            <w:hideMark/>
          </w:tcPr>
          <w:p w14:paraId="5B41FC13"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Da Costa Paulista</w:t>
            </w:r>
          </w:p>
        </w:tc>
        <w:tc>
          <w:tcPr>
            <w:tcW w:w="1720" w:type="dxa"/>
            <w:tcBorders>
              <w:top w:val="nil"/>
              <w:left w:val="nil"/>
              <w:bottom w:val="nil"/>
              <w:right w:val="nil"/>
            </w:tcBorders>
            <w:noWrap/>
            <w:vAlign w:val="bottom"/>
            <w:hideMark/>
          </w:tcPr>
          <w:p w14:paraId="0D70524D"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0,054b </w:t>
            </w:r>
          </w:p>
        </w:tc>
      </w:tr>
      <w:tr w:rsidR="00D32AF7" w:rsidRPr="00D32AF7" w14:paraId="0AF18D20" w14:textId="77777777" w:rsidTr="00D32AF7">
        <w:trPr>
          <w:trHeight w:val="300"/>
        </w:trPr>
        <w:tc>
          <w:tcPr>
            <w:tcW w:w="1960" w:type="dxa"/>
            <w:tcBorders>
              <w:top w:val="nil"/>
              <w:left w:val="nil"/>
              <w:bottom w:val="single" w:sz="4" w:space="0" w:color="auto"/>
              <w:right w:val="nil"/>
            </w:tcBorders>
            <w:noWrap/>
            <w:vAlign w:val="bottom"/>
            <w:hideMark/>
          </w:tcPr>
          <w:p w14:paraId="34D40B85"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SRT66</w:t>
            </w:r>
          </w:p>
        </w:tc>
        <w:tc>
          <w:tcPr>
            <w:tcW w:w="1720" w:type="dxa"/>
            <w:tcBorders>
              <w:top w:val="nil"/>
              <w:left w:val="nil"/>
              <w:bottom w:val="single" w:sz="4" w:space="0" w:color="auto"/>
              <w:right w:val="nil"/>
            </w:tcBorders>
            <w:noWrap/>
            <w:vAlign w:val="bottom"/>
            <w:hideMark/>
          </w:tcPr>
          <w:p w14:paraId="45CAAA3C" w14:textId="77777777" w:rsidR="00D32AF7" w:rsidRPr="00D32AF7" w:rsidRDefault="00D32AF7" w:rsidP="00D32AF7">
            <w:pPr>
              <w:spacing w:before="0" w:after="0" w:line="240" w:lineRule="auto"/>
              <w:jc w:val="left"/>
              <w:rPr>
                <w:rFonts w:ascii="Arial" w:eastAsia="Times New Roman" w:hAnsi="Arial" w:cs="Arial"/>
                <w:color w:val="000000"/>
                <w:sz w:val="18"/>
                <w:szCs w:val="18"/>
              </w:rPr>
            </w:pPr>
            <w:r w:rsidRPr="00D32AF7">
              <w:rPr>
                <w:rFonts w:ascii="Arial" w:eastAsia="Times New Roman" w:hAnsi="Arial" w:cs="Arial"/>
                <w:color w:val="000000"/>
                <w:sz w:val="18"/>
                <w:szCs w:val="18"/>
              </w:rPr>
              <w:t xml:space="preserve"> 0,049b </w:t>
            </w:r>
          </w:p>
        </w:tc>
      </w:tr>
    </w:tbl>
    <w:p w14:paraId="675D5663" w14:textId="77777777" w:rsidR="00A1571E" w:rsidRDefault="00A1571E" w:rsidP="00D268B5">
      <w:pPr>
        <w:spacing w:before="0" w:after="0" w:line="240" w:lineRule="auto"/>
        <w:rPr>
          <w:rFonts w:ascii="Arial" w:eastAsia="Arial" w:hAnsi="Arial" w:cs="Arial"/>
          <w:sz w:val="18"/>
          <w:szCs w:val="18"/>
        </w:rPr>
      </w:pPr>
    </w:p>
    <w:p w14:paraId="02C7FDFE" w14:textId="77777777" w:rsidR="00A1571E" w:rsidRDefault="00A1571E" w:rsidP="00A1571E">
      <w:pPr>
        <w:spacing w:before="0" w:after="0" w:line="240" w:lineRule="auto"/>
        <w:rPr>
          <w:rFonts w:ascii="Arial" w:eastAsia="Arial" w:hAnsi="Arial" w:cs="Arial"/>
          <w:sz w:val="20"/>
          <w:szCs w:val="20"/>
        </w:rPr>
      </w:pPr>
      <w:r>
        <w:rPr>
          <w:rFonts w:ascii="Arial" w:eastAsia="Arial" w:hAnsi="Arial" w:cs="Arial"/>
          <w:sz w:val="20"/>
          <w:szCs w:val="20"/>
        </w:rPr>
        <w:t xml:space="preserve">Adicionalmente, houve diferença significativa entre os acessos (F = </w:t>
      </w:r>
      <w:r w:rsidRPr="00F5151B">
        <w:rPr>
          <w:rFonts w:ascii="Arial" w:eastAsia="Times New Roman" w:hAnsi="Arial" w:cs="Arial"/>
          <w:color w:val="000000"/>
          <w:sz w:val="18"/>
          <w:szCs w:val="18"/>
        </w:rPr>
        <w:t>3,32</w:t>
      </w:r>
      <w:r>
        <w:rPr>
          <w:rFonts w:ascii="Arial" w:eastAsia="Times New Roman" w:hAnsi="Arial" w:cs="Arial"/>
          <w:color w:val="000000"/>
          <w:sz w:val="18"/>
          <w:szCs w:val="18"/>
        </w:rPr>
        <w:t>)</w:t>
      </w:r>
      <w:r>
        <w:rPr>
          <w:rFonts w:ascii="Arial" w:eastAsia="Arial" w:hAnsi="Arial" w:cs="Arial"/>
          <w:sz w:val="20"/>
          <w:szCs w:val="20"/>
        </w:rPr>
        <w:t>, sendo o acesso SRT111 o mais produtivo (Tabela 2).</w:t>
      </w:r>
    </w:p>
    <w:p w14:paraId="4D67AD93" w14:textId="77777777" w:rsidR="00A1571E" w:rsidRPr="00475B2B" w:rsidRDefault="00A1571E" w:rsidP="00A1571E">
      <w:pPr>
        <w:spacing w:before="0" w:after="0" w:line="240" w:lineRule="auto"/>
        <w:rPr>
          <w:rFonts w:ascii="Arial" w:eastAsia="Arial" w:hAnsi="Arial" w:cs="Arial"/>
          <w:sz w:val="20"/>
          <w:szCs w:val="20"/>
        </w:rPr>
      </w:pPr>
      <w:r>
        <w:rPr>
          <w:rFonts w:ascii="Arial" w:eastAsia="Arial" w:hAnsi="Arial" w:cs="Arial"/>
          <w:sz w:val="20"/>
          <w:szCs w:val="20"/>
        </w:rPr>
        <w:t>E n</w:t>
      </w:r>
      <w:r w:rsidRPr="007F492B">
        <w:rPr>
          <w:rFonts w:ascii="Arial" w:eastAsia="Arial" w:hAnsi="Arial" w:cs="Arial"/>
          <w:sz w:val="20"/>
          <w:szCs w:val="20"/>
        </w:rPr>
        <w:t>ão houve interação entre o ambiente e os acessos, assim, essas variáveis s</w:t>
      </w:r>
      <w:r>
        <w:rPr>
          <w:rFonts w:ascii="Arial" w:eastAsia="Arial" w:hAnsi="Arial" w:cs="Arial"/>
          <w:sz w:val="20"/>
          <w:szCs w:val="20"/>
        </w:rPr>
        <w:t xml:space="preserve">e mostraram </w:t>
      </w:r>
      <w:r w:rsidRPr="007F492B">
        <w:rPr>
          <w:rFonts w:ascii="Arial" w:eastAsia="Arial" w:hAnsi="Arial" w:cs="Arial"/>
          <w:sz w:val="20"/>
          <w:szCs w:val="20"/>
        </w:rPr>
        <w:t>independentes</w:t>
      </w:r>
      <w:r>
        <w:rPr>
          <w:rFonts w:ascii="Arial" w:eastAsia="Arial" w:hAnsi="Arial" w:cs="Arial"/>
          <w:sz w:val="20"/>
          <w:szCs w:val="20"/>
        </w:rPr>
        <w:t>.</w:t>
      </w:r>
    </w:p>
    <w:p w14:paraId="3E15AB00" w14:textId="03D6ED61" w:rsidR="00D32AF7" w:rsidRDefault="00D268B5" w:rsidP="00D268B5">
      <w:pPr>
        <w:spacing w:before="0" w:after="0" w:line="240" w:lineRule="auto"/>
        <w:rPr>
          <w:rFonts w:ascii="Arial" w:eastAsia="Arial" w:hAnsi="Arial" w:cs="Arial"/>
          <w:sz w:val="18"/>
          <w:szCs w:val="18"/>
        </w:rPr>
      </w:pPr>
      <w:r>
        <w:rPr>
          <w:rFonts w:ascii="Arial" w:eastAsia="Arial" w:hAnsi="Arial" w:cs="Arial"/>
          <w:sz w:val="18"/>
          <w:szCs w:val="18"/>
        </w:rPr>
        <w:t>Ou seja, apesar de diferenças entre os acessos, não houve resposta significativa diferente dos mesmos entre os dois ambientes testados, tendo todos apresentando melhores resultados no SAF, nas condições da primeira SAF, com níveis menores de sombreamento.</w:t>
      </w:r>
    </w:p>
    <w:p w14:paraId="27A57947" w14:textId="014B967E" w:rsidR="00D268B5" w:rsidRDefault="00D268B5" w:rsidP="00D268B5">
      <w:pPr>
        <w:spacing w:before="0" w:after="0" w:line="240" w:lineRule="auto"/>
        <w:rPr>
          <w:rFonts w:ascii="Arial" w:eastAsia="Arial" w:hAnsi="Arial" w:cs="Arial"/>
          <w:sz w:val="18"/>
          <w:szCs w:val="18"/>
        </w:rPr>
      </w:pPr>
      <w:r>
        <w:rPr>
          <w:rFonts w:ascii="Arial" w:eastAsia="Arial" w:hAnsi="Arial" w:cs="Arial"/>
          <w:sz w:val="18"/>
          <w:szCs w:val="18"/>
        </w:rPr>
        <w:t>Ao longo do tempo, a cobertura vegetal no SAF se ampliou e novas análises irão indicar se as condições se mantiveram melhores, indiferentes ou piores para as plantas</w:t>
      </w:r>
      <w:r w:rsidR="00FF07F1">
        <w:rPr>
          <w:rFonts w:ascii="Arial" w:eastAsia="Arial" w:hAnsi="Arial" w:cs="Arial"/>
          <w:sz w:val="18"/>
          <w:szCs w:val="18"/>
        </w:rPr>
        <w:t>, no SAF</w:t>
      </w:r>
      <w:r>
        <w:rPr>
          <w:rFonts w:ascii="Arial" w:eastAsia="Arial" w:hAnsi="Arial" w:cs="Arial"/>
          <w:sz w:val="18"/>
          <w:szCs w:val="18"/>
        </w:rPr>
        <w:t>.</w:t>
      </w:r>
    </w:p>
    <w:p w14:paraId="03091C15" w14:textId="77777777" w:rsidR="005C78CB" w:rsidRDefault="005C78CB">
      <w:pPr>
        <w:spacing w:before="120" w:after="120" w:line="240" w:lineRule="auto"/>
        <w:jc w:val="center"/>
        <w:rPr>
          <w:rFonts w:ascii="Arial" w:eastAsia="Arial" w:hAnsi="Arial" w:cs="Arial"/>
          <w:sz w:val="26"/>
          <w:szCs w:val="26"/>
        </w:rPr>
      </w:pPr>
    </w:p>
    <w:p w14:paraId="0F86F3F3" w14:textId="77777777" w:rsidR="005C78CB" w:rsidRDefault="00000000">
      <w:pPr>
        <w:spacing w:before="120" w:after="120" w:line="240" w:lineRule="auto"/>
        <w:jc w:val="center"/>
        <w:rPr>
          <w:rFonts w:ascii="Arial" w:eastAsia="Arial" w:hAnsi="Arial" w:cs="Arial"/>
          <w:sz w:val="26"/>
          <w:szCs w:val="26"/>
        </w:rPr>
      </w:pPr>
      <w:r>
        <w:rPr>
          <w:rFonts w:ascii="Arial" w:eastAsia="Arial" w:hAnsi="Arial" w:cs="Arial"/>
          <w:b/>
          <w:bCs/>
          <w:sz w:val="26"/>
          <w:szCs w:val="26"/>
        </w:rPr>
        <w:t>Conclusões</w:t>
      </w:r>
    </w:p>
    <w:p w14:paraId="293D26FE" w14:textId="0E1E4DA9" w:rsidR="005C78CB" w:rsidRDefault="00945FA2" w:rsidP="00945FA2">
      <w:pPr>
        <w:spacing w:before="0" w:after="0" w:line="240" w:lineRule="auto"/>
        <w:rPr>
          <w:rFonts w:ascii="Arial" w:eastAsia="Arial" w:hAnsi="Arial" w:cs="Arial"/>
          <w:sz w:val="20"/>
          <w:szCs w:val="20"/>
        </w:rPr>
      </w:pPr>
      <w:r>
        <w:rPr>
          <w:rFonts w:ascii="Arial" w:eastAsia="Arial" w:hAnsi="Arial" w:cs="Arial"/>
          <w:sz w:val="20"/>
          <w:szCs w:val="20"/>
        </w:rPr>
        <w:t>Ao menos na primeira safra no SAF (2022-2023) não foram observadas diferenças significativas no número de tubérculo, entre os tratamentos.</w:t>
      </w:r>
    </w:p>
    <w:p w14:paraId="04DC1BCF" w14:textId="4D9461C0" w:rsidR="00D268B5" w:rsidRDefault="00D268B5" w:rsidP="00945FA2">
      <w:pPr>
        <w:spacing w:before="0" w:after="0" w:line="240" w:lineRule="auto"/>
        <w:rPr>
          <w:rFonts w:ascii="Arial" w:eastAsia="Arial" w:hAnsi="Arial" w:cs="Arial"/>
          <w:sz w:val="20"/>
          <w:szCs w:val="20"/>
        </w:rPr>
      </w:pPr>
      <w:r>
        <w:rPr>
          <w:rFonts w:ascii="Arial" w:eastAsia="Arial" w:hAnsi="Arial" w:cs="Arial"/>
          <w:sz w:val="20"/>
          <w:szCs w:val="20"/>
        </w:rPr>
        <w:t>Apesar da diferença significativa entre os acessos, os níveis de sombreamento no SAF se mostraram adequados a todos eles, de modo geral, não sendo observada interação entre o ambiente e os acessos. De modo geral, todos os acessos apresentaram melhor desenvolvimento dos tubérculos, no SAF, na safra em questão, acumulando mais massa.</w:t>
      </w:r>
    </w:p>
    <w:p w14:paraId="08509541" w14:textId="77777777" w:rsidR="0038292E" w:rsidRDefault="0038292E">
      <w:pPr>
        <w:spacing w:before="0" w:after="0" w:line="240" w:lineRule="auto"/>
        <w:rPr>
          <w:rFonts w:ascii="Arial" w:eastAsia="Arial" w:hAnsi="Arial" w:cs="Arial"/>
          <w:sz w:val="20"/>
          <w:szCs w:val="20"/>
        </w:rPr>
      </w:pPr>
    </w:p>
    <w:p w14:paraId="786FA21E" w14:textId="77777777" w:rsidR="005C78CB" w:rsidRDefault="00000000">
      <w:pPr>
        <w:spacing w:before="120" w:after="120" w:line="240" w:lineRule="auto"/>
        <w:jc w:val="center"/>
        <w:rPr>
          <w:rFonts w:ascii="Arial" w:eastAsia="Arial" w:hAnsi="Arial" w:cs="Arial"/>
          <w:sz w:val="26"/>
          <w:szCs w:val="26"/>
        </w:rPr>
      </w:pPr>
      <w:r>
        <w:rPr>
          <w:rFonts w:ascii="Arial" w:eastAsia="Arial" w:hAnsi="Arial" w:cs="Arial"/>
          <w:b/>
          <w:bCs/>
          <w:sz w:val="26"/>
          <w:szCs w:val="26"/>
        </w:rPr>
        <w:t>Referências</w:t>
      </w:r>
    </w:p>
    <w:p w14:paraId="396BAB90" w14:textId="7C24FF85" w:rsidR="00945FA2" w:rsidRPr="00A1571E" w:rsidRDefault="008B03DF">
      <w:pPr>
        <w:spacing w:before="0" w:after="0" w:line="240" w:lineRule="auto"/>
        <w:rPr>
          <w:rFonts w:ascii="Arial" w:hAnsi="Arial" w:cs="Arial"/>
          <w:color w:val="000000" w:themeColor="text1"/>
          <w:sz w:val="18"/>
          <w:szCs w:val="18"/>
        </w:rPr>
      </w:pPr>
      <w:r w:rsidRPr="00A1571E">
        <w:rPr>
          <w:rFonts w:ascii="Arial" w:hAnsi="Arial" w:cs="Arial"/>
          <w:color w:val="000000" w:themeColor="text1"/>
          <w:sz w:val="18"/>
          <w:szCs w:val="18"/>
        </w:rPr>
        <w:t xml:space="preserve">BRESSAN EA et al. </w:t>
      </w:r>
      <w:proofErr w:type="spellStart"/>
      <w:r w:rsidRPr="00A1571E">
        <w:rPr>
          <w:rFonts w:ascii="Arial" w:hAnsi="Arial" w:cs="Arial"/>
          <w:color w:val="000000" w:themeColor="text1"/>
          <w:sz w:val="18"/>
          <w:szCs w:val="18"/>
        </w:rPr>
        <w:t>Morphological</w:t>
      </w:r>
      <w:proofErr w:type="spellEnd"/>
      <w:r w:rsidRPr="00A1571E">
        <w:rPr>
          <w:rFonts w:ascii="Arial" w:hAnsi="Arial" w:cs="Arial"/>
          <w:color w:val="000000" w:themeColor="text1"/>
          <w:sz w:val="18"/>
          <w:szCs w:val="18"/>
        </w:rPr>
        <w:t xml:space="preserve"> </w:t>
      </w:r>
      <w:proofErr w:type="spellStart"/>
      <w:r w:rsidRPr="00A1571E">
        <w:rPr>
          <w:rFonts w:ascii="Arial" w:hAnsi="Arial" w:cs="Arial"/>
          <w:color w:val="000000" w:themeColor="text1"/>
          <w:sz w:val="18"/>
          <w:szCs w:val="18"/>
        </w:rPr>
        <w:t>variation</w:t>
      </w:r>
      <w:proofErr w:type="spellEnd"/>
      <w:r w:rsidRPr="00A1571E">
        <w:rPr>
          <w:rFonts w:ascii="Arial" w:hAnsi="Arial" w:cs="Arial"/>
          <w:color w:val="000000" w:themeColor="text1"/>
          <w:sz w:val="18"/>
          <w:szCs w:val="18"/>
        </w:rPr>
        <w:t xml:space="preserve"> </w:t>
      </w:r>
      <w:proofErr w:type="spellStart"/>
      <w:r w:rsidRPr="00A1571E">
        <w:rPr>
          <w:rFonts w:ascii="Arial" w:hAnsi="Arial" w:cs="Arial"/>
          <w:color w:val="000000" w:themeColor="text1"/>
          <w:sz w:val="18"/>
          <w:szCs w:val="18"/>
        </w:rPr>
        <w:t>and</w:t>
      </w:r>
      <w:proofErr w:type="spellEnd"/>
      <w:r w:rsidRPr="00A1571E">
        <w:rPr>
          <w:rFonts w:ascii="Arial" w:hAnsi="Arial" w:cs="Arial"/>
          <w:color w:val="000000" w:themeColor="text1"/>
          <w:sz w:val="18"/>
          <w:szCs w:val="18"/>
        </w:rPr>
        <w:t xml:space="preserve"> </w:t>
      </w:r>
      <w:proofErr w:type="spellStart"/>
      <w:r w:rsidRPr="00A1571E">
        <w:rPr>
          <w:rFonts w:ascii="Arial" w:hAnsi="Arial" w:cs="Arial"/>
          <w:color w:val="000000" w:themeColor="text1"/>
          <w:sz w:val="18"/>
          <w:szCs w:val="18"/>
        </w:rPr>
        <w:t>isozyme</w:t>
      </w:r>
      <w:proofErr w:type="spellEnd"/>
      <w:r w:rsidRPr="00A1571E">
        <w:rPr>
          <w:rFonts w:ascii="Arial" w:hAnsi="Arial" w:cs="Arial"/>
          <w:color w:val="000000" w:themeColor="text1"/>
          <w:sz w:val="18"/>
          <w:szCs w:val="18"/>
        </w:rPr>
        <w:t xml:space="preserve"> </w:t>
      </w:r>
      <w:proofErr w:type="spellStart"/>
      <w:r w:rsidRPr="00A1571E">
        <w:rPr>
          <w:rFonts w:ascii="Arial" w:hAnsi="Arial" w:cs="Arial"/>
          <w:color w:val="000000" w:themeColor="text1"/>
          <w:sz w:val="18"/>
          <w:szCs w:val="18"/>
        </w:rPr>
        <w:t>diversity</w:t>
      </w:r>
      <w:proofErr w:type="spellEnd"/>
      <w:r w:rsidRPr="00A1571E">
        <w:rPr>
          <w:rFonts w:ascii="Arial" w:hAnsi="Arial" w:cs="Arial"/>
          <w:color w:val="000000" w:themeColor="text1"/>
          <w:sz w:val="18"/>
          <w:szCs w:val="18"/>
        </w:rPr>
        <w:t xml:space="preserve"> in </w:t>
      </w:r>
      <w:proofErr w:type="spellStart"/>
      <w:r w:rsidRPr="00A1571E">
        <w:rPr>
          <w:rFonts w:ascii="Arial" w:hAnsi="Arial" w:cs="Arial"/>
          <w:color w:val="000000" w:themeColor="text1"/>
          <w:sz w:val="18"/>
          <w:szCs w:val="18"/>
        </w:rPr>
        <w:t>Dioscorea</w:t>
      </w:r>
      <w:proofErr w:type="spellEnd"/>
      <w:r w:rsidRPr="00A1571E">
        <w:rPr>
          <w:rFonts w:ascii="Arial" w:hAnsi="Arial" w:cs="Arial"/>
          <w:color w:val="000000" w:themeColor="text1"/>
          <w:sz w:val="18"/>
          <w:szCs w:val="18"/>
        </w:rPr>
        <w:t xml:space="preserve"> </w:t>
      </w:r>
      <w:proofErr w:type="spellStart"/>
      <w:r w:rsidRPr="00A1571E">
        <w:rPr>
          <w:rFonts w:ascii="Arial" w:hAnsi="Arial" w:cs="Arial"/>
          <w:color w:val="000000" w:themeColor="text1"/>
          <w:sz w:val="18"/>
          <w:szCs w:val="18"/>
        </w:rPr>
        <w:t>alata</w:t>
      </w:r>
      <w:proofErr w:type="spellEnd"/>
      <w:r w:rsidRPr="00A1571E">
        <w:rPr>
          <w:rFonts w:ascii="Arial" w:hAnsi="Arial" w:cs="Arial"/>
          <w:color w:val="000000" w:themeColor="text1"/>
          <w:sz w:val="18"/>
          <w:szCs w:val="18"/>
        </w:rPr>
        <w:t xml:space="preserve"> L. </w:t>
      </w:r>
      <w:proofErr w:type="spellStart"/>
      <w:r w:rsidRPr="00A1571E">
        <w:rPr>
          <w:rFonts w:ascii="Arial" w:hAnsi="Arial" w:cs="Arial"/>
          <w:color w:val="000000" w:themeColor="text1"/>
          <w:sz w:val="18"/>
          <w:szCs w:val="18"/>
        </w:rPr>
        <w:t>landraces</w:t>
      </w:r>
      <w:proofErr w:type="spellEnd"/>
      <w:r w:rsidRPr="00A1571E">
        <w:rPr>
          <w:rFonts w:ascii="Arial" w:hAnsi="Arial" w:cs="Arial"/>
          <w:color w:val="000000" w:themeColor="text1"/>
          <w:sz w:val="18"/>
          <w:szCs w:val="18"/>
        </w:rPr>
        <w:t xml:space="preserve"> </w:t>
      </w:r>
      <w:proofErr w:type="spellStart"/>
      <w:r w:rsidRPr="00A1571E">
        <w:rPr>
          <w:rFonts w:ascii="Arial" w:hAnsi="Arial" w:cs="Arial"/>
          <w:color w:val="000000" w:themeColor="text1"/>
          <w:sz w:val="18"/>
          <w:szCs w:val="18"/>
        </w:rPr>
        <w:t>from</w:t>
      </w:r>
      <w:proofErr w:type="spellEnd"/>
      <w:r w:rsidRPr="00A1571E">
        <w:rPr>
          <w:rFonts w:ascii="Arial" w:hAnsi="Arial" w:cs="Arial"/>
          <w:color w:val="000000" w:themeColor="text1"/>
          <w:sz w:val="18"/>
          <w:szCs w:val="18"/>
        </w:rPr>
        <w:t xml:space="preserve"> Vale do Ribeira, </w:t>
      </w:r>
      <w:proofErr w:type="spellStart"/>
      <w:r w:rsidRPr="00A1571E">
        <w:rPr>
          <w:rFonts w:ascii="Arial" w:hAnsi="Arial" w:cs="Arial"/>
          <w:color w:val="000000" w:themeColor="text1"/>
          <w:sz w:val="18"/>
          <w:szCs w:val="18"/>
        </w:rPr>
        <w:t>Brazil</w:t>
      </w:r>
      <w:proofErr w:type="spellEnd"/>
      <w:r w:rsidRPr="00A1571E">
        <w:rPr>
          <w:rFonts w:ascii="Arial" w:hAnsi="Arial" w:cs="Arial"/>
          <w:color w:val="000000" w:themeColor="text1"/>
          <w:sz w:val="18"/>
          <w:szCs w:val="18"/>
        </w:rPr>
        <w:t xml:space="preserve">. </w:t>
      </w:r>
      <w:proofErr w:type="spellStart"/>
      <w:r w:rsidRPr="00A1571E">
        <w:rPr>
          <w:rFonts w:ascii="Arial" w:hAnsi="Arial" w:cs="Arial"/>
          <w:color w:val="000000" w:themeColor="text1"/>
          <w:sz w:val="18"/>
          <w:szCs w:val="18"/>
        </w:rPr>
        <w:t>Scientia</w:t>
      </w:r>
      <w:proofErr w:type="spellEnd"/>
      <w:r w:rsidRPr="00A1571E">
        <w:rPr>
          <w:rFonts w:ascii="Arial" w:hAnsi="Arial" w:cs="Arial"/>
          <w:color w:val="000000" w:themeColor="text1"/>
          <w:sz w:val="18"/>
          <w:szCs w:val="18"/>
        </w:rPr>
        <w:t xml:space="preserve"> Agrícola, v. 68, n. 4, p. 494-502, 2011.</w:t>
      </w:r>
    </w:p>
    <w:p w14:paraId="1DA9C00B" w14:textId="77777777" w:rsidR="001D404F" w:rsidRPr="00A1571E" w:rsidRDefault="001D404F" w:rsidP="001D404F">
      <w:pPr>
        <w:spacing w:before="0" w:after="0" w:line="240" w:lineRule="auto"/>
        <w:rPr>
          <w:rFonts w:ascii="Arial" w:hAnsi="Arial" w:cs="Arial"/>
          <w:color w:val="000000" w:themeColor="text1"/>
          <w:sz w:val="18"/>
          <w:szCs w:val="18"/>
          <w:lang w:val="en-US"/>
        </w:rPr>
      </w:pPr>
      <w:r w:rsidRPr="00A1571E">
        <w:rPr>
          <w:rFonts w:ascii="Arial" w:hAnsi="Arial" w:cs="Arial"/>
          <w:color w:val="000000" w:themeColor="text1"/>
          <w:sz w:val="18"/>
          <w:szCs w:val="18"/>
          <w:lang w:val="en-US"/>
        </w:rPr>
        <w:t>KAMALKUMARAN, P. R. et al. Validation of Organic Farming Technologies in Greater Yam (Dioscorea alata L.) for Yield, Quality and Soil Health. International Journal of Current Microbiology and Applied Sciences, v. 9, n. 11, p. 2883-2895, 2020.</w:t>
      </w:r>
    </w:p>
    <w:p w14:paraId="03334F52" w14:textId="77777777" w:rsidR="006E5B1D" w:rsidRPr="00A1571E" w:rsidRDefault="006E5B1D" w:rsidP="006E5B1D">
      <w:pPr>
        <w:spacing w:before="0" w:after="0" w:line="240" w:lineRule="auto"/>
        <w:rPr>
          <w:rFonts w:ascii="Arial" w:hAnsi="Arial" w:cs="Arial"/>
          <w:color w:val="000000" w:themeColor="text1"/>
          <w:sz w:val="18"/>
          <w:szCs w:val="18"/>
        </w:rPr>
      </w:pPr>
      <w:r w:rsidRPr="00A1571E">
        <w:rPr>
          <w:rFonts w:ascii="Arial" w:hAnsi="Arial" w:cs="Arial"/>
          <w:color w:val="000000" w:themeColor="text1"/>
          <w:sz w:val="18"/>
          <w:szCs w:val="18"/>
        </w:rPr>
        <w:t xml:space="preserve">PERESSIN VA, FELTRAN JC. 2014. </w:t>
      </w:r>
      <w:r w:rsidRPr="00A1571E">
        <w:rPr>
          <w:rFonts w:ascii="Arial" w:hAnsi="Arial" w:cs="Arial"/>
          <w:b/>
          <w:bCs/>
          <w:color w:val="000000" w:themeColor="text1"/>
          <w:sz w:val="18"/>
          <w:szCs w:val="18"/>
        </w:rPr>
        <w:t>Inhame</w:t>
      </w:r>
      <w:r w:rsidRPr="00A1571E">
        <w:rPr>
          <w:rFonts w:ascii="Arial" w:hAnsi="Arial" w:cs="Arial"/>
          <w:color w:val="000000" w:themeColor="text1"/>
          <w:sz w:val="18"/>
          <w:szCs w:val="18"/>
        </w:rPr>
        <w:t xml:space="preserve">: </w:t>
      </w:r>
      <w:proofErr w:type="spellStart"/>
      <w:r w:rsidRPr="00A1571E">
        <w:rPr>
          <w:rFonts w:ascii="Arial" w:hAnsi="Arial" w:cs="Arial"/>
          <w:i/>
          <w:iCs/>
          <w:color w:val="000000" w:themeColor="text1"/>
          <w:sz w:val="18"/>
          <w:szCs w:val="18"/>
        </w:rPr>
        <w:t>Dioscorea</w:t>
      </w:r>
      <w:proofErr w:type="spellEnd"/>
      <w:r w:rsidRPr="00A1571E">
        <w:rPr>
          <w:rFonts w:ascii="Arial" w:hAnsi="Arial" w:cs="Arial"/>
          <w:i/>
          <w:iCs/>
          <w:color w:val="000000" w:themeColor="text1"/>
          <w:sz w:val="18"/>
          <w:szCs w:val="18"/>
        </w:rPr>
        <w:t xml:space="preserve"> </w:t>
      </w:r>
      <w:proofErr w:type="spellStart"/>
      <w:r w:rsidRPr="00A1571E">
        <w:rPr>
          <w:rFonts w:ascii="Arial" w:hAnsi="Arial" w:cs="Arial"/>
          <w:i/>
          <w:iCs/>
          <w:color w:val="000000" w:themeColor="text1"/>
          <w:sz w:val="18"/>
          <w:szCs w:val="18"/>
        </w:rPr>
        <w:t>alata</w:t>
      </w:r>
      <w:proofErr w:type="spellEnd"/>
      <w:r w:rsidRPr="00A1571E">
        <w:rPr>
          <w:rFonts w:ascii="Arial" w:hAnsi="Arial" w:cs="Arial"/>
          <w:color w:val="000000" w:themeColor="text1"/>
          <w:sz w:val="18"/>
          <w:szCs w:val="18"/>
        </w:rPr>
        <w:t xml:space="preserve"> L. In Aguiar ATE, Gonçalves C, </w:t>
      </w:r>
      <w:proofErr w:type="spellStart"/>
      <w:r w:rsidRPr="00A1571E">
        <w:rPr>
          <w:rFonts w:ascii="Arial" w:hAnsi="Arial" w:cs="Arial"/>
          <w:color w:val="000000" w:themeColor="text1"/>
          <w:sz w:val="18"/>
          <w:szCs w:val="18"/>
        </w:rPr>
        <w:t>Paterniani</w:t>
      </w:r>
      <w:proofErr w:type="spellEnd"/>
      <w:r w:rsidRPr="00A1571E">
        <w:rPr>
          <w:rFonts w:ascii="Arial" w:hAnsi="Arial" w:cs="Arial"/>
          <w:color w:val="000000" w:themeColor="text1"/>
          <w:sz w:val="18"/>
          <w:szCs w:val="18"/>
        </w:rPr>
        <w:t xml:space="preserve"> MEAGZ, Tucci MLS, Castro CEF. Boletim 200: Instruções agrícolas para as principais culturas econômicas, 7: 215-217.</w:t>
      </w:r>
    </w:p>
    <w:p w14:paraId="5D62D17C" w14:textId="1760B92C" w:rsidR="006E5B1D" w:rsidRPr="00A1571E" w:rsidRDefault="006E5B1D" w:rsidP="006E5B1D">
      <w:pPr>
        <w:spacing w:before="0" w:after="0" w:line="240" w:lineRule="auto"/>
        <w:rPr>
          <w:rFonts w:ascii="Arial" w:hAnsi="Arial" w:cs="Arial"/>
          <w:color w:val="000000" w:themeColor="text1"/>
          <w:sz w:val="18"/>
          <w:szCs w:val="18"/>
          <w:lang w:val="en-US"/>
        </w:rPr>
      </w:pPr>
      <w:r w:rsidRPr="00A1571E">
        <w:rPr>
          <w:rFonts w:ascii="Arial" w:hAnsi="Arial" w:cs="Arial"/>
          <w:color w:val="000000" w:themeColor="text1"/>
          <w:sz w:val="18"/>
          <w:szCs w:val="18"/>
          <w:lang w:val="en-US"/>
        </w:rPr>
        <w:t xml:space="preserve">VEASEY, </w:t>
      </w:r>
      <w:r w:rsidR="008B03DF" w:rsidRPr="00A1571E">
        <w:rPr>
          <w:rFonts w:ascii="Arial" w:hAnsi="Arial" w:cs="Arial"/>
          <w:color w:val="000000" w:themeColor="text1"/>
          <w:sz w:val="18"/>
          <w:szCs w:val="18"/>
          <w:lang w:val="en-US"/>
        </w:rPr>
        <w:t>E</w:t>
      </w:r>
      <w:r w:rsidRPr="00A1571E">
        <w:rPr>
          <w:rFonts w:ascii="Arial" w:hAnsi="Arial" w:cs="Arial"/>
          <w:color w:val="000000" w:themeColor="text1"/>
          <w:sz w:val="18"/>
          <w:szCs w:val="18"/>
          <w:lang w:val="en-US"/>
        </w:rPr>
        <w:t>A. et al. Distribution, management and diversity of yam local varieties in Brazil. Brazilian Journal of Biology, v. 84, e250550, 2014.</w:t>
      </w:r>
    </w:p>
    <w:p w14:paraId="7251F604" w14:textId="25A59C1D" w:rsidR="00945FA2" w:rsidRDefault="00945FA2" w:rsidP="006E5B1D">
      <w:pPr>
        <w:spacing w:before="0" w:after="0" w:line="240" w:lineRule="auto"/>
        <w:rPr>
          <w:rFonts w:ascii="Arial" w:hAnsi="Arial" w:cs="Arial"/>
          <w:color w:val="000000" w:themeColor="text1"/>
          <w:sz w:val="20"/>
          <w:szCs w:val="20"/>
        </w:rPr>
      </w:pPr>
    </w:p>
    <w:sectPr w:rsidR="00945FA2">
      <w:type w:val="continuous"/>
      <w:pgSz w:w="11906" w:h="16838"/>
      <w:pgMar w:top="1871" w:right="1474" w:bottom="2381" w:left="1474" w:header="709" w:footer="709" w:gutter="0"/>
      <w:cols w:num="2" w:space="720" w:equalWidth="0">
        <w:col w:w="4251" w:space="454"/>
        <w:col w:w="425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FFEBF" w14:textId="77777777" w:rsidR="00AB63D9" w:rsidRDefault="00AB63D9">
      <w:pPr>
        <w:spacing w:before="0" w:after="0" w:line="240" w:lineRule="auto"/>
      </w:pPr>
      <w:r>
        <w:separator/>
      </w:r>
    </w:p>
  </w:endnote>
  <w:endnote w:type="continuationSeparator" w:id="0">
    <w:p w14:paraId="79639C00" w14:textId="77777777" w:rsidR="00AB63D9" w:rsidRDefault="00AB63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B960E69-708E-42FE-BCF2-8865ECD4793E}"/>
    <w:embedBold r:id="rId2" w:fontKey="{17AFE49A-3C1C-43D8-BD6B-D5B5032BB0F1}"/>
    <w:embedItalic r:id="rId3" w:fontKey="{67E7917C-0242-4BFA-A72E-9C141A142E9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D96E521-8F9D-41CE-BB5D-7F6183F07D5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E5E2B8F-566E-4A3A-9BB5-E7DE44193DD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23DFA" w14:textId="77777777" w:rsidR="00AB63D9" w:rsidRDefault="00AB63D9">
      <w:pPr>
        <w:spacing w:before="0" w:after="0" w:line="240" w:lineRule="auto"/>
      </w:pPr>
      <w:r>
        <w:separator/>
      </w:r>
    </w:p>
  </w:footnote>
  <w:footnote w:type="continuationSeparator" w:id="0">
    <w:p w14:paraId="762388FE" w14:textId="77777777" w:rsidR="00AB63D9" w:rsidRDefault="00AB63D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B3D2" w14:textId="77777777" w:rsidR="005C78CB" w:rsidRDefault="00000000">
    <w:pPr>
      <w:pBdr>
        <w:top w:val="nil"/>
        <w:left w:val="nil"/>
        <w:bottom w:val="nil"/>
        <w:right w:val="nil"/>
        <w:between w:val="nil"/>
      </w:pBdr>
      <w:tabs>
        <w:tab w:val="center" w:pos="4252"/>
        <w:tab w:val="right" w:pos="8504"/>
      </w:tabs>
      <w:rPr>
        <w:color w:val="000000"/>
      </w:rPr>
    </w:pPr>
    <w:r>
      <w:rPr>
        <w:noProof/>
      </w:rPr>
      <w:drawing>
        <wp:inline distT="114300" distB="114300" distL="114300" distR="114300" wp14:anchorId="5BCD6F3D" wp14:editId="73315F3C">
          <wp:extent cx="1316673" cy="1316673"/>
          <wp:effectExtent l="0" t="0" r="0" b="0"/>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16673" cy="1316673"/>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8CB"/>
    <w:rsid w:val="00065395"/>
    <w:rsid w:val="0019050D"/>
    <w:rsid w:val="001B29FC"/>
    <w:rsid w:val="001D404F"/>
    <w:rsid w:val="002641CD"/>
    <w:rsid w:val="00293DFC"/>
    <w:rsid w:val="0038292E"/>
    <w:rsid w:val="003A7DF7"/>
    <w:rsid w:val="003C05A1"/>
    <w:rsid w:val="00475B2B"/>
    <w:rsid w:val="005A199B"/>
    <w:rsid w:val="005C78CB"/>
    <w:rsid w:val="00607BEC"/>
    <w:rsid w:val="006328DF"/>
    <w:rsid w:val="00657EC2"/>
    <w:rsid w:val="006E5B1D"/>
    <w:rsid w:val="00706255"/>
    <w:rsid w:val="007D28D0"/>
    <w:rsid w:val="007F492B"/>
    <w:rsid w:val="008253BE"/>
    <w:rsid w:val="00865493"/>
    <w:rsid w:val="00884B28"/>
    <w:rsid w:val="008B03DF"/>
    <w:rsid w:val="009036B3"/>
    <w:rsid w:val="00911B93"/>
    <w:rsid w:val="009405FD"/>
    <w:rsid w:val="00945FA2"/>
    <w:rsid w:val="00993E59"/>
    <w:rsid w:val="00A1571E"/>
    <w:rsid w:val="00A23078"/>
    <w:rsid w:val="00A43E83"/>
    <w:rsid w:val="00AB63D9"/>
    <w:rsid w:val="00AE2D1D"/>
    <w:rsid w:val="00B839C2"/>
    <w:rsid w:val="00D268B5"/>
    <w:rsid w:val="00D32AF7"/>
    <w:rsid w:val="00E47F75"/>
    <w:rsid w:val="00F5151B"/>
    <w:rsid w:val="00F91E91"/>
    <w:rsid w:val="00FA58DF"/>
    <w:rsid w:val="00FF07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CBD19"/>
  <w15:docId w15:val="{D24AA117-D677-4E35-A9FD-B2D2CE1D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before="240"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Cabealho">
    <w:name w:val="header"/>
    <w:basedOn w:val="Normal"/>
    <w:qFormat/>
    <w:pPr>
      <w:tabs>
        <w:tab w:val="center" w:pos="4252"/>
        <w:tab w:val="right" w:pos="8504"/>
      </w:tabs>
      <w:suppressAutoHyphens/>
      <w:ind w:leftChars="-1" w:left="-1" w:hangingChars="1" w:hanging="1"/>
      <w:textDirection w:val="btLr"/>
      <w:textAlignment w:val="top"/>
      <w:outlineLvl w:val="0"/>
    </w:pPr>
    <w:rPr>
      <w:position w:val="-1"/>
      <w:lang w:eastAsia="en-US"/>
    </w:rPr>
  </w:style>
  <w:style w:type="character" w:customStyle="1" w:styleId="CabealhoChar">
    <w:name w:val="Cabeçalho Char"/>
    <w:rPr>
      <w:w w:val="100"/>
      <w:position w:val="-1"/>
      <w:sz w:val="22"/>
      <w:szCs w:val="22"/>
      <w:effect w:val="none"/>
      <w:vertAlign w:val="baseline"/>
      <w:cs w:val="0"/>
      <w:em w:val="none"/>
      <w:lang w:eastAsia="en-US"/>
    </w:rPr>
  </w:style>
  <w:style w:type="paragraph" w:styleId="Rodap">
    <w:name w:val="footer"/>
    <w:basedOn w:val="Normal"/>
    <w:qFormat/>
    <w:pPr>
      <w:tabs>
        <w:tab w:val="center" w:pos="4252"/>
        <w:tab w:val="right" w:pos="8504"/>
      </w:tabs>
      <w:suppressAutoHyphens/>
      <w:ind w:leftChars="-1" w:left="-1" w:hangingChars="1" w:hanging="1"/>
      <w:textDirection w:val="btLr"/>
      <w:textAlignment w:val="top"/>
      <w:outlineLvl w:val="0"/>
    </w:pPr>
    <w:rPr>
      <w:position w:val="-1"/>
      <w:lang w:eastAsia="en-US"/>
    </w:rPr>
  </w:style>
  <w:style w:type="character" w:customStyle="1" w:styleId="RodapChar">
    <w:name w:val="Rodapé Char"/>
    <w:rPr>
      <w:w w:val="100"/>
      <w:position w:val="-1"/>
      <w:sz w:val="22"/>
      <w:szCs w:val="22"/>
      <w:effect w:val="none"/>
      <w:vertAlign w:val="baseline"/>
      <w:cs w:val="0"/>
      <w:em w:val="none"/>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elacomgrade">
    <w:name w:val="Table Grid"/>
    <w:basedOn w:val="Tabelanormal"/>
    <w:rsid w:val="007D28D0"/>
    <w:pPr>
      <w:spacing w:before="0"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qFormat/>
    <w:rsid w:val="009405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xLvr5MWdIPXdJFgQGmco1CrXA==">CgMxLjA4AHIhMVNjVDlsQUdWZ1NmQ1Z1NGJUa1pFYXNteVZBRndRSEEx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840</Words>
  <Characters>4539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Fernando</dc:creator>
  <cp:lastModifiedBy>User</cp:lastModifiedBy>
  <cp:revision>2</cp:revision>
  <dcterms:created xsi:type="dcterms:W3CDTF">2026-03-05T16:11:00Z</dcterms:created>
  <dcterms:modified xsi:type="dcterms:W3CDTF">2026-03-05T16:11:00Z</dcterms:modified>
</cp:coreProperties>
</file>