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3EBC" w14:textId="77777777" w:rsidR="00442A47" w:rsidRDefault="00442A47" w:rsidP="00442A47">
      <w:pPr>
        <w:rPr>
          <w:rFonts w:ascii="Arial" w:hAnsi="Arial" w:cs="Arial"/>
          <w:b/>
          <w:bCs/>
        </w:rPr>
      </w:pPr>
    </w:p>
    <w:p w14:paraId="0EF0FEB9" w14:textId="714A550F" w:rsidR="00442A47" w:rsidRDefault="00C814A6" w:rsidP="00C814A6">
      <w:pPr>
        <w:jc w:val="center"/>
        <w:rPr>
          <w:rFonts w:ascii="Arial" w:hAnsi="Arial" w:cs="Arial"/>
          <w:b/>
          <w:bCs/>
          <w:sz w:val="28"/>
          <w:szCs w:val="28"/>
          <w:lang w:val="es-ES"/>
        </w:rPr>
      </w:pPr>
      <w:r w:rsidRPr="00C814A6">
        <w:rPr>
          <w:rFonts w:ascii="Arial" w:hAnsi="Arial" w:cs="Arial"/>
          <w:b/>
          <w:bCs/>
          <w:sz w:val="28"/>
          <w:szCs w:val="28"/>
          <w:lang w:val="es-ES"/>
        </w:rPr>
        <w:t>POLÍTICAS E FORMAÇÃO DE DOCENTES NA EDUCAÇÃO DE JOVENS E ADULTOS (EJA)</w:t>
      </w:r>
    </w:p>
    <w:p w14:paraId="4BAE1317" w14:textId="77777777" w:rsidR="00C814A6" w:rsidRPr="00C814A6" w:rsidRDefault="00C814A6" w:rsidP="00C814A6">
      <w:pPr>
        <w:jc w:val="center"/>
        <w:rPr>
          <w:rFonts w:ascii="Arial" w:hAnsi="Arial" w:cs="Arial"/>
          <w:b/>
          <w:bCs/>
          <w:sz w:val="28"/>
          <w:szCs w:val="28"/>
        </w:rPr>
      </w:pPr>
    </w:p>
    <w:p w14:paraId="776CFB4E" w14:textId="69350EA6" w:rsidR="000D34B8" w:rsidRPr="00905EB5" w:rsidRDefault="000C4775" w:rsidP="00905EB5">
      <w:pPr>
        <w:spacing w:after="0" w:line="240" w:lineRule="auto"/>
        <w:jc w:val="right"/>
        <w:rPr>
          <w:rFonts w:ascii="Arial" w:hAnsi="Arial" w:cs="Arial"/>
          <w:b/>
          <w:bCs/>
        </w:rPr>
      </w:pPr>
      <w:r>
        <w:rPr>
          <w:rFonts w:ascii="Arial" w:hAnsi="Arial" w:cs="Arial"/>
          <w:b/>
          <w:bCs/>
        </w:rPr>
        <w:t>Autor</w:t>
      </w:r>
    </w:p>
    <w:p w14:paraId="3C19C6CA" w14:textId="50447723" w:rsidR="00114785" w:rsidRPr="00AC463E" w:rsidRDefault="000C4775" w:rsidP="00905EB5">
      <w:pPr>
        <w:spacing w:after="0" w:line="240" w:lineRule="auto"/>
        <w:jc w:val="right"/>
        <w:rPr>
          <w:rFonts w:ascii="Arial" w:hAnsi="Arial" w:cs="Arial"/>
        </w:rPr>
      </w:pPr>
      <w:r>
        <w:rPr>
          <w:rFonts w:ascii="Arial" w:hAnsi="Arial" w:cs="Arial"/>
        </w:rPr>
        <w:t>Instituição</w:t>
      </w:r>
    </w:p>
    <w:p w14:paraId="633A05C3" w14:textId="77777777" w:rsidR="00114785" w:rsidRPr="00905EB5" w:rsidRDefault="00114785" w:rsidP="00905EB5">
      <w:pPr>
        <w:spacing w:after="0" w:line="240" w:lineRule="auto"/>
        <w:jc w:val="right"/>
        <w:rPr>
          <w:rFonts w:ascii="Arial" w:hAnsi="Arial" w:cs="Arial"/>
          <w:b/>
          <w:bCs/>
        </w:rPr>
      </w:pPr>
    </w:p>
    <w:p w14:paraId="36D23CE7" w14:textId="7C102931" w:rsidR="00114785" w:rsidRPr="000C4775" w:rsidRDefault="00114785" w:rsidP="00905EB5">
      <w:pPr>
        <w:spacing w:after="0" w:line="240" w:lineRule="auto"/>
        <w:jc w:val="right"/>
        <w:rPr>
          <w:rFonts w:ascii="Arial" w:hAnsi="Arial" w:cs="Arial"/>
          <w:b/>
          <w:bCs/>
        </w:rPr>
      </w:pPr>
      <w:r w:rsidRPr="000C4775">
        <w:rPr>
          <w:rFonts w:ascii="Arial" w:hAnsi="Arial" w:cs="Arial"/>
          <w:b/>
          <w:bCs/>
        </w:rPr>
        <w:t>Coautores</w:t>
      </w:r>
    </w:p>
    <w:p w14:paraId="4C1558AD" w14:textId="701F3B49" w:rsidR="00FF7CFD" w:rsidRPr="000C4775" w:rsidRDefault="00905EB5" w:rsidP="00905EB5">
      <w:pPr>
        <w:spacing w:after="0" w:line="240" w:lineRule="auto"/>
        <w:jc w:val="right"/>
        <w:rPr>
          <w:rFonts w:ascii="Arial" w:hAnsi="Arial" w:cs="Arial"/>
        </w:rPr>
      </w:pPr>
      <w:r w:rsidRPr="000C4775">
        <w:rPr>
          <w:rFonts w:ascii="Arial" w:hAnsi="Arial" w:cs="Arial"/>
        </w:rPr>
        <w:t>Instituição</w:t>
      </w:r>
    </w:p>
    <w:p w14:paraId="05A316D6" w14:textId="5CAFC829" w:rsidR="00C814A6" w:rsidRDefault="00C814A6" w:rsidP="00905EB5">
      <w:pPr>
        <w:spacing w:after="0" w:line="240" w:lineRule="auto"/>
        <w:jc w:val="right"/>
        <w:rPr>
          <w:rFonts w:ascii="Arial" w:hAnsi="Arial" w:cs="Arial"/>
        </w:rPr>
      </w:pPr>
    </w:p>
    <w:p w14:paraId="6A9101BB" w14:textId="77777777" w:rsidR="008D3E77" w:rsidRDefault="008D3E77" w:rsidP="008D3E77">
      <w:pPr>
        <w:spacing w:after="0" w:line="360" w:lineRule="auto"/>
        <w:ind w:firstLine="708"/>
        <w:jc w:val="both"/>
        <w:rPr>
          <w:rFonts w:ascii="Arial" w:hAnsi="Arial" w:cs="Arial"/>
          <w:b/>
          <w:bCs/>
        </w:rPr>
      </w:pPr>
    </w:p>
    <w:p w14:paraId="3E16F409" w14:textId="095059C8" w:rsidR="000C4775" w:rsidRPr="005B1CCC" w:rsidRDefault="00C814A6" w:rsidP="008D3E77">
      <w:pPr>
        <w:spacing w:after="0" w:line="360" w:lineRule="auto"/>
        <w:ind w:firstLine="708"/>
        <w:jc w:val="both"/>
        <w:rPr>
          <w:rFonts w:ascii="Arial" w:hAnsi="Arial" w:cs="Arial"/>
          <w:b/>
          <w:bCs/>
          <w:color w:val="000000" w:themeColor="text1"/>
        </w:rPr>
      </w:pPr>
      <w:r w:rsidRPr="005B1CCC">
        <w:rPr>
          <w:rFonts w:ascii="Arial" w:eastAsia="Times New Roman" w:hAnsi="Arial" w:cs="Arial"/>
          <w:color w:val="000000" w:themeColor="text1"/>
          <w:kern w:val="0"/>
          <w:lang w:val="pt-PT" w:eastAsia="pt-BR"/>
          <w14:ligatures w14:val="none"/>
        </w:rPr>
        <w:t xml:space="preserve">Ao </w:t>
      </w:r>
      <w:r w:rsidR="00E13917" w:rsidRPr="005B1CCC">
        <w:rPr>
          <w:rFonts w:ascii="Arial" w:eastAsia="Times New Roman" w:hAnsi="Arial" w:cs="Arial"/>
          <w:color w:val="000000" w:themeColor="text1"/>
          <w:kern w:val="0"/>
          <w:lang w:val="pt-PT" w:eastAsia="pt-BR"/>
          <w14:ligatures w14:val="none"/>
        </w:rPr>
        <w:t>debruçar-se sobre</w:t>
      </w:r>
      <w:r w:rsidRPr="005B1CCC">
        <w:rPr>
          <w:rFonts w:ascii="Arial" w:eastAsia="Times New Roman" w:hAnsi="Arial" w:cs="Arial"/>
          <w:color w:val="000000" w:themeColor="text1"/>
          <w:kern w:val="0"/>
          <w:lang w:val="pt-PT" w:eastAsia="pt-BR"/>
          <w14:ligatures w14:val="none"/>
        </w:rPr>
        <w:t xml:space="preserve"> Base Curricular Nacional Comum (BNCC) lançada em 2015, não se observa nenhuma referência à Educação de Jovens e Adultos (EJA), que também se configura dentro da Educação Básica. O texto apresenta certos aspectos e conteúdos e sua aplicabilidade a crianças, jovens e adultos. No entanto, não há reflexão específica sobre esta modalidade. Esta ausência foi convertida em tema de debate em encontros com educadores de Educação de Jovens e Adultos no âmbito nacional e internacional.</w:t>
      </w:r>
      <w:r w:rsidR="005B1CCC" w:rsidRPr="005B1CCC">
        <w:rPr>
          <w:rFonts w:ascii="Arial" w:eastAsia="Times New Roman" w:hAnsi="Arial" w:cs="Arial"/>
          <w:color w:val="000000" w:themeColor="text1"/>
          <w:kern w:val="0"/>
          <w:lang w:val="pt-PT" w:eastAsia="pt-BR"/>
          <w14:ligatures w14:val="none"/>
        </w:rPr>
        <w:t xml:space="preserve"> Este estudo consiste numa pesquisa bibliográfica do contexto da formação de professores de arte na EJA seguido pela reflexão teórica tendo como referencial principal Bourdieu (2007) e Ventura (2012).</w:t>
      </w:r>
    </w:p>
    <w:p w14:paraId="1271A469" w14:textId="6A9B6376" w:rsidR="008D3E77" w:rsidRDefault="005B1CCC" w:rsidP="008D3E77">
      <w:pPr>
        <w:spacing w:after="0" w:line="360" w:lineRule="auto"/>
        <w:ind w:firstLine="708"/>
        <w:jc w:val="both"/>
        <w:rPr>
          <w:rFonts w:ascii="Arial" w:hAnsi="Arial" w:cs="Arial"/>
          <w:color w:val="000000" w:themeColor="text1"/>
          <w:lang w:val="es-ES"/>
        </w:rPr>
      </w:pPr>
      <w:r w:rsidRPr="005B1CCC">
        <w:rPr>
          <w:rFonts w:ascii="Arial" w:eastAsia="Times New Roman" w:hAnsi="Arial" w:cs="Arial"/>
          <w:color w:val="000000" w:themeColor="text1"/>
          <w:kern w:val="0"/>
          <w:lang w:val="pt-PT" w:eastAsia="pt-BR"/>
          <w14:ligatures w14:val="none"/>
        </w:rPr>
        <w:t>Foi</w:t>
      </w:r>
      <w:r w:rsidR="00C814A6" w:rsidRPr="005B1CCC">
        <w:rPr>
          <w:rFonts w:ascii="Arial" w:eastAsia="Times New Roman" w:hAnsi="Arial" w:cs="Arial"/>
          <w:color w:val="000000" w:themeColor="text1"/>
          <w:kern w:val="0"/>
          <w:lang w:val="pt-PT" w:eastAsia="pt-BR"/>
          <w14:ligatures w14:val="none"/>
        </w:rPr>
        <w:t xml:space="preserve"> realiza</w:t>
      </w:r>
      <w:r w:rsidRPr="005B1CCC">
        <w:rPr>
          <w:rFonts w:ascii="Arial" w:eastAsia="Times New Roman" w:hAnsi="Arial" w:cs="Arial"/>
          <w:color w:val="000000" w:themeColor="text1"/>
          <w:kern w:val="0"/>
          <w:lang w:val="pt-PT" w:eastAsia="pt-BR"/>
          <w14:ligatures w14:val="none"/>
        </w:rPr>
        <w:t>da</w:t>
      </w:r>
      <w:r w:rsidR="00C814A6" w:rsidRPr="005B1CCC">
        <w:rPr>
          <w:rFonts w:ascii="Arial" w:eastAsia="Times New Roman" w:hAnsi="Arial" w:cs="Arial"/>
          <w:color w:val="000000" w:themeColor="text1"/>
          <w:kern w:val="0"/>
          <w:lang w:val="pt-PT" w:eastAsia="pt-BR"/>
          <w14:ligatures w14:val="none"/>
        </w:rPr>
        <w:t xml:space="preserve"> uma reflexão a partir das experiências e conhecimentos </w:t>
      </w:r>
      <w:r w:rsidRPr="005B1CCC">
        <w:rPr>
          <w:rFonts w:ascii="Arial" w:eastAsia="Times New Roman" w:hAnsi="Arial" w:cs="Arial"/>
          <w:color w:val="000000" w:themeColor="text1"/>
          <w:kern w:val="0"/>
          <w:lang w:val="pt-PT" w:eastAsia="pt-BR"/>
          <w14:ligatures w14:val="none"/>
        </w:rPr>
        <w:t>anteriormente</w:t>
      </w:r>
      <w:r w:rsidR="00C814A6" w:rsidRPr="005B1CCC">
        <w:rPr>
          <w:rFonts w:ascii="Arial" w:eastAsia="Times New Roman" w:hAnsi="Arial" w:cs="Arial"/>
          <w:color w:val="000000" w:themeColor="text1"/>
          <w:kern w:val="0"/>
          <w:lang w:val="pt-PT" w:eastAsia="pt-BR"/>
          <w14:ligatures w14:val="none"/>
        </w:rPr>
        <w:t xml:space="preserve"> produzido</w:t>
      </w:r>
      <w:r w:rsidRPr="005B1CCC">
        <w:rPr>
          <w:rFonts w:ascii="Arial" w:eastAsia="Times New Roman" w:hAnsi="Arial" w:cs="Arial"/>
          <w:color w:val="000000" w:themeColor="text1"/>
          <w:kern w:val="0"/>
          <w:lang w:val="pt-PT" w:eastAsia="pt-BR"/>
          <w14:ligatures w14:val="none"/>
        </w:rPr>
        <w:t xml:space="preserve"> sobre a formação de docentes de arte na EJA e levantado o questionamento</w:t>
      </w:r>
      <w:r w:rsidR="00C814A6" w:rsidRPr="005B1CCC">
        <w:rPr>
          <w:rFonts w:ascii="Arial" w:eastAsia="Times New Roman" w:hAnsi="Arial" w:cs="Arial"/>
          <w:color w:val="000000" w:themeColor="text1"/>
          <w:kern w:val="0"/>
          <w:lang w:val="pt-PT" w:eastAsia="pt-BR"/>
          <w14:ligatures w14:val="none"/>
        </w:rPr>
        <w:t xml:space="preserve"> sobre que currículo seria o adequado para as pessoas que abandonaram a escola e retornaram à idade adulta, acumulando capital cultural e aprendizados significativos no âmbito pessoal e profissional</w:t>
      </w:r>
      <w:r w:rsidRPr="005B1CCC">
        <w:rPr>
          <w:rFonts w:ascii="Arial" w:eastAsia="Times New Roman" w:hAnsi="Arial" w:cs="Arial"/>
          <w:color w:val="000000" w:themeColor="text1"/>
          <w:kern w:val="0"/>
          <w:lang w:val="pt-PT" w:eastAsia="pt-BR"/>
          <w14:ligatures w14:val="none"/>
        </w:rPr>
        <w:t>, fazendo uma ligação com uma</w:t>
      </w:r>
      <w:r w:rsidR="00C814A6" w:rsidRPr="005B1CCC">
        <w:rPr>
          <w:rFonts w:ascii="Arial" w:eastAsia="Times New Roman" w:hAnsi="Arial" w:cs="Arial"/>
          <w:color w:val="000000" w:themeColor="text1"/>
          <w:kern w:val="0"/>
          <w:lang w:val="pt-PT" w:eastAsia="pt-BR"/>
          <w14:ligatures w14:val="none"/>
        </w:rPr>
        <w:t xml:space="preserve"> formação específica para o docente que trabalha </w:t>
      </w:r>
      <w:r w:rsidR="00C814A6" w:rsidRPr="002427F6">
        <w:rPr>
          <w:rFonts w:ascii="Arial" w:eastAsia="Times New Roman" w:hAnsi="Arial" w:cs="Arial"/>
          <w:color w:val="000000" w:themeColor="text1"/>
          <w:kern w:val="0"/>
          <w:lang w:val="pt-PT" w:eastAsia="pt-BR"/>
          <w14:ligatures w14:val="none"/>
        </w:rPr>
        <w:t>com este público</w:t>
      </w:r>
      <w:r w:rsidR="002427F6" w:rsidRPr="002427F6">
        <w:rPr>
          <w:rFonts w:ascii="Arial" w:hAnsi="Arial" w:cs="Arial"/>
          <w:color w:val="000000" w:themeColor="text1"/>
          <w:lang w:val="es-ES"/>
        </w:rPr>
        <w:t xml:space="preserve"> dentro do contexto escolar, que corresponde </w:t>
      </w:r>
      <w:proofErr w:type="spellStart"/>
      <w:r w:rsidR="002427F6" w:rsidRPr="002427F6">
        <w:rPr>
          <w:rFonts w:ascii="Arial" w:hAnsi="Arial" w:cs="Arial"/>
        </w:rPr>
        <w:t>é</w:t>
      </w:r>
      <w:proofErr w:type="spellEnd"/>
      <w:r w:rsidR="002427F6" w:rsidRPr="002427F6">
        <w:rPr>
          <w:rFonts w:ascii="Arial" w:hAnsi="Arial" w:cs="Arial"/>
        </w:rPr>
        <w:t xml:space="preserve"> um espaço, como afirma Abdalla (2006, p. 67), para “[...] reinventar instrumentos significativos de construção da realidade”. </w:t>
      </w:r>
      <w:r w:rsidR="002427F6" w:rsidRPr="002427F6">
        <w:rPr>
          <w:rFonts w:ascii="Arial" w:hAnsi="Arial" w:cs="Arial"/>
        </w:rPr>
        <w:t xml:space="preserve">Ainda na perspectiva </w:t>
      </w:r>
      <w:proofErr w:type="spellStart"/>
      <w:r w:rsidR="002427F6" w:rsidRPr="002427F6">
        <w:rPr>
          <w:rFonts w:ascii="Arial" w:hAnsi="Arial" w:cs="Arial"/>
        </w:rPr>
        <w:t>bourdiesiana</w:t>
      </w:r>
      <w:proofErr w:type="spellEnd"/>
      <w:r w:rsidR="002427F6" w:rsidRPr="002427F6">
        <w:rPr>
          <w:rFonts w:ascii="Arial" w:hAnsi="Arial" w:cs="Arial"/>
        </w:rPr>
        <w:t>, a escola pode ser considerada</w:t>
      </w:r>
      <w:r w:rsidR="002427F6" w:rsidRPr="002427F6">
        <w:rPr>
          <w:rFonts w:ascii="Arial" w:hAnsi="Arial" w:cs="Arial"/>
        </w:rPr>
        <w:t xml:space="preserve"> o “espaço dos possíveis”, onde os vínculos sociais criados a partir dos estados de </w:t>
      </w:r>
      <w:r w:rsidR="002427F6" w:rsidRPr="002427F6">
        <w:rPr>
          <w:rFonts w:ascii="Arial" w:hAnsi="Arial" w:cs="Arial"/>
          <w:i/>
          <w:iCs/>
        </w:rPr>
        <w:t>capital cultural incorporado</w:t>
      </w:r>
      <w:r w:rsidR="002427F6" w:rsidRPr="002427F6">
        <w:rPr>
          <w:rFonts w:ascii="Arial" w:hAnsi="Arial" w:cs="Arial"/>
        </w:rPr>
        <w:t xml:space="preserve">, </w:t>
      </w:r>
      <w:r w:rsidR="002427F6" w:rsidRPr="002427F6">
        <w:rPr>
          <w:rFonts w:ascii="Arial" w:hAnsi="Arial" w:cs="Arial"/>
          <w:i/>
          <w:iCs/>
        </w:rPr>
        <w:t xml:space="preserve">objetivado </w:t>
      </w:r>
      <w:r w:rsidR="002427F6" w:rsidRPr="002427F6">
        <w:rPr>
          <w:rFonts w:ascii="Arial" w:hAnsi="Arial" w:cs="Arial"/>
        </w:rPr>
        <w:t xml:space="preserve">e </w:t>
      </w:r>
      <w:r w:rsidR="002427F6" w:rsidRPr="002427F6">
        <w:rPr>
          <w:rFonts w:ascii="Arial" w:hAnsi="Arial" w:cs="Arial"/>
          <w:i/>
          <w:iCs/>
        </w:rPr>
        <w:lastRenderedPageBreak/>
        <w:t>institucionalizado</w:t>
      </w:r>
      <w:r w:rsidR="002427F6" w:rsidRPr="002427F6">
        <w:rPr>
          <w:rFonts w:ascii="Arial" w:hAnsi="Arial" w:cs="Arial"/>
        </w:rPr>
        <w:t>, conforme diria Bourdieu (2018), possibilitam enxergar contradições e conflitos sociais</w:t>
      </w:r>
      <w:r w:rsidR="002427F6" w:rsidRPr="002427F6">
        <w:rPr>
          <w:rFonts w:ascii="Arial" w:hAnsi="Arial" w:cs="Arial"/>
        </w:rPr>
        <w:t>.</w:t>
      </w:r>
    </w:p>
    <w:p w14:paraId="0CF465CA" w14:textId="554D52E3" w:rsidR="000C4775" w:rsidRPr="008D3E77" w:rsidRDefault="000C4775" w:rsidP="008D3E77">
      <w:pPr>
        <w:spacing w:after="0" w:line="360" w:lineRule="auto"/>
        <w:ind w:firstLine="708"/>
        <w:jc w:val="both"/>
        <w:rPr>
          <w:rStyle w:val="y2iqfc"/>
          <w:rFonts w:ascii="Arial" w:hAnsi="Arial" w:cs="Arial"/>
          <w:color w:val="000000" w:themeColor="text1"/>
          <w:lang w:val="es-ES"/>
        </w:rPr>
      </w:pPr>
      <w:r w:rsidRPr="000C4775">
        <w:rPr>
          <w:rStyle w:val="y2iqfc"/>
          <w:rFonts w:ascii="Arial" w:eastAsiaTheme="majorEastAsia" w:hAnsi="Arial" w:cs="Arial"/>
          <w:color w:val="1F1F1F"/>
          <w:lang w:val="pt-PT"/>
        </w:rPr>
        <w:t>A Educação de Jovens e Adultos possui especificidades quanto ao seu público. Não é raro encontrar alunos que evadiram-se da escola em anos anteriores; muitos desses alunos já estavam inclusive inseridos no mercado de trabalho.</w:t>
      </w:r>
    </w:p>
    <w:p w14:paraId="16F1A298" w14:textId="77777777" w:rsidR="000C4775" w:rsidRDefault="000C4775" w:rsidP="000C4775">
      <w:pPr>
        <w:spacing w:after="0" w:line="360" w:lineRule="auto"/>
        <w:ind w:firstLine="708"/>
        <w:jc w:val="both"/>
        <w:rPr>
          <w:rStyle w:val="y2iqfc"/>
          <w:rFonts w:ascii="Arial" w:eastAsiaTheme="majorEastAsia" w:hAnsi="Arial" w:cs="Arial"/>
          <w:color w:val="1F1F1F"/>
          <w:lang w:val="pt-PT"/>
        </w:rPr>
      </w:pPr>
      <w:r w:rsidRPr="000C4775">
        <w:rPr>
          <w:rStyle w:val="y2iqfc"/>
          <w:rFonts w:ascii="Arial" w:eastAsiaTheme="majorEastAsia" w:hAnsi="Arial" w:cs="Arial"/>
          <w:color w:val="1F1F1F"/>
          <w:lang w:val="pt-PT"/>
        </w:rPr>
        <w:t>A partir do momento em que o indivíduo se torna “alguém eminentemente governável” e adquire o seu “</w:t>
      </w:r>
      <w:r w:rsidRPr="000C4775">
        <w:rPr>
          <w:rStyle w:val="y2iqfc"/>
          <w:rFonts w:ascii="Arial" w:eastAsiaTheme="majorEastAsia" w:hAnsi="Arial" w:cs="Arial"/>
          <w:i/>
          <w:iCs/>
          <w:color w:val="1F1F1F"/>
          <w:lang w:val="pt-PT"/>
        </w:rPr>
        <w:t>habitus</w:t>
      </w:r>
      <w:r w:rsidRPr="000C4775">
        <w:rPr>
          <w:rStyle w:val="y2iqfc"/>
          <w:rFonts w:ascii="Arial" w:eastAsiaTheme="majorEastAsia" w:hAnsi="Arial" w:cs="Arial"/>
          <w:color w:val="1F1F1F"/>
          <w:lang w:val="pt-PT"/>
        </w:rPr>
        <w:t>”; a liberdade, que antes consistia na realização de qualquer aspiração política, humana ou cultural - resulta na posição de indivíduos autônomos.</w:t>
      </w:r>
    </w:p>
    <w:p w14:paraId="3B0F57FC" w14:textId="1960F32B" w:rsidR="000C4775" w:rsidRDefault="000C4775" w:rsidP="000C4775">
      <w:pPr>
        <w:spacing w:line="360" w:lineRule="auto"/>
        <w:ind w:firstLine="708"/>
        <w:jc w:val="both"/>
        <w:rPr>
          <w:rFonts w:ascii="Arial" w:hAnsi="Arial" w:cs="Arial"/>
          <w:b/>
          <w:bCs/>
          <w:color w:val="000000"/>
        </w:rPr>
      </w:pPr>
      <w:r w:rsidRPr="000C4775">
        <w:rPr>
          <w:rStyle w:val="y2iqfc"/>
          <w:rFonts w:ascii="Arial" w:eastAsiaTheme="majorEastAsia" w:hAnsi="Arial" w:cs="Arial"/>
          <w:color w:val="1F1F1F"/>
          <w:lang w:val="pt-PT"/>
        </w:rPr>
        <w:t>Questões como a infância, a educação, a sexualidade, a relação com os outros seres vivos e com o planeta, e o amor, a amizade, a simpatia e até a morte, não fazem mais parte do campo possível de experiência dos indivíduos que devem ser destacados como bens de consumo, investimentos. no capital humano.</w:t>
      </w:r>
    </w:p>
    <w:p w14:paraId="637D1752" w14:textId="77777777" w:rsidR="000C4775" w:rsidRDefault="000C4775" w:rsidP="000C4775">
      <w:pPr>
        <w:spacing w:line="360" w:lineRule="auto"/>
        <w:ind w:firstLine="708"/>
        <w:jc w:val="both"/>
        <w:rPr>
          <w:rStyle w:val="y2iqfc"/>
          <w:rFonts w:ascii="Arial" w:eastAsiaTheme="majorEastAsia" w:hAnsi="Arial" w:cs="Arial"/>
          <w:color w:val="1F1F1F"/>
          <w:lang w:val="pt-PT"/>
        </w:rPr>
      </w:pPr>
      <w:r w:rsidRPr="000C4775">
        <w:rPr>
          <w:rStyle w:val="y2iqfc"/>
          <w:rFonts w:ascii="Arial" w:eastAsiaTheme="majorEastAsia" w:hAnsi="Arial" w:cs="Arial"/>
          <w:color w:val="1F1F1F"/>
          <w:lang w:val="pt-PT"/>
        </w:rPr>
        <w:t>No ambiente neoliberal a autoexperiência torna-se quase impossível, uma vez que nele não há comportamento que não seja exclusivamente uma resposta aos estímulos ambientais. O campo possui propriedades universais, ou seja, presentes em todos os campos, e características próprias. As propriedades de um campo, além do habitus específico, são a estrutura, a doxa ou opinião consensual, as leis que o regem e que regulam a luta pela dominação do campo.</w:t>
      </w:r>
    </w:p>
    <w:p w14:paraId="4E5455C7" w14:textId="77777777" w:rsidR="000C4775" w:rsidRDefault="000C4775" w:rsidP="000C4775">
      <w:pPr>
        <w:spacing w:line="360" w:lineRule="auto"/>
        <w:ind w:firstLine="708"/>
        <w:jc w:val="both"/>
        <w:rPr>
          <w:rStyle w:val="y2iqfc"/>
          <w:rFonts w:ascii="Arial" w:eastAsiaTheme="majorEastAsia" w:hAnsi="Arial" w:cs="Arial"/>
          <w:color w:val="1F1F1F"/>
          <w:lang w:val="pt-PT"/>
        </w:rPr>
      </w:pPr>
      <w:r w:rsidRPr="000C4775">
        <w:rPr>
          <w:rStyle w:val="y2iqfc"/>
          <w:rFonts w:ascii="Arial" w:eastAsiaTheme="majorEastAsia" w:hAnsi="Arial" w:cs="Arial"/>
          <w:color w:val="1F1F1F"/>
          <w:lang w:val="pt-PT"/>
        </w:rPr>
        <w:t>Nesse cenário, observamos a violência simbólica não tão sutil nas relações entre professores e alunos, por meio de uma imposição de saberes quando não há uma atitude reflexiva que valorize o habitus do ator-aluno. O professor pode cair na armadilha de ficar imerso num poder arbitrário, onde uma cultura se impõe sobre outra. Sem uma formação específica para professores que atuem na EJA, como trabalhar respeitando o habitus destes educandos sem cometer uma violência simbólica?</w:t>
      </w:r>
    </w:p>
    <w:p w14:paraId="3C1C332F" w14:textId="29578B83" w:rsidR="000C4775" w:rsidRPr="005B1CCC" w:rsidRDefault="000C4775" w:rsidP="005B1CCC">
      <w:pPr>
        <w:spacing w:line="360" w:lineRule="auto"/>
        <w:ind w:firstLine="708"/>
        <w:jc w:val="both"/>
        <w:rPr>
          <w:rStyle w:val="y2iqfc"/>
          <w:rFonts w:ascii="Arial" w:eastAsiaTheme="majorEastAsia" w:hAnsi="Arial" w:cs="Arial"/>
          <w:b/>
          <w:bCs/>
          <w:color w:val="1F1F1F"/>
          <w:lang w:val="pt-PT"/>
        </w:rPr>
      </w:pPr>
      <w:r w:rsidRPr="005B1CCC">
        <w:rPr>
          <w:rFonts w:ascii="Arial" w:hAnsi="Arial" w:cs="Arial"/>
        </w:rPr>
        <w:t>O presente estudo consiste em uma pesquisa bibliográfica</w:t>
      </w:r>
      <w:r w:rsidR="005B1CCC" w:rsidRPr="005B1CCC">
        <w:rPr>
          <w:rFonts w:ascii="Arial" w:hAnsi="Arial" w:cs="Arial"/>
        </w:rPr>
        <w:t xml:space="preserve"> em plataformas de artigos científicos como SCIELO,</w:t>
      </w:r>
      <w:r w:rsidR="00FA425D">
        <w:rPr>
          <w:rFonts w:ascii="Arial" w:hAnsi="Arial" w:cs="Arial"/>
        </w:rPr>
        <w:t xml:space="preserve"> Biblioteca Digital de Teses e </w:t>
      </w:r>
      <w:r w:rsidR="00FA425D">
        <w:rPr>
          <w:rFonts w:ascii="Arial" w:hAnsi="Arial" w:cs="Arial"/>
        </w:rPr>
        <w:lastRenderedPageBreak/>
        <w:t>Dissertações,</w:t>
      </w:r>
      <w:r w:rsidR="005B1CCC" w:rsidRPr="005B1CCC">
        <w:rPr>
          <w:rFonts w:ascii="Arial" w:hAnsi="Arial" w:cs="Arial"/>
        </w:rPr>
        <w:t xml:space="preserve"> Google Acadêmico</w:t>
      </w:r>
      <w:r w:rsidR="00FA425D">
        <w:rPr>
          <w:rFonts w:ascii="Arial" w:hAnsi="Arial" w:cs="Arial"/>
        </w:rPr>
        <w:t xml:space="preserve">, culminando na articulação com os autores e na </w:t>
      </w:r>
      <w:r w:rsidR="005B1CCC" w:rsidRPr="005B1CCC">
        <w:rPr>
          <w:rFonts w:ascii="Arial" w:hAnsi="Arial" w:cs="Arial"/>
        </w:rPr>
        <w:t xml:space="preserve">reflexão teórica. </w:t>
      </w:r>
      <w:r w:rsidRPr="005B1CCC">
        <w:rPr>
          <w:rFonts w:ascii="Arial" w:hAnsi="Arial" w:cs="Arial"/>
        </w:rPr>
        <w:t xml:space="preserve">O </w:t>
      </w:r>
      <w:r w:rsidR="005B1CCC" w:rsidRPr="005B1CCC">
        <w:rPr>
          <w:rFonts w:ascii="Arial" w:hAnsi="Arial" w:cs="Arial"/>
        </w:rPr>
        <w:t xml:space="preserve">trabalho </w:t>
      </w:r>
      <w:r w:rsidRPr="005B1CCC">
        <w:rPr>
          <w:rFonts w:ascii="Arial" w:hAnsi="Arial" w:cs="Arial"/>
        </w:rPr>
        <w:t xml:space="preserve">baseou-se na análise da bibliografia proposta no sentido de selecionar conceitos que trouxessem </w:t>
      </w:r>
      <w:r w:rsidR="005B1CCC" w:rsidRPr="005B1CCC">
        <w:rPr>
          <w:rFonts w:ascii="Arial" w:hAnsi="Arial" w:cs="Arial"/>
        </w:rPr>
        <w:t>embasamento ao texto</w:t>
      </w:r>
      <w:r w:rsidRPr="005B1CCC">
        <w:rPr>
          <w:rFonts w:ascii="Arial" w:hAnsi="Arial" w:cs="Arial"/>
        </w:rPr>
        <w:t xml:space="preserve"> no que se refere a formação de docentes de arte na educação de jovens e adultos.</w:t>
      </w:r>
    </w:p>
    <w:p w14:paraId="463403D6" w14:textId="4344058F" w:rsidR="000C4775" w:rsidRDefault="000C4775" w:rsidP="000C4775">
      <w:pPr>
        <w:spacing w:line="360" w:lineRule="auto"/>
        <w:ind w:firstLine="708"/>
        <w:jc w:val="both"/>
        <w:rPr>
          <w:rStyle w:val="y2iqfc"/>
          <w:rFonts w:ascii="Arial" w:eastAsiaTheme="majorEastAsia" w:hAnsi="Arial" w:cs="Arial"/>
          <w:color w:val="1F1F1F"/>
          <w:lang w:val="pt-PT"/>
        </w:rPr>
      </w:pPr>
      <w:r w:rsidRPr="000C4775">
        <w:rPr>
          <w:rStyle w:val="y2iqfc"/>
          <w:rFonts w:ascii="Arial" w:eastAsiaTheme="majorEastAsia" w:hAnsi="Arial" w:cs="Arial"/>
          <w:color w:val="1F1F1F"/>
          <w:lang w:val="pt-PT"/>
        </w:rPr>
        <w:t xml:space="preserve">Respeitando o capital cultural de cada indivíduo e contribuindo para sua expansão, expressão e criticidade, é possível detectar determinados conhecimentos que contribuem para que o </w:t>
      </w:r>
      <w:r w:rsidR="00FA425D">
        <w:rPr>
          <w:rStyle w:val="y2iqfc"/>
          <w:rFonts w:ascii="Arial" w:eastAsiaTheme="majorEastAsia" w:hAnsi="Arial" w:cs="Arial"/>
          <w:color w:val="1F1F1F"/>
          <w:lang w:val="pt-PT"/>
        </w:rPr>
        <w:t>agente social (estudante)</w:t>
      </w:r>
      <w:r w:rsidRPr="000C4775">
        <w:rPr>
          <w:rStyle w:val="y2iqfc"/>
          <w:rFonts w:ascii="Arial" w:eastAsiaTheme="majorEastAsia" w:hAnsi="Arial" w:cs="Arial"/>
          <w:color w:val="1F1F1F"/>
          <w:lang w:val="pt-PT"/>
        </w:rPr>
        <w:t xml:space="preserve"> consiga não apenas oferecer o retorno esperado em termos de resultados na escola, mas também desenvolver sua capacidade reflexiva e emancipatória, num processo de construção de sua autonomia. Por outro lado, sem acesso ao capital socialmente imposto, o aluno tem menos condições de aprender de forma satisfatória sob um ponto de vista mais categorizado.</w:t>
      </w:r>
    </w:p>
    <w:p w14:paraId="38BD5F8E" w14:textId="77777777" w:rsidR="000C4775" w:rsidRDefault="000C4775" w:rsidP="000C4775">
      <w:pPr>
        <w:spacing w:line="360" w:lineRule="auto"/>
        <w:ind w:firstLine="708"/>
        <w:jc w:val="both"/>
        <w:rPr>
          <w:rStyle w:val="y2iqfc"/>
          <w:rFonts w:ascii="Arial" w:eastAsiaTheme="majorEastAsia" w:hAnsi="Arial" w:cs="Arial"/>
          <w:color w:val="1F1F1F"/>
          <w:lang w:val="pt-PT"/>
        </w:rPr>
      </w:pPr>
      <w:r w:rsidRPr="000C4775">
        <w:rPr>
          <w:rStyle w:val="y2iqfc"/>
          <w:rFonts w:ascii="Arial" w:eastAsiaTheme="majorEastAsia" w:hAnsi="Arial" w:cs="Arial"/>
          <w:color w:val="1F1F1F"/>
          <w:lang w:val="pt-PT"/>
        </w:rPr>
        <w:t>Embora um sistema simbólico não declare que busca exercer influência e dominação sobre uma determinada sociedade através de uma determinada formação, ele exerce e é dirigido pela chamada classe dominante, que é a classe que possui maior poder aquisitivo em capital cultural acumulado</w:t>
      </w:r>
    </w:p>
    <w:p w14:paraId="6FC6BFFD" w14:textId="77777777" w:rsidR="008D3E77" w:rsidRDefault="000C4775" w:rsidP="008D3E77">
      <w:pPr>
        <w:spacing w:line="360" w:lineRule="auto"/>
        <w:ind w:firstLine="708"/>
        <w:jc w:val="both"/>
        <w:rPr>
          <w:rStyle w:val="y2iqfc"/>
          <w:rFonts w:ascii="Arial" w:eastAsiaTheme="majorEastAsia" w:hAnsi="Arial" w:cs="Arial"/>
          <w:b/>
          <w:bCs/>
          <w:color w:val="1F1F1F"/>
          <w:lang w:val="pt-PT"/>
        </w:rPr>
      </w:pPr>
      <w:r w:rsidRPr="000C4775">
        <w:rPr>
          <w:rStyle w:val="y2iqfc"/>
          <w:rFonts w:ascii="Arial" w:eastAsiaTheme="majorEastAsia" w:hAnsi="Arial" w:cs="Arial"/>
          <w:color w:val="1F1F1F"/>
          <w:lang w:val="pt-PT"/>
        </w:rPr>
        <w:t>Enquanto para Bourdieu (2007), cada sujeito traz consigo das relações familiares uma herança cultural que os auxilia nas relações sociais. O ambiente familiar é a primeira instância de formação e transformação do habitus, pois é o primeiro contato para a aquisição da linguagem, dos valores, dos modos de agir, de pensar, entre outros aspectos sociais. Outro campo é a escola, o sujeito passa por experiências em relação às regras e normas de convivência nesse ambiente, aprende comportamentos sociais, passa pelo processo de ensino e aprendizagem de conhecimentos historicamente sistematizados, remodelando seu habitus. Em espaços sociais, como igreja e encontros com amigos, outras experiências se unem e mais aprendizados são adquiridos. Na juventude e/ou na idade adulta, seu habitus passa pela experiência do trabalho e continua se transformando. Essas idas e vindas da trajetória de vida moldam, remodelam e transformam o sujeito.</w:t>
      </w:r>
    </w:p>
    <w:p w14:paraId="159716B1" w14:textId="5603EDCD" w:rsidR="000C4775" w:rsidRPr="000C4775" w:rsidRDefault="000C4775" w:rsidP="008D3E77">
      <w:pPr>
        <w:spacing w:line="360" w:lineRule="auto"/>
        <w:ind w:firstLine="708"/>
        <w:jc w:val="both"/>
        <w:rPr>
          <w:rFonts w:ascii="Arial" w:eastAsiaTheme="majorEastAsia" w:hAnsi="Arial" w:cs="Arial"/>
          <w:b/>
          <w:bCs/>
          <w:color w:val="1F1F1F"/>
          <w:lang w:val="pt-PT"/>
        </w:rPr>
      </w:pPr>
      <w:r>
        <w:rPr>
          <w:rStyle w:val="y2iqfc"/>
          <w:rFonts w:ascii="Arial" w:eastAsiaTheme="majorEastAsia" w:hAnsi="Arial" w:cs="Arial"/>
          <w:color w:val="1F1F1F"/>
          <w:lang w:val="pt-PT"/>
        </w:rPr>
        <w:lastRenderedPageBreak/>
        <w:t>P</w:t>
      </w:r>
      <w:r w:rsidRPr="000C4775">
        <w:rPr>
          <w:rStyle w:val="y2iqfc"/>
          <w:rFonts w:ascii="Arial" w:eastAsiaTheme="majorEastAsia" w:hAnsi="Arial" w:cs="Arial"/>
          <w:color w:val="1F1F1F"/>
          <w:lang w:val="pt-PT"/>
        </w:rPr>
        <w:t>ensar a formação de professores na perspectiva de Freire (2001, 2002) pressupõe a superação da prática docente tradicional. Configura-se como uma formação permanente, crítica, dialógica, problematizadora, investigativa, democrática e intercultural. No processo de formação há pesquisa, questionamento, problematização e reflexão sobre a prática vivenciada em aula, relacionando teoria e prática e os conteúdos aprendidos de forma interdisciplinar (Ventura, 2012). Compreender uma formação que visa a autonomia de professores e alunos como sujeitos e cidadãos abre a discussão para uma dimensão ética e política.</w:t>
      </w:r>
    </w:p>
    <w:p w14:paraId="4CA1112A" w14:textId="6AB594C6" w:rsidR="00E13917" w:rsidRDefault="000C4775" w:rsidP="000C4775">
      <w:pPr>
        <w:spacing w:line="360" w:lineRule="auto"/>
        <w:jc w:val="both"/>
        <w:rPr>
          <w:rStyle w:val="y2iqfc"/>
          <w:rFonts w:ascii="Arial" w:eastAsiaTheme="majorEastAsia" w:hAnsi="Arial" w:cs="Arial"/>
          <w:color w:val="1F1F1F"/>
          <w:lang w:val="pt-PT"/>
        </w:rPr>
      </w:pPr>
      <w:r w:rsidRPr="000C4775">
        <w:rPr>
          <w:rStyle w:val="y2iqfc"/>
          <w:rFonts w:ascii="Arial" w:eastAsiaTheme="majorEastAsia" w:hAnsi="Arial" w:cs="Arial"/>
          <w:color w:val="1F1F1F"/>
          <w:lang w:val="pt-PT"/>
        </w:rPr>
        <w:tab/>
        <w:t>Freire (2001) trouxe esperança ao mundo e suas ideias jamais serão esquecidas; pelo contrário, suas reflexões consolidam o pensamento dos profissionais que atuam diariamente nas salas de aula. Estar atento às suas discussões é de extrema importância para todas as áreas, principalmente para a graduação. Tais conhecimentos podem aproximar os profissionais de discussões que abordem a realidade de forma profunda, com responsabilidade, conhecimentos e procedimentos capazes de propor propostas pedagógicas</w:t>
      </w:r>
      <w:r>
        <w:rPr>
          <w:rStyle w:val="y2iqfc"/>
          <w:rFonts w:ascii="Arial" w:eastAsiaTheme="majorEastAsia" w:hAnsi="Arial" w:cs="Arial"/>
          <w:color w:val="1F1F1F"/>
          <w:lang w:val="pt-PT"/>
        </w:rPr>
        <w:t xml:space="preserve"> </w:t>
      </w:r>
      <w:r w:rsidR="00E13917" w:rsidRPr="000C4775">
        <w:rPr>
          <w:rStyle w:val="y2iqfc"/>
          <w:rFonts w:ascii="Arial" w:eastAsiaTheme="majorEastAsia" w:hAnsi="Arial" w:cs="Arial"/>
          <w:color w:val="1F1F1F"/>
          <w:lang w:val="pt-PT"/>
        </w:rPr>
        <w:t>amplas, contemplando diferentes temas e proporcionando uma educação que permeie os capilares desta sociedade.</w:t>
      </w:r>
    </w:p>
    <w:p w14:paraId="53195921" w14:textId="6323EB39" w:rsidR="000C4775" w:rsidRDefault="000C4775" w:rsidP="000C4775">
      <w:pPr>
        <w:spacing w:line="360" w:lineRule="auto"/>
        <w:jc w:val="both"/>
        <w:rPr>
          <w:rFonts w:ascii="Arial" w:hAnsi="Arial" w:cs="Arial"/>
          <w:b/>
          <w:bCs/>
          <w:color w:val="000000"/>
        </w:rPr>
      </w:pPr>
    </w:p>
    <w:p w14:paraId="7403C45E" w14:textId="4F91421C" w:rsidR="005B1CCC" w:rsidRDefault="005B1CCC" w:rsidP="000C4775">
      <w:pPr>
        <w:spacing w:line="360" w:lineRule="auto"/>
        <w:jc w:val="both"/>
        <w:rPr>
          <w:rFonts w:ascii="Arial" w:hAnsi="Arial" w:cs="Arial"/>
          <w:b/>
          <w:bCs/>
          <w:color w:val="000000"/>
        </w:rPr>
      </w:pPr>
    </w:p>
    <w:p w14:paraId="12A1FEAC" w14:textId="36C04A0B" w:rsidR="005B1CCC" w:rsidRDefault="005B1CCC" w:rsidP="000C4775">
      <w:pPr>
        <w:spacing w:line="360" w:lineRule="auto"/>
        <w:jc w:val="both"/>
        <w:rPr>
          <w:rFonts w:ascii="Arial" w:hAnsi="Arial" w:cs="Arial"/>
          <w:b/>
          <w:bCs/>
          <w:color w:val="000000"/>
        </w:rPr>
      </w:pPr>
    </w:p>
    <w:p w14:paraId="09E548AA" w14:textId="3C214BDE" w:rsidR="008D3E77" w:rsidRDefault="008D3E77" w:rsidP="000C4775">
      <w:pPr>
        <w:spacing w:line="360" w:lineRule="auto"/>
        <w:jc w:val="both"/>
        <w:rPr>
          <w:rFonts w:ascii="Arial" w:hAnsi="Arial" w:cs="Arial"/>
          <w:b/>
          <w:bCs/>
          <w:color w:val="000000"/>
        </w:rPr>
      </w:pPr>
    </w:p>
    <w:p w14:paraId="646860A2" w14:textId="135010A7" w:rsidR="008D3E77" w:rsidRDefault="008D3E77" w:rsidP="000C4775">
      <w:pPr>
        <w:spacing w:line="360" w:lineRule="auto"/>
        <w:jc w:val="both"/>
        <w:rPr>
          <w:rFonts w:ascii="Arial" w:hAnsi="Arial" w:cs="Arial"/>
          <w:b/>
          <w:bCs/>
          <w:color w:val="000000"/>
        </w:rPr>
      </w:pPr>
    </w:p>
    <w:p w14:paraId="019B9C6E" w14:textId="49CCDF8F" w:rsidR="008D3E77" w:rsidRDefault="008D3E77" w:rsidP="000C4775">
      <w:pPr>
        <w:spacing w:line="360" w:lineRule="auto"/>
        <w:jc w:val="both"/>
        <w:rPr>
          <w:rFonts w:ascii="Arial" w:hAnsi="Arial" w:cs="Arial"/>
          <w:b/>
          <w:bCs/>
          <w:color w:val="000000"/>
        </w:rPr>
      </w:pPr>
    </w:p>
    <w:p w14:paraId="53A9423F" w14:textId="1F5F5344" w:rsidR="008D3E77" w:rsidRDefault="008D3E77" w:rsidP="000C4775">
      <w:pPr>
        <w:spacing w:line="360" w:lineRule="auto"/>
        <w:jc w:val="both"/>
        <w:rPr>
          <w:rFonts w:ascii="Arial" w:hAnsi="Arial" w:cs="Arial"/>
          <w:b/>
          <w:bCs/>
          <w:color w:val="000000"/>
        </w:rPr>
      </w:pPr>
    </w:p>
    <w:p w14:paraId="270A0C28" w14:textId="77777777" w:rsidR="008D3E77" w:rsidRPr="000C4775" w:rsidRDefault="008D3E77" w:rsidP="000C4775">
      <w:pPr>
        <w:spacing w:line="360" w:lineRule="auto"/>
        <w:jc w:val="both"/>
        <w:rPr>
          <w:rFonts w:ascii="Arial" w:hAnsi="Arial" w:cs="Arial"/>
          <w:b/>
          <w:bCs/>
          <w:color w:val="000000"/>
        </w:rPr>
      </w:pPr>
    </w:p>
    <w:p w14:paraId="5EE613B5" w14:textId="478113B4" w:rsidR="00E13917" w:rsidRDefault="00E13917" w:rsidP="00C814A6">
      <w:pPr>
        <w:spacing w:after="0" w:line="240" w:lineRule="auto"/>
        <w:jc w:val="both"/>
        <w:rPr>
          <w:rFonts w:ascii="Arial" w:hAnsi="Arial" w:cs="Arial"/>
        </w:rPr>
      </w:pPr>
    </w:p>
    <w:p w14:paraId="3DDDAA92" w14:textId="7BE57622" w:rsidR="008D3E77" w:rsidRDefault="008D3E77" w:rsidP="00C814A6">
      <w:pPr>
        <w:spacing w:after="0" w:line="240" w:lineRule="auto"/>
        <w:jc w:val="both"/>
        <w:rPr>
          <w:rFonts w:ascii="Arial" w:hAnsi="Arial" w:cs="Arial"/>
        </w:rPr>
      </w:pPr>
    </w:p>
    <w:p w14:paraId="4F370266" w14:textId="77777777" w:rsidR="008D3E77" w:rsidRPr="00E13917" w:rsidRDefault="008D3E77" w:rsidP="00C814A6">
      <w:pPr>
        <w:spacing w:after="0" w:line="240" w:lineRule="auto"/>
        <w:jc w:val="both"/>
        <w:rPr>
          <w:rFonts w:ascii="Arial" w:hAnsi="Arial" w:cs="Arial"/>
        </w:rPr>
      </w:pPr>
    </w:p>
    <w:p w14:paraId="5F8CAE1C" w14:textId="2B5F3182" w:rsidR="00E13917" w:rsidRDefault="00E13917" w:rsidP="00E13917">
      <w:pPr>
        <w:spacing w:line="360" w:lineRule="auto"/>
        <w:jc w:val="both"/>
        <w:rPr>
          <w:rFonts w:ascii="Arial" w:hAnsi="Arial" w:cs="Arial"/>
          <w:b/>
          <w:bCs/>
        </w:rPr>
      </w:pPr>
      <w:r w:rsidRPr="00E13917">
        <w:rPr>
          <w:rFonts w:ascii="Arial" w:hAnsi="Arial" w:cs="Arial"/>
          <w:b/>
          <w:bCs/>
        </w:rPr>
        <w:t>REFERENCIAS BIBLIOGRÁFICAS</w:t>
      </w:r>
    </w:p>
    <w:p w14:paraId="7DFB1879" w14:textId="77777777" w:rsidR="00574196" w:rsidRPr="00E13917" w:rsidRDefault="00574196" w:rsidP="00E13917">
      <w:pPr>
        <w:spacing w:line="360" w:lineRule="auto"/>
        <w:jc w:val="both"/>
        <w:rPr>
          <w:rFonts w:ascii="Arial" w:hAnsi="Arial" w:cs="Arial"/>
          <w:b/>
          <w:bCs/>
        </w:rPr>
      </w:pPr>
    </w:p>
    <w:p w14:paraId="7C8A1D57" w14:textId="23D16EB0" w:rsidR="002427F6" w:rsidRPr="002427F6" w:rsidRDefault="002427F6" w:rsidP="00E13917">
      <w:pPr>
        <w:spacing w:line="360" w:lineRule="auto"/>
        <w:jc w:val="both"/>
        <w:rPr>
          <w:rFonts w:ascii="Arial" w:hAnsi="Arial" w:cs="Arial"/>
        </w:rPr>
      </w:pPr>
      <w:r w:rsidRPr="002427F6">
        <w:rPr>
          <w:rFonts w:ascii="Arial" w:hAnsi="Arial" w:cs="Arial"/>
        </w:rPr>
        <w:t xml:space="preserve">ABDALLA, Maria de Fátima Barbosa. </w:t>
      </w:r>
      <w:r w:rsidRPr="002427F6">
        <w:rPr>
          <w:rFonts w:ascii="Arial" w:hAnsi="Arial" w:cs="Arial"/>
          <w:b/>
          <w:bCs/>
        </w:rPr>
        <w:t xml:space="preserve">O Senso Prático de Ser e Estar na Profissão. </w:t>
      </w:r>
      <w:r w:rsidRPr="002427F6">
        <w:rPr>
          <w:rFonts w:ascii="Arial" w:hAnsi="Arial" w:cs="Arial"/>
        </w:rPr>
        <w:t>São Paulo: Cortez, 2006</w:t>
      </w:r>
      <w:r w:rsidRPr="002427F6">
        <w:rPr>
          <w:rFonts w:ascii="Arial" w:hAnsi="Arial" w:cs="Arial"/>
        </w:rPr>
        <w:t>.</w:t>
      </w:r>
    </w:p>
    <w:p w14:paraId="4CA77588" w14:textId="0D687CD8" w:rsidR="002427F6" w:rsidRPr="002427F6" w:rsidRDefault="002427F6" w:rsidP="00E13917">
      <w:pPr>
        <w:spacing w:line="360" w:lineRule="auto"/>
        <w:jc w:val="both"/>
        <w:rPr>
          <w:rFonts w:ascii="Arial" w:hAnsi="Arial" w:cs="Arial"/>
        </w:rPr>
      </w:pPr>
      <w:r w:rsidRPr="002427F6">
        <w:rPr>
          <w:rFonts w:ascii="Arial" w:hAnsi="Arial" w:cs="Arial"/>
        </w:rPr>
        <w:t xml:space="preserve">BOURDIEU, Pierre. </w:t>
      </w:r>
      <w:r w:rsidRPr="002427F6">
        <w:rPr>
          <w:rFonts w:ascii="Arial" w:hAnsi="Arial" w:cs="Arial"/>
          <w:b/>
          <w:bCs/>
        </w:rPr>
        <w:t>Escritos de Educação</w:t>
      </w:r>
      <w:r w:rsidRPr="002427F6">
        <w:rPr>
          <w:rFonts w:ascii="Arial" w:hAnsi="Arial" w:cs="Arial"/>
        </w:rPr>
        <w:t>. Petrópolis: Vozes, 2018</w:t>
      </w:r>
      <w:r w:rsidRPr="002427F6">
        <w:rPr>
          <w:rFonts w:ascii="Arial" w:hAnsi="Arial" w:cs="Arial"/>
        </w:rPr>
        <w:t>.</w:t>
      </w:r>
    </w:p>
    <w:p w14:paraId="2FC85289" w14:textId="2FF60D49" w:rsidR="00E13917" w:rsidRPr="002427F6" w:rsidRDefault="002427F6" w:rsidP="00E13917">
      <w:pPr>
        <w:spacing w:line="360" w:lineRule="auto"/>
        <w:jc w:val="both"/>
        <w:rPr>
          <w:rFonts w:ascii="Arial" w:hAnsi="Arial" w:cs="Arial"/>
        </w:rPr>
      </w:pPr>
      <w:r w:rsidRPr="002427F6">
        <w:rPr>
          <w:rFonts w:ascii="Arial" w:hAnsi="Arial" w:cs="Arial"/>
        </w:rPr>
        <w:t>______</w:t>
      </w:r>
      <w:r w:rsidR="00E13917" w:rsidRPr="002427F6">
        <w:rPr>
          <w:rFonts w:ascii="Arial" w:hAnsi="Arial" w:cs="Arial"/>
        </w:rPr>
        <w:t xml:space="preserve">, Pierre. </w:t>
      </w:r>
      <w:r w:rsidR="00E13917" w:rsidRPr="002427F6">
        <w:rPr>
          <w:rFonts w:ascii="Arial" w:hAnsi="Arial" w:cs="Arial"/>
          <w:b/>
          <w:bCs/>
        </w:rPr>
        <w:t>A distinção: crítica social do julgamento</w:t>
      </w:r>
      <w:r w:rsidR="00E13917" w:rsidRPr="002427F6">
        <w:rPr>
          <w:rFonts w:ascii="Arial" w:hAnsi="Arial" w:cs="Arial"/>
        </w:rPr>
        <w:t>. São Paulo: Edusp; Porto Alegre, RS: Zouk, 2007.</w:t>
      </w:r>
    </w:p>
    <w:p w14:paraId="33130ED6" w14:textId="77777777" w:rsidR="00E13917" w:rsidRPr="002427F6" w:rsidRDefault="00E13917" w:rsidP="00E13917">
      <w:pPr>
        <w:spacing w:line="360" w:lineRule="auto"/>
        <w:jc w:val="both"/>
        <w:rPr>
          <w:rFonts w:ascii="Arial" w:hAnsi="Arial" w:cs="Arial"/>
        </w:rPr>
      </w:pPr>
      <w:r w:rsidRPr="002427F6">
        <w:rPr>
          <w:rFonts w:ascii="Arial" w:hAnsi="Arial" w:cs="Arial"/>
        </w:rPr>
        <w:t xml:space="preserve">______, Pierre: </w:t>
      </w:r>
      <w:r w:rsidRPr="002427F6">
        <w:rPr>
          <w:rFonts w:ascii="Arial" w:hAnsi="Arial" w:cs="Arial"/>
          <w:b/>
          <w:bCs/>
        </w:rPr>
        <w:t>O amor pela arte</w:t>
      </w:r>
      <w:r w:rsidRPr="002427F6">
        <w:rPr>
          <w:rFonts w:ascii="Arial" w:hAnsi="Arial" w:cs="Arial"/>
        </w:rPr>
        <w:t>: Os museus de arte na Europa e seu público. São Paulo: Zouk, 2003.</w:t>
      </w:r>
    </w:p>
    <w:p w14:paraId="7D2D0300" w14:textId="77777777" w:rsidR="00E13917" w:rsidRPr="002427F6" w:rsidRDefault="00E13917" w:rsidP="00E13917">
      <w:pPr>
        <w:spacing w:line="360" w:lineRule="auto"/>
        <w:jc w:val="both"/>
        <w:rPr>
          <w:rFonts w:ascii="Arial" w:hAnsi="Arial" w:cs="Arial"/>
          <w:shd w:val="clear" w:color="auto" w:fill="FFFFFF"/>
        </w:rPr>
      </w:pPr>
      <w:r w:rsidRPr="002427F6">
        <w:rPr>
          <w:rFonts w:ascii="Arial" w:hAnsi="Arial" w:cs="Arial"/>
          <w:shd w:val="clear" w:color="auto" w:fill="FFFFFF"/>
        </w:rPr>
        <w:t>BRASIL, Decreto nº 9.465, de 2 de janeiro de 2019, Ministério da Educação, Disponível em: https://www.conjur.com.br/dl/decreto-9465-janeiro-2019-ensino-militar.pdf acesso em: 17 nov. 2024.</w:t>
      </w:r>
    </w:p>
    <w:p w14:paraId="42D92058" w14:textId="77777777" w:rsidR="00E13917" w:rsidRPr="00E13917" w:rsidRDefault="00E13917" w:rsidP="00E13917">
      <w:pPr>
        <w:spacing w:line="360" w:lineRule="auto"/>
        <w:jc w:val="both"/>
        <w:rPr>
          <w:rFonts w:ascii="Arial" w:hAnsi="Arial" w:cs="Arial"/>
          <w:shd w:val="clear" w:color="auto" w:fill="FFFFFF"/>
        </w:rPr>
      </w:pPr>
      <w:r w:rsidRPr="00E13917">
        <w:rPr>
          <w:rFonts w:ascii="Arial" w:hAnsi="Arial" w:cs="Arial"/>
          <w:shd w:val="clear" w:color="auto" w:fill="FFFFFF"/>
        </w:rPr>
        <w:t xml:space="preserve">______. Base Nacional Comum Curricular. 2ª versão. Brasília, DF: MEC, 2016. </w:t>
      </w:r>
    </w:p>
    <w:p w14:paraId="1EBAA7DD" w14:textId="77777777" w:rsidR="00E13917" w:rsidRPr="00E13917" w:rsidRDefault="00E13917" w:rsidP="00E13917">
      <w:pPr>
        <w:spacing w:line="360" w:lineRule="auto"/>
        <w:jc w:val="both"/>
        <w:rPr>
          <w:rFonts w:ascii="Arial" w:hAnsi="Arial" w:cs="Arial"/>
          <w:shd w:val="clear" w:color="auto" w:fill="FFFFFF"/>
        </w:rPr>
      </w:pPr>
      <w:r w:rsidRPr="00E13917">
        <w:rPr>
          <w:rFonts w:ascii="Arial" w:hAnsi="Arial" w:cs="Arial"/>
          <w:shd w:val="clear" w:color="auto" w:fill="FFFFFF"/>
        </w:rPr>
        <w:t xml:space="preserve">______. Lei de Diretrizes e Bases da Educação Nacional. Lei Federal </w:t>
      </w:r>
      <w:proofErr w:type="spellStart"/>
      <w:r w:rsidRPr="00E13917">
        <w:rPr>
          <w:rFonts w:ascii="Arial" w:hAnsi="Arial" w:cs="Arial"/>
          <w:shd w:val="clear" w:color="auto" w:fill="FFFFFF"/>
        </w:rPr>
        <w:t>n.°</w:t>
      </w:r>
      <w:proofErr w:type="spellEnd"/>
      <w:r w:rsidRPr="00E13917">
        <w:rPr>
          <w:rFonts w:ascii="Arial" w:hAnsi="Arial" w:cs="Arial"/>
          <w:shd w:val="clear" w:color="auto" w:fill="FFFFFF"/>
        </w:rPr>
        <w:t xml:space="preserve"> 9.394, de 26 de dezembro de 1996. Brasília, DF: Senado Federal, 1996. </w:t>
      </w:r>
    </w:p>
    <w:p w14:paraId="79C67F3B" w14:textId="77777777" w:rsidR="00E13917" w:rsidRPr="00E13917" w:rsidRDefault="00E13917" w:rsidP="00E13917">
      <w:pPr>
        <w:spacing w:line="360" w:lineRule="auto"/>
        <w:jc w:val="both"/>
        <w:rPr>
          <w:rFonts w:ascii="Arial" w:hAnsi="Arial" w:cs="Arial"/>
          <w:shd w:val="clear" w:color="auto" w:fill="FFFFFF"/>
        </w:rPr>
      </w:pPr>
      <w:r w:rsidRPr="00E13917">
        <w:rPr>
          <w:rFonts w:ascii="Arial" w:hAnsi="Arial" w:cs="Arial"/>
          <w:shd w:val="clear" w:color="auto" w:fill="FFFFFF"/>
        </w:rPr>
        <w:t xml:space="preserve">______. Ministério da Educação. Secretaria de Educação Básica. Diretoria de Currículos e Educação Integral. Diretrizes Curriculares Nacionais Gerais da Educação Básica. Brasília, DF, 2013. </w:t>
      </w:r>
    </w:p>
    <w:p w14:paraId="4F0BF23E" w14:textId="77777777" w:rsidR="00E13917" w:rsidRPr="00E13917" w:rsidRDefault="00E13917" w:rsidP="00E13917">
      <w:pPr>
        <w:spacing w:line="360" w:lineRule="auto"/>
        <w:jc w:val="both"/>
        <w:rPr>
          <w:rFonts w:ascii="Arial" w:hAnsi="Arial" w:cs="Arial"/>
          <w:shd w:val="clear" w:color="auto" w:fill="FFFFFF"/>
        </w:rPr>
      </w:pPr>
      <w:r w:rsidRPr="00E13917">
        <w:rPr>
          <w:rFonts w:ascii="Arial" w:hAnsi="Arial" w:cs="Arial"/>
          <w:shd w:val="clear" w:color="auto" w:fill="FFFFFF"/>
        </w:rPr>
        <w:t>______. Plano Nacional de Educação 2014-2024: Lei nº 13.005, de 25 de junho de 2014. Brasília, DF: Câmara dos Deputados, Edições Câmara, 2014.</w:t>
      </w:r>
    </w:p>
    <w:p w14:paraId="18591F73" w14:textId="77777777" w:rsidR="00E13917" w:rsidRPr="00E13917" w:rsidRDefault="00E13917" w:rsidP="00E13917">
      <w:pPr>
        <w:spacing w:line="360" w:lineRule="auto"/>
        <w:jc w:val="both"/>
        <w:rPr>
          <w:rFonts w:ascii="Arial" w:hAnsi="Arial" w:cs="Arial"/>
          <w:shd w:val="clear" w:color="auto" w:fill="FFFFFF"/>
        </w:rPr>
      </w:pPr>
      <w:r w:rsidRPr="00E13917">
        <w:rPr>
          <w:rFonts w:ascii="Arial" w:hAnsi="Arial" w:cs="Arial"/>
          <w:shd w:val="clear" w:color="auto" w:fill="FFFFFF"/>
        </w:rPr>
        <w:t>______. Proposta Curricular para a educação de jovens e adultos: segundo segmento do ensino fundamental: 5ª a 8ª série. Brasília: Ministério da Educação/ Secretaria de Educação Fundamental, 2002.</w:t>
      </w:r>
    </w:p>
    <w:p w14:paraId="013B4CE4" w14:textId="77777777" w:rsidR="00E13917" w:rsidRPr="00E13917" w:rsidRDefault="00E13917" w:rsidP="00E13917">
      <w:pPr>
        <w:spacing w:line="360" w:lineRule="auto"/>
        <w:jc w:val="both"/>
        <w:rPr>
          <w:rFonts w:ascii="Arial" w:hAnsi="Arial" w:cs="Arial"/>
        </w:rPr>
      </w:pPr>
      <w:r w:rsidRPr="00E13917">
        <w:rPr>
          <w:rFonts w:ascii="Arial" w:hAnsi="Arial" w:cs="Arial"/>
        </w:rPr>
        <w:t>DI PIERRO, M. C. (Coord.).</w:t>
      </w:r>
      <w:r w:rsidRPr="00E13917">
        <w:rPr>
          <w:rFonts w:ascii="Arial" w:hAnsi="Arial" w:cs="Arial"/>
          <w:b/>
          <w:bCs/>
        </w:rPr>
        <w:t xml:space="preserve"> Centros públicos de educação de jovens e adultos no estado de São Paulo. São Paulo</w:t>
      </w:r>
      <w:r w:rsidRPr="00E13917">
        <w:rPr>
          <w:rFonts w:ascii="Arial" w:hAnsi="Arial" w:cs="Arial"/>
        </w:rPr>
        <w:t>: FEUSP, 2017.</w:t>
      </w:r>
    </w:p>
    <w:p w14:paraId="1C11DD33" w14:textId="77777777" w:rsidR="00E13917" w:rsidRPr="00E13917" w:rsidRDefault="00E13917" w:rsidP="00E13917">
      <w:pPr>
        <w:spacing w:line="360" w:lineRule="auto"/>
        <w:jc w:val="both"/>
        <w:rPr>
          <w:rFonts w:ascii="Arial" w:hAnsi="Arial" w:cs="Arial"/>
        </w:rPr>
      </w:pPr>
      <w:r w:rsidRPr="00E13917">
        <w:rPr>
          <w:rFonts w:ascii="Arial" w:hAnsi="Arial" w:cs="Arial"/>
        </w:rPr>
        <w:lastRenderedPageBreak/>
        <w:t xml:space="preserve">FRIGOTTO, Gaudêncio. A relação da educação profissional e tecnológica com a universalização da educação básica. In: MOLL, Jaqueline e colaboradores (org.). </w:t>
      </w:r>
      <w:r w:rsidRPr="00E13917">
        <w:rPr>
          <w:rFonts w:ascii="Arial" w:hAnsi="Arial" w:cs="Arial"/>
          <w:b/>
          <w:bCs/>
        </w:rPr>
        <w:t>Educação Profissional e Tecnológica no Brasil Contemporâneo: Desafios, Tensões e Possibilidades.</w:t>
      </w:r>
      <w:r w:rsidRPr="00E13917">
        <w:rPr>
          <w:rFonts w:ascii="Arial" w:hAnsi="Arial" w:cs="Arial"/>
        </w:rPr>
        <w:t xml:space="preserve"> Porto Alegre: Artmed, 2010.</w:t>
      </w:r>
    </w:p>
    <w:p w14:paraId="745FAF89" w14:textId="77777777" w:rsidR="00E13917" w:rsidRPr="00E13917" w:rsidRDefault="00E13917" w:rsidP="00E13917">
      <w:pPr>
        <w:spacing w:line="360" w:lineRule="auto"/>
        <w:jc w:val="both"/>
        <w:rPr>
          <w:rFonts w:ascii="Arial" w:hAnsi="Arial" w:cs="Arial"/>
          <w:shd w:val="clear" w:color="auto" w:fill="FFFFFF"/>
        </w:rPr>
      </w:pPr>
      <w:r w:rsidRPr="00E13917">
        <w:rPr>
          <w:rFonts w:ascii="Arial" w:hAnsi="Arial" w:cs="Arial"/>
          <w:shd w:val="clear" w:color="auto" w:fill="FFFFFF"/>
        </w:rPr>
        <w:t xml:space="preserve">FOUCAULT, Michel. </w:t>
      </w:r>
      <w:r w:rsidRPr="00E13917">
        <w:rPr>
          <w:rFonts w:ascii="Arial" w:hAnsi="Arial" w:cs="Arial"/>
          <w:b/>
          <w:bCs/>
          <w:shd w:val="clear" w:color="auto" w:fill="FFFFFF"/>
        </w:rPr>
        <w:t>A arqueologia do saber</w:t>
      </w:r>
      <w:r w:rsidRPr="00E13917">
        <w:rPr>
          <w:rFonts w:ascii="Arial" w:hAnsi="Arial" w:cs="Arial"/>
          <w:shd w:val="clear" w:color="auto" w:fill="FFFFFF"/>
        </w:rPr>
        <w:t>. Tradução de Luiz Felipe Baeta Neves. 8. ed.  Rio de Janeiro: Forense Universitária, 2014.</w:t>
      </w:r>
    </w:p>
    <w:p w14:paraId="15DE1BF3" w14:textId="77777777" w:rsidR="00E13917" w:rsidRPr="00E13917" w:rsidRDefault="00E13917" w:rsidP="00E13917">
      <w:pPr>
        <w:spacing w:line="360" w:lineRule="auto"/>
        <w:jc w:val="both"/>
        <w:rPr>
          <w:rFonts w:ascii="Arial" w:hAnsi="Arial" w:cs="Arial"/>
          <w:shd w:val="clear" w:color="auto" w:fill="FFFFFF"/>
        </w:rPr>
      </w:pPr>
      <w:r w:rsidRPr="00E13917">
        <w:rPr>
          <w:rFonts w:ascii="Arial" w:hAnsi="Arial" w:cs="Arial"/>
          <w:shd w:val="clear" w:color="auto" w:fill="FFFFFF"/>
        </w:rPr>
        <w:t xml:space="preserve">FOUCAULT, Michel. </w:t>
      </w:r>
      <w:r w:rsidRPr="00E13917">
        <w:rPr>
          <w:rFonts w:ascii="Arial" w:hAnsi="Arial" w:cs="Arial"/>
          <w:b/>
          <w:bCs/>
          <w:shd w:val="clear" w:color="auto" w:fill="FFFFFF"/>
        </w:rPr>
        <w:t>A ordem do discurso</w:t>
      </w:r>
      <w:r w:rsidRPr="00E13917">
        <w:rPr>
          <w:rFonts w:ascii="Arial" w:hAnsi="Arial" w:cs="Arial"/>
          <w:shd w:val="clear" w:color="auto" w:fill="FFFFFF"/>
        </w:rPr>
        <w:t>. São Paulo: Loyola, 2002.</w:t>
      </w:r>
    </w:p>
    <w:p w14:paraId="04E2F274" w14:textId="77777777" w:rsidR="00E13917" w:rsidRPr="00E13917" w:rsidRDefault="00E13917" w:rsidP="00E13917">
      <w:pPr>
        <w:spacing w:line="360" w:lineRule="auto"/>
        <w:jc w:val="both"/>
        <w:rPr>
          <w:rFonts w:ascii="Arial" w:hAnsi="Arial" w:cs="Arial"/>
        </w:rPr>
      </w:pPr>
      <w:r w:rsidRPr="00E13917">
        <w:rPr>
          <w:rFonts w:ascii="Arial" w:hAnsi="Arial" w:cs="Arial"/>
        </w:rPr>
        <w:t xml:space="preserve">FREIRE, Paulo. </w:t>
      </w:r>
      <w:r w:rsidRPr="00E13917">
        <w:rPr>
          <w:rFonts w:ascii="Arial" w:hAnsi="Arial" w:cs="Arial"/>
          <w:b/>
          <w:bCs/>
        </w:rPr>
        <w:t>Política e educação</w:t>
      </w:r>
      <w:r w:rsidRPr="00E13917">
        <w:rPr>
          <w:rFonts w:ascii="Arial" w:hAnsi="Arial" w:cs="Arial"/>
        </w:rPr>
        <w:t xml:space="preserve">. São Paulo: Cortez, 2001. </w:t>
      </w:r>
    </w:p>
    <w:p w14:paraId="117BEFF6" w14:textId="77777777" w:rsidR="00E13917" w:rsidRPr="00E13917" w:rsidRDefault="00E13917" w:rsidP="00E13917">
      <w:pPr>
        <w:spacing w:line="360" w:lineRule="auto"/>
        <w:jc w:val="both"/>
        <w:rPr>
          <w:rFonts w:ascii="Arial" w:hAnsi="Arial" w:cs="Arial"/>
        </w:rPr>
      </w:pPr>
      <w:r w:rsidRPr="00E13917">
        <w:rPr>
          <w:rFonts w:ascii="Arial" w:hAnsi="Arial" w:cs="Arial"/>
        </w:rPr>
        <w:t xml:space="preserve">FREIRE, Paulo </w:t>
      </w:r>
      <w:r w:rsidRPr="00E13917">
        <w:rPr>
          <w:rFonts w:ascii="Arial" w:hAnsi="Arial" w:cs="Arial"/>
          <w:b/>
          <w:bCs/>
        </w:rPr>
        <w:t>Pedagogia da Autonomia</w:t>
      </w:r>
      <w:r w:rsidRPr="00E13917">
        <w:rPr>
          <w:rFonts w:ascii="Arial" w:hAnsi="Arial" w:cs="Arial"/>
        </w:rPr>
        <w:t xml:space="preserve">: saberes necessários à prática educativa. 23. Ed. Rio de Janeiro, Paz e Terra. 2002. </w:t>
      </w:r>
    </w:p>
    <w:p w14:paraId="5AB15D19" w14:textId="77777777" w:rsidR="00E13917" w:rsidRPr="00E13917" w:rsidRDefault="00E13917" w:rsidP="00E13917">
      <w:pPr>
        <w:spacing w:line="360" w:lineRule="auto"/>
        <w:jc w:val="both"/>
        <w:rPr>
          <w:rFonts w:ascii="Arial" w:hAnsi="Arial" w:cs="Arial"/>
        </w:rPr>
      </w:pPr>
      <w:r w:rsidRPr="00E13917">
        <w:rPr>
          <w:rFonts w:ascii="Arial" w:hAnsi="Arial" w:cs="Arial"/>
        </w:rPr>
        <w:t xml:space="preserve">FREIRE, Paulo. </w:t>
      </w:r>
      <w:r w:rsidRPr="00E13917">
        <w:rPr>
          <w:rFonts w:ascii="Arial" w:hAnsi="Arial" w:cs="Arial"/>
          <w:b/>
          <w:bCs/>
        </w:rPr>
        <w:t>Pedagogia do Oprimido</w:t>
      </w:r>
      <w:r w:rsidRPr="00E13917">
        <w:rPr>
          <w:rFonts w:ascii="Arial" w:hAnsi="Arial" w:cs="Arial"/>
        </w:rPr>
        <w:t>. 49º ed. Rio de Janeiro: Paz e Terra, 2005</w:t>
      </w:r>
    </w:p>
    <w:p w14:paraId="614D72C7" w14:textId="77777777" w:rsidR="00E13917" w:rsidRPr="00E13917" w:rsidRDefault="00E13917" w:rsidP="00E13917">
      <w:pPr>
        <w:spacing w:line="360" w:lineRule="auto"/>
        <w:jc w:val="both"/>
        <w:rPr>
          <w:rFonts w:ascii="Arial" w:hAnsi="Arial" w:cs="Arial"/>
        </w:rPr>
      </w:pPr>
      <w:r w:rsidRPr="00E13917">
        <w:rPr>
          <w:rFonts w:ascii="Arial" w:hAnsi="Arial" w:cs="Arial"/>
        </w:rPr>
        <w:t xml:space="preserve">LAVAL, Christian; DARDOT, Pierre. </w:t>
      </w:r>
      <w:r w:rsidRPr="00E13917">
        <w:rPr>
          <w:rFonts w:ascii="Arial" w:hAnsi="Arial" w:cs="Arial"/>
          <w:b/>
          <w:bCs/>
        </w:rPr>
        <w:t>A nova razão do mundo: ensaios sobre a sociedade neoliberal.</w:t>
      </w:r>
      <w:r w:rsidRPr="00E13917">
        <w:rPr>
          <w:rFonts w:ascii="Arial" w:hAnsi="Arial" w:cs="Arial"/>
        </w:rPr>
        <w:t xml:space="preserve"> São Paulo: </w:t>
      </w:r>
      <w:proofErr w:type="spellStart"/>
      <w:r w:rsidRPr="00E13917">
        <w:rPr>
          <w:rFonts w:ascii="Arial" w:hAnsi="Arial" w:cs="Arial"/>
        </w:rPr>
        <w:t>Boitempo</w:t>
      </w:r>
      <w:proofErr w:type="spellEnd"/>
      <w:r w:rsidRPr="00E13917">
        <w:rPr>
          <w:rFonts w:ascii="Arial" w:hAnsi="Arial" w:cs="Arial"/>
        </w:rPr>
        <w:t>, 2016.</w:t>
      </w:r>
    </w:p>
    <w:p w14:paraId="5CC702FB" w14:textId="77777777" w:rsidR="00E13917" w:rsidRPr="00E13917" w:rsidRDefault="00E13917" w:rsidP="00E13917">
      <w:pPr>
        <w:spacing w:line="360" w:lineRule="auto"/>
        <w:jc w:val="both"/>
        <w:rPr>
          <w:rFonts w:ascii="Arial" w:hAnsi="Arial" w:cs="Arial"/>
        </w:rPr>
      </w:pPr>
      <w:r w:rsidRPr="00E13917">
        <w:rPr>
          <w:rFonts w:ascii="Arial" w:hAnsi="Arial" w:cs="Arial"/>
        </w:rPr>
        <w:t>VENTURA, Jaqueline. A EJA e os desafios da formação docente nas licenciaturas.</w:t>
      </w:r>
      <w:r w:rsidRPr="00E13917">
        <w:rPr>
          <w:rFonts w:ascii="Arial" w:hAnsi="Arial" w:cs="Arial"/>
          <w:b/>
          <w:bCs/>
        </w:rPr>
        <w:t> Revista da FAAEBA: Educação e Contemporaneidade</w:t>
      </w:r>
      <w:r w:rsidRPr="00E13917">
        <w:rPr>
          <w:rFonts w:ascii="Arial" w:hAnsi="Arial" w:cs="Arial"/>
        </w:rPr>
        <w:t>, Salvador, v. 21, n. 37, p. 71-82, jun.  2012.</w:t>
      </w:r>
    </w:p>
    <w:p w14:paraId="59CA3E35" w14:textId="77777777" w:rsidR="00E13917" w:rsidRPr="00E13917" w:rsidRDefault="00E13917" w:rsidP="00E13917">
      <w:pPr>
        <w:spacing w:line="360" w:lineRule="auto"/>
        <w:jc w:val="both"/>
        <w:rPr>
          <w:rFonts w:ascii="Arial" w:hAnsi="Arial" w:cs="Arial"/>
        </w:rPr>
      </w:pPr>
    </w:p>
    <w:p w14:paraId="74508D1E" w14:textId="08D6E106" w:rsidR="00E13917" w:rsidRPr="00AC463E" w:rsidRDefault="00E13917" w:rsidP="00C814A6">
      <w:pPr>
        <w:spacing w:after="0" w:line="240" w:lineRule="auto"/>
        <w:jc w:val="both"/>
        <w:rPr>
          <w:rFonts w:ascii="Arial" w:hAnsi="Arial" w:cs="Arial"/>
        </w:rPr>
      </w:pPr>
    </w:p>
    <w:sectPr w:rsidR="00E13917" w:rsidRPr="00AC463E"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E8CD" w14:textId="77777777" w:rsidR="00010E55" w:rsidRDefault="00010E55" w:rsidP="00442A47">
      <w:pPr>
        <w:spacing w:after="0" w:line="240" w:lineRule="auto"/>
      </w:pPr>
      <w:r>
        <w:separator/>
      </w:r>
    </w:p>
  </w:endnote>
  <w:endnote w:type="continuationSeparator" w:id="0">
    <w:p w14:paraId="7CA338A8" w14:textId="77777777" w:rsidR="00010E55" w:rsidRDefault="00010E55"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B8FB" w14:textId="77777777" w:rsidR="00010E55" w:rsidRDefault="00010E55" w:rsidP="00442A47">
      <w:pPr>
        <w:spacing w:after="0" w:line="240" w:lineRule="auto"/>
      </w:pPr>
      <w:r>
        <w:separator/>
      </w:r>
    </w:p>
  </w:footnote>
  <w:footnote w:type="continuationSeparator" w:id="0">
    <w:p w14:paraId="283D5B2A" w14:textId="77777777" w:rsidR="00010E55" w:rsidRDefault="00010E55"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10E55"/>
    <w:rsid w:val="00073CE9"/>
    <w:rsid w:val="000C4775"/>
    <w:rsid w:val="000D34B8"/>
    <w:rsid w:val="00114785"/>
    <w:rsid w:val="001A4B21"/>
    <w:rsid w:val="001F4920"/>
    <w:rsid w:val="002427F6"/>
    <w:rsid w:val="0028236D"/>
    <w:rsid w:val="003B7209"/>
    <w:rsid w:val="00442A47"/>
    <w:rsid w:val="004E4F0D"/>
    <w:rsid w:val="00574196"/>
    <w:rsid w:val="00595A5D"/>
    <w:rsid w:val="005B1CCC"/>
    <w:rsid w:val="00707DBF"/>
    <w:rsid w:val="007D7CA8"/>
    <w:rsid w:val="007F5C85"/>
    <w:rsid w:val="00886864"/>
    <w:rsid w:val="008B3108"/>
    <w:rsid w:val="008D3E77"/>
    <w:rsid w:val="00903A33"/>
    <w:rsid w:val="00905EB5"/>
    <w:rsid w:val="00A340AC"/>
    <w:rsid w:val="00AC463E"/>
    <w:rsid w:val="00AE0C98"/>
    <w:rsid w:val="00C21B9E"/>
    <w:rsid w:val="00C814A6"/>
    <w:rsid w:val="00CD54ED"/>
    <w:rsid w:val="00D24E43"/>
    <w:rsid w:val="00DB083C"/>
    <w:rsid w:val="00E13917"/>
    <w:rsid w:val="00FA425D"/>
    <w:rsid w:val="00FB0298"/>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Pr-formataoHTML">
    <w:name w:val="HTML Preformatted"/>
    <w:basedOn w:val="Normal"/>
    <w:link w:val="Pr-formataoHTMLChar"/>
    <w:uiPriority w:val="99"/>
    <w:unhideWhenUsed/>
    <w:rsid w:val="00C8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814A6"/>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8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9284">
      <w:bodyDiv w:val="1"/>
      <w:marLeft w:val="0"/>
      <w:marRight w:val="0"/>
      <w:marTop w:val="0"/>
      <w:marBottom w:val="0"/>
      <w:divBdr>
        <w:top w:val="none" w:sz="0" w:space="0" w:color="auto"/>
        <w:left w:val="none" w:sz="0" w:space="0" w:color="auto"/>
        <w:bottom w:val="none" w:sz="0" w:space="0" w:color="auto"/>
        <w:right w:val="none" w:sz="0" w:space="0" w:color="auto"/>
      </w:divBdr>
    </w:div>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934557807">
      <w:bodyDiv w:val="1"/>
      <w:marLeft w:val="0"/>
      <w:marRight w:val="0"/>
      <w:marTop w:val="0"/>
      <w:marBottom w:val="0"/>
      <w:divBdr>
        <w:top w:val="none" w:sz="0" w:space="0" w:color="auto"/>
        <w:left w:val="none" w:sz="0" w:space="0" w:color="auto"/>
        <w:bottom w:val="none" w:sz="0" w:space="0" w:color="auto"/>
        <w:right w:val="none" w:sz="0" w:space="0" w:color="auto"/>
      </w:divBdr>
    </w:div>
    <w:div w:id="1200817399">
      <w:bodyDiv w:val="1"/>
      <w:marLeft w:val="0"/>
      <w:marRight w:val="0"/>
      <w:marTop w:val="0"/>
      <w:marBottom w:val="0"/>
      <w:divBdr>
        <w:top w:val="none" w:sz="0" w:space="0" w:color="auto"/>
        <w:left w:val="none" w:sz="0" w:space="0" w:color="auto"/>
        <w:bottom w:val="none" w:sz="0" w:space="0" w:color="auto"/>
        <w:right w:val="none" w:sz="0" w:space="0" w:color="auto"/>
      </w:divBdr>
    </w:div>
    <w:div w:id="1265068519">
      <w:bodyDiv w:val="1"/>
      <w:marLeft w:val="0"/>
      <w:marRight w:val="0"/>
      <w:marTop w:val="0"/>
      <w:marBottom w:val="0"/>
      <w:divBdr>
        <w:top w:val="none" w:sz="0" w:space="0" w:color="auto"/>
        <w:left w:val="none" w:sz="0" w:space="0" w:color="auto"/>
        <w:bottom w:val="none" w:sz="0" w:space="0" w:color="auto"/>
        <w:right w:val="none" w:sz="0" w:space="0" w:color="auto"/>
      </w:divBdr>
    </w:div>
    <w:div w:id="1671248608">
      <w:bodyDiv w:val="1"/>
      <w:marLeft w:val="0"/>
      <w:marRight w:val="0"/>
      <w:marTop w:val="0"/>
      <w:marBottom w:val="0"/>
      <w:divBdr>
        <w:top w:val="none" w:sz="0" w:space="0" w:color="auto"/>
        <w:left w:val="none" w:sz="0" w:space="0" w:color="auto"/>
        <w:bottom w:val="none" w:sz="0" w:space="0" w:color="auto"/>
        <w:right w:val="none" w:sz="0" w:space="0" w:color="auto"/>
      </w:divBdr>
    </w:div>
    <w:div w:id="1700467391">
      <w:bodyDiv w:val="1"/>
      <w:marLeft w:val="0"/>
      <w:marRight w:val="0"/>
      <w:marTop w:val="0"/>
      <w:marBottom w:val="0"/>
      <w:divBdr>
        <w:top w:val="none" w:sz="0" w:space="0" w:color="auto"/>
        <w:left w:val="none" w:sz="0" w:space="0" w:color="auto"/>
        <w:bottom w:val="none" w:sz="0" w:space="0" w:color="auto"/>
        <w:right w:val="none" w:sz="0" w:space="0" w:color="auto"/>
      </w:divBdr>
    </w:div>
    <w:div w:id="20393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1473</Words>
  <Characters>7957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Usuario</cp:lastModifiedBy>
  <cp:revision>2</cp:revision>
  <dcterms:created xsi:type="dcterms:W3CDTF">2025-04-07T10:42:00Z</dcterms:created>
  <dcterms:modified xsi:type="dcterms:W3CDTF">2025-04-07T10:42:00Z</dcterms:modified>
</cp:coreProperties>
</file>