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929BB" w14:textId="77777777" w:rsidR="00881CDA" w:rsidRPr="00E20499" w:rsidRDefault="00F936D0" w:rsidP="00E517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04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EFICÁCIA DAS </w:t>
      </w:r>
      <w:r w:rsidR="00675B99" w:rsidRPr="00E204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</w:t>
      </w:r>
      <w:r w:rsidR="002324B4" w:rsidRPr="00E204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ERAPÊUTICA</w:t>
      </w:r>
      <w:r w:rsidR="00132660" w:rsidRPr="00E204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 PARA </w:t>
      </w:r>
      <w:r w:rsidR="00E517CC" w:rsidRPr="00E204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DISFUNÇÃO ERÉTIL EM PORTADORES DE APNEIA OBSTRUTIVA DO SONO</w:t>
      </w:r>
    </w:p>
    <w:p w14:paraId="3F12A048" w14:textId="77777777" w:rsidR="00675B99" w:rsidRPr="00E20499" w:rsidRDefault="00675B99" w:rsidP="00F936D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9BD095" w14:textId="77777777" w:rsidR="00675B99" w:rsidRPr="00E20499" w:rsidRDefault="00675B99" w:rsidP="00E204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204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Josivaldo Bezerra Soares¹; Luciana Barbosa Sousa de Lucena².</w:t>
      </w:r>
    </w:p>
    <w:p w14:paraId="1C9DC996" w14:textId="77777777" w:rsidR="00675B99" w:rsidRPr="00E20499" w:rsidRDefault="00675B99" w:rsidP="00E204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204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Aluno do curso de Odontologia pela Universidade Federal da Paraíba, João Pessoa, PB, Brasil. e-mail: josivaldo.soares@academico.ufpb.br</w:t>
      </w:r>
    </w:p>
    <w:p w14:paraId="6C4B30B8" w14:textId="77777777" w:rsidR="00675B99" w:rsidRPr="00E20499" w:rsidRDefault="00675B99" w:rsidP="00E204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204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Professora Titular I do Departamento de Morfologia, Universidade Federal da Paraíba, João Pessoa, PB, Brasil. e-mail: lucianabslucena@gmail.com</w:t>
      </w:r>
    </w:p>
    <w:p w14:paraId="1B98E9A6" w14:textId="77777777" w:rsidR="00532000" w:rsidRPr="00E20499" w:rsidRDefault="00532000" w:rsidP="005320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44840DF" w14:textId="0C2AC5CD" w:rsidR="00532000" w:rsidRPr="00E20499" w:rsidRDefault="00532000" w:rsidP="00EE36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04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Introdução:</w:t>
      </w:r>
      <w:r w:rsidRPr="00E204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disfunção erétil (DE) é a incapacidade de obter ou manter uma ereção peniana suficiente para a penetração sexual, sendo uma condição frequente em portadores de apneia obstrutiva do sono (AOS). </w:t>
      </w:r>
      <w:r w:rsidR="00F02290" w:rsidRPr="00E204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terapia de primeira linha para AOS é a pressão positiva contínua nas vias aéreas (</w:t>
      </w:r>
      <w:r w:rsidR="00F02290" w:rsidRPr="00E2049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CPAP</w:t>
      </w:r>
      <w:r w:rsidR="00F02290" w:rsidRPr="00E204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contudo, os seus efeitos na </w:t>
      </w:r>
      <w:r w:rsidR="00F60B1A" w:rsidRPr="00E204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F02290" w:rsidRPr="00E204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são controversos e outras propostas de tratamentos são relatadas.</w:t>
      </w:r>
      <w:r w:rsidR="00F60B1A" w:rsidRPr="00E204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6599" w:rsidRPr="00E204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Objetivo:</w:t>
      </w:r>
      <w:r w:rsidR="003E6599" w:rsidRPr="00E204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53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presente trabalho teve como objetivo a</w:t>
      </w:r>
      <w:r w:rsidR="003E6599" w:rsidRPr="00E204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nalisar as evidências científicas mais recentes sobre </w:t>
      </w:r>
      <w:r w:rsidR="005C1611" w:rsidRPr="00E204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eficácia das terapia</w:t>
      </w:r>
      <w:r w:rsidR="003E6599" w:rsidRPr="00E204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 para homens com AOS e DE.</w:t>
      </w:r>
      <w:r w:rsidR="003E6599" w:rsidRPr="00E204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B1F0A" w:rsidRPr="00E204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</w:t>
      </w:r>
      <w:r w:rsidR="00E20499" w:rsidRPr="00E204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visão</w:t>
      </w:r>
      <w:r w:rsidR="00A72275" w:rsidRPr="00E204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="00175B7F" w:rsidRPr="00E20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49894081"/>
      <w:bookmarkStart w:id="1" w:name="_Hlk49893979"/>
      <w:r w:rsidR="00E66B6B" w:rsidRPr="00096B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Trata-se de uma revisão integrativa com buscas nas seguintes bases de dados: </w:t>
      </w:r>
      <w:r w:rsidR="00E66B6B" w:rsidRPr="00096B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PubMed</w:t>
      </w:r>
      <w:r w:rsidR="00E66B6B" w:rsidRPr="00096B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66B6B" w:rsidRPr="00096B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MEDLINE</w:t>
      </w:r>
      <w:r w:rsidR="00E66B6B" w:rsidRPr="00096B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66B6B" w:rsidRPr="00096B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Scopus</w:t>
      </w:r>
      <w:r w:rsidR="00E66B6B" w:rsidRPr="00096B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E66B6B" w:rsidRPr="00096B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Web of Science</w:t>
      </w:r>
      <w:r w:rsidR="00E66B6B" w:rsidRPr="00096B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Como ferramenta de busca, foram utilizados os descritores “</w:t>
      </w:r>
      <w:r w:rsidR="00E66B6B" w:rsidRPr="00096B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obstructive</w:t>
      </w:r>
      <w:r w:rsidR="00E66B6B" w:rsidRPr="00096B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6B6B" w:rsidRPr="00096B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sleep</w:t>
      </w:r>
      <w:r w:rsidR="00E66B6B" w:rsidRPr="00096B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6B6B" w:rsidRPr="00096B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apnea</w:t>
      </w:r>
      <w:r w:rsidR="00E66B6B" w:rsidRPr="00096B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 e “</w:t>
      </w:r>
      <w:r w:rsidR="00E66B6B" w:rsidRPr="00096B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erectile</w:t>
      </w:r>
      <w:r w:rsidR="00E66B6B" w:rsidRPr="00096B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6B6B" w:rsidRPr="00096B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dysfunction</w:t>
      </w:r>
      <w:r w:rsidR="00E66B6B" w:rsidRPr="00096B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”, bem como o operador booleano “</w:t>
      </w:r>
      <w:r w:rsidR="00E66B6B" w:rsidRPr="00096BF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and</w:t>
      </w:r>
      <w:r w:rsidR="00E66B6B" w:rsidRPr="00096B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”. Os critérios de elegibilidade consistiram em artigos originais, completos e gratuitos envolvendo tratamentos para homens com AOS e DE diagnosticados por polissonografia (padrão-ouro), que foram publicados nos últimos 10 anos em inglês ou português. </w:t>
      </w:r>
      <w:bookmarkEnd w:id="1"/>
      <w:r w:rsidR="00E66B6B" w:rsidRPr="00E204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Dentre 427 artigos, foram selecionados apenas sete. </w:t>
      </w:r>
      <w:r w:rsidR="00F60B1A" w:rsidRPr="00E204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175B7F" w:rsidRPr="00E204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uso de </w:t>
      </w:r>
      <w:r w:rsidR="00175B7F" w:rsidRPr="00E2049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CPAP</w:t>
      </w:r>
      <w:r w:rsidR="00175B7F" w:rsidRPr="00E204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foi eficaz na melhora do desempenho sexu</w:t>
      </w:r>
      <w:r w:rsidR="00DC6E1C" w:rsidRPr="00E204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 em dois</w:t>
      </w:r>
      <w:r w:rsidR="00175B7F" w:rsidRPr="00E204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estudos, os quais evidenciaram uma elevação significativa nos níveis séricos dos hormônios sexuais</w:t>
      </w:r>
      <w:r w:rsidR="00DC6E1C" w:rsidRPr="00E204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Por outro lado, três</w:t>
      </w:r>
      <w:r w:rsidR="00175B7F" w:rsidRPr="00E204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estudos foram inconclusivos, visto que</w:t>
      </w:r>
      <w:r w:rsidRPr="00E204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5B7F" w:rsidRPr="00E204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não houve mudanças significativas dos níveis hormonais. Adicionalmente, a terapia medicamentosa com sildenafil também é recomendada, </w:t>
      </w:r>
      <w:r w:rsidR="007C2E55" w:rsidRPr="00E204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</w:t>
      </w:r>
      <w:r w:rsidR="00DC6E1C" w:rsidRPr="00E204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um estudo </w:t>
      </w:r>
      <w:r w:rsidR="007C2E55" w:rsidRPr="00E204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evidenciando</w:t>
      </w:r>
      <w:r w:rsidR="00DC6E1C" w:rsidRPr="00E204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melhor eficácia de sildenafil em comparação com </w:t>
      </w:r>
      <w:r w:rsidR="00DC6E1C" w:rsidRPr="00E2049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CPAP</w:t>
      </w:r>
      <w:r w:rsidR="00DC6E1C" w:rsidRPr="00E204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F936D0" w:rsidRPr="00E204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Por fim, outro estudo analisou os tratamentos com </w:t>
      </w:r>
      <w:r w:rsidR="00F936D0" w:rsidRPr="00E2049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CPAP</w:t>
      </w:r>
      <w:r w:rsidR="00F936D0" w:rsidRPr="00E204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ablação por radiofrequência e cirurgia de retalho uvulopalatal, mas não encontrou diferenças significativas entre tais métodos.</w:t>
      </w:r>
      <w:r w:rsidR="00F936D0" w:rsidRPr="00E204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End w:id="0"/>
      <w:r w:rsidR="00F936D0" w:rsidRPr="00E204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Conclusão:</w:t>
      </w:r>
      <w:r w:rsidR="00F936D0" w:rsidRPr="00E204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2" w:name="_Hlk49894235"/>
      <w:r w:rsidR="00F936D0" w:rsidRPr="00E20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Infere-se, portanto, que </w:t>
      </w:r>
      <w:r w:rsidRPr="00E204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efetividade dos tratamentos para as duas condições associadas ainda não está elucidada. Dessa forma, </w:t>
      </w:r>
      <w:r w:rsidR="00F02290" w:rsidRPr="00E20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são necessários </w:t>
      </w:r>
      <w:r w:rsidRPr="00E20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mais estudos para investigar novos agentes terapêuticos ou </w:t>
      </w:r>
      <w:r w:rsidR="007C2E55" w:rsidRPr="00E2049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E20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combinação entre </w:t>
      </w:r>
      <w:r w:rsidR="007C2E55" w:rsidRPr="00E20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terapias, como o </w:t>
      </w:r>
      <w:r w:rsidRPr="00E204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CPAP</w:t>
      </w:r>
      <w:r w:rsidRPr="00E20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C853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7C2E55" w:rsidRPr="00E204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terapia medicamentosa</w:t>
      </w:r>
      <w:r w:rsidRPr="00E20499">
        <w:rPr>
          <w:rFonts w:ascii="Times New Roman" w:hAnsi="Times New Roman" w:cs="Times New Roman"/>
          <w:color w:val="000000" w:themeColor="text1"/>
          <w:sz w:val="24"/>
          <w:szCs w:val="24"/>
        </w:rPr>
        <w:t>, visando melhorar a qualidade do sono e da função sexual</w:t>
      </w:r>
      <w:r w:rsidR="00F02290" w:rsidRPr="00E20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pacientes</w:t>
      </w:r>
      <w:r w:rsidRPr="00E204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bookmarkEnd w:id="2"/>
    <w:p w14:paraId="72ED945C" w14:textId="4B85BDAD" w:rsidR="005C1611" w:rsidRPr="00E20499" w:rsidRDefault="005C1611" w:rsidP="008A2B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44F888F" w14:textId="65B24505" w:rsidR="00C733F5" w:rsidRPr="00E20499" w:rsidRDefault="000F22DF" w:rsidP="00583F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04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Palavras-chave: </w:t>
      </w:r>
      <w:r w:rsidRPr="00E204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Distúrbios do sono</w:t>
      </w:r>
      <w:r w:rsidR="00E66B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E204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Apneia obstrutiva do sono</w:t>
      </w:r>
      <w:r w:rsidR="00E66B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E204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Disfunção erétil.</w:t>
      </w:r>
    </w:p>
    <w:sectPr w:rsidR="00C733F5" w:rsidRPr="00E20499" w:rsidSect="00CD65E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25B1E"/>
    <w:multiLevelType w:val="multilevel"/>
    <w:tmpl w:val="C7580C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A01E5"/>
    <w:multiLevelType w:val="hybridMultilevel"/>
    <w:tmpl w:val="AF3E4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B99"/>
    <w:rsid w:val="00015CF6"/>
    <w:rsid w:val="00096BFA"/>
    <w:rsid w:val="000F22DF"/>
    <w:rsid w:val="0011406A"/>
    <w:rsid w:val="00132660"/>
    <w:rsid w:val="00175B7F"/>
    <w:rsid w:val="001E113D"/>
    <w:rsid w:val="002324B4"/>
    <w:rsid w:val="0028486D"/>
    <w:rsid w:val="00301EB8"/>
    <w:rsid w:val="00363FD5"/>
    <w:rsid w:val="003E6599"/>
    <w:rsid w:val="004A75FA"/>
    <w:rsid w:val="004D0B75"/>
    <w:rsid w:val="00500A2A"/>
    <w:rsid w:val="0051230E"/>
    <w:rsid w:val="00532000"/>
    <w:rsid w:val="00547845"/>
    <w:rsid w:val="00583F8C"/>
    <w:rsid w:val="005851E4"/>
    <w:rsid w:val="005C1611"/>
    <w:rsid w:val="0063603F"/>
    <w:rsid w:val="00675B99"/>
    <w:rsid w:val="00686494"/>
    <w:rsid w:val="006A3D19"/>
    <w:rsid w:val="006A4800"/>
    <w:rsid w:val="00712761"/>
    <w:rsid w:val="007213D7"/>
    <w:rsid w:val="007317AB"/>
    <w:rsid w:val="00735D97"/>
    <w:rsid w:val="00761B3B"/>
    <w:rsid w:val="007A1FAA"/>
    <w:rsid w:val="007C2E55"/>
    <w:rsid w:val="007C5712"/>
    <w:rsid w:val="007E3A93"/>
    <w:rsid w:val="00810AB1"/>
    <w:rsid w:val="008A2BD1"/>
    <w:rsid w:val="008A3360"/>
    <w:rsid w:val="008B6390"/>
    <w:rsid w:val="00904891"/>
    <w:rsid w:val="00926117"/>
    <w:rsid w:val="00957B6D"/>
    <w:rsid w:val="009B1F0A"/>
    <w:rsid w:val="009F1A14"/>
    <w:rsid w:val="00A06183"/>
    <w:rsid w:val="00A72275"/>
    <w:rsid w:val="00A84C5E"/>
    <w:rsid w:val="00B9337D"/>
    <w:rsid w:val="00BB1C00"/>
    <w:rsid w:val="00C27983"/>
    <w:rsid w:val="00C733F5"/>
    <w:rsid w:val="00C74185"/>
    <w:rsid w:val="00C853CF"/>
    <w:rsid w:val="00CD65E7"/>
    <w:rsid w:val="00D12A94"/>
    <w:rsid w:val="00DC6E1C"/>
    <w:rsid w:val="00E20499"/>
    <w:rsid w:val="00E517CC"/>
    <w:rsid w:val="00E61D0B"/>
    <w:rsid w:val="00E66B6B"/>
    <w:rsid w:val="00E828E5"/>
    <w:rsid w:val="00EE36CF"/>
    <w:rsid w:val="00EE4750"/>
    <w:rsid w:val="00F02290"/>
    <w:rsid w:val="00F30EF0"/>
    <w:rsid w:val="00F60B1A"/>
    <w:rsid w:val="00F70271"/>
    <w:rsid w:val="00F9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30E6"/>
  <w15:chartTrackingRefBased/>
  <w15:docId w15:val="{9461D931-FE2B-484F-B658-949358B7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2611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A75FA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A84C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37"/>
      <w:szCs w:val="37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84C5E"/>
    <w:rPr>
      <w:rFonts w:ascii="Arial" w:eastAsia="Arial" w:hAnsi="Arial" w:cs="Arial"/>
      <w:sz w:val="37"/>
      <w:szCs w:val="37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DE3DA-25B9-4F15-83A7-62E2EAAD5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Josivaldo Soares</cp:lastModifiedBy>
  <cp:revision>13</cp:revision>
  <dcterms:created xsi:type="dcterms:W3CDTF">2020-09-02T00:51:00Z</dcterms:created>
  <dcterms:modified xsi:type="dcterms:W3CDTF">2020-09-23T02:29:00Z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8a3c0f60-0728-3757-9b9a-5561f69de077</vt:lpwstr>
  </property>
  <property fmtid="{D5CDD505-2E9C-101B-9397-08002B2CF9AE}" pid="4" name="Mendeley Citation Style_1">
    <vt:lpwstr>http://www.zotero.org/styles/universidade-de-sao-paulo-escola-de-comunicacoes-e-artes-abnt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 6th edition</vt:lpwstr>
  </property>
  <property fmtid="{D5CDD505-2E9C-101B-9397-08002B2CF9AE}" pid="9" name="Mendeley Recent Style Id 2_1">
    <vt:lpwstr>http://www.zotero.org/styles/chicago-author-date</vt:lpwstr>
  </property>
  <property fmtid="{D5CDD505-2E9C-101B-9397-08002B2CF9AE}" pid="10" name="Mendeley Recent Style Name 2_1">
    <vt:lpwstr>Chicago Manual of Style 17th edition (author-date)</vt:lpwstr>
  </property>
  <property fmtid="{D5CDD505-2E9C-101B-9397-08002B2CF9AE}" pid="11" name="Mendeley Recent Style Id 3_1">
    <vt:lpwstr>http://www.zotero.org/styles/ieee</vt:lpwstr>
  </property>
  <property fmtid="{D5CDD505-2E9C-101B-9397-08002B2CF9AE}" pid="12" name="Mendeley Recent Style Name 3_1">
    <vt:lpwstr>IEEE</vt:lpwstr>
  </property>
  <property fmtid="{D5CDD505-2E9C-101B-9397-08002B2CF9AE}" pid="13" name="Mendeley Recent Style Id 4_1">
    <vt:lpwstr>http://www.zotero.org/styles/associacao-brasileira-de-normas-tecnicas-ipea</vt:lpwstr>
  </property>
  <property fmtid="{D5CDD505-2E9C-101B-9397-08002B2CF9AE}" pid="14" name="Mendeley Recent Style Name 4_1">
    <vt:lpwstr>Instituto de Pesquisa Econômica Aplicada - ABNT (Portuguese - Brazil)</vt:lpwstr>
  </property>
  <property fmtid="{D5CDD505-2E9C-101B-9397-08002B2CF9AE}" pid="15" name="Mendeley Recent Style Id 5_1">
    <vt:lpwstr>http://www.zotero.org/styles/universidade-estadual-de-alagoas-abnt</vt:lpwstr>
  </property>
  <property fmtid="{D5CDD505-2E9C-101B-9397-08002B2CF9AE}" pid="16" name="Mendeley Recent Style Name 5_1">
    <vt:lpwstr>Universidade Estadual de Alagoas - ABNT (Portuguese - Brazil)</vt:lpwstr>
  </property>
  <property fmtid="{D5CDD505-2E9C-101B-9397-08002B2CF9AE}" pid="17" name="Mendeley Recent Style Id 6_1">
    <vt:lpwstr>http://www.zotero.org/styles/universidade-federal-de-pernambuco-abnt</vt:lpwstr>
  </property>
  <property fmtid="{D5CDD505-2E9C-101B-9397-08002B2CF9AE}" pid="18" name="Mendeley Recent Style Name 6_1">
    <vt:lpwstr>Universidade Federal de Pernambuco - ABNT (Portuguese - Brazil)</vt:lpwstr>
  </property>
  <property fmtid="{D5CDD505-2E9C-101B-9397-08002B2CF9AE}" pid="19" name="Mendeley Recent Style Id 7_1">
    <vt:lpwstr>http://www.zotero.org/styles/associacao-brasileira-de-normas-tecnicas-unirio-eipp</vt:lpwstr>
  </property>
  <property fmtid="{D5CDD505-2E9C-101B-9397-08002B2CF9AE}" pid="20" name="Mendeley Recent Style Name 7_1">
    <vt:lpwstr>Universidade Federal do Estado do Rio de Janeiro - Educação Infantil e Políticas Públicas - ABNT (Portuguese - Brazil)</vt:lpwstr>
  </property>
  <property fmtid="{D5CDD505-2E9C-101B-9397-08002B2CF9AE}" pid="21" name="Mendeley Recent Style Id 8_1">
    <vt:lpwstr>http://www.zotero.org/styles/universidade-federal-do-rio-de-janeiro-instituto-alberto-luiz-coimbra-de-pos-graduacao-e-pesquisa-de-engenharia-abnt</vt:lpwstr>
  </property>
  <property fmtid="{D5CDD505-2E9C-101B-9397-08002B2CF9AE}" pid="22" name="Mendeley Recent Style Name 8_1">
    <vt:lpwstr>Universidade Federal do Rio de Janeiro - Instituto Alberto Luiz Coimbra de Pós-Graduação e Pesquisa de Engenharia - ABNT (Portuguese - Brazil)</vt:lpwstr>
  </property>
  <property fmtid="{D5CDD505-2E9C-101B-9397-08002B2CF9AE}" pid="23" name="Mendeley Recent Style Id 9_1">
    <vt:lpwstr>http://www.zotero.org/styles/universidade-de-sao-paulo-escola-de-comunicacoes-e-artes-abnt</vt:lpwstr>
  </property>
  <property fmtid="{D5CDD505-2E9C-101B-9397-08002B2CF9AE}" pid="24" name="Mendeley Recent Style Name 9_1">
    <vt:lpwstr>Universidade de São Paulo - Escola de Comunicações e Artes - ABNT (Portuguese - Brazil)</vt:lpwstr>
  </property>
</Properties>
</file>