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52F" w:rsidRDefault="000A452F">
      <w:pPr>
        <w:spacing w:line="276" w:lineRule="auto"/>
        <w:ind w:left="0" w:hanging="2"/>
        <w:rPr>
          <w:rFonts w:ascii="Open Sans" w:eastAsia="Open Sans" w:hAnsi="Open Sans" w:cs="Open Sans"/>
          <w:b/>
          <w:lang w:val="pt-BR"/>
        </w:rPr>
      </w:pPr>
    </w:p>
    <w:p w:rsidR="00CB28CB" w:rsidRDefault="00BF65E3" w:rsidP="00CB28CB">
      <w:pPr>
        <w:spacing w:line="276" w:lineRule="auto"/>
        <w:ind w:left="0" w:hanging="2"/>
        <w:jc w:val="center"/>
        <w:rPr>
          <w:rFonts w:ascii="Open Sans" w:eastAsia="Open Sans" w:hAnsi="Open Sans" w:cs="Open Sans"/>
          <w:b/>
          <w:sz w:val="40"/>
          <w:szCs w:val="40"/>
          <w:lang w:val="pt-BR"/>
        </w:rPr>
      </w:pPr>
      <w:r>
        <w:rPr>
          <w:rFonts w:ascii="Open Sans" w:eastAsia="Open Sans" w:hAnsi="Open Sans" w:cs="Open Sans"/>
          <w:b/>
          <w:sz w:val="40"/>
          <w:szCs w:val="40"/>
          <w:lang w:val="pt-BR"/>
        </w:rPr>
        <w:t>TERRITÓRIO DE SABERES: construindo comunidades sustentáveis pela extensão unviersitária</w:t>
      </w:r>
    </w:p>
    <w:p w:rsidR="000A452F" w:rsidRDefault="000A452F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:rsidR="00CB28CB" w:rsidRPr="00CB28CB" w:rsidRDefault="00CB28CB" w:rsidP="00CB28CB">
      <w:pPr>
        <w:spacing w:after="0" w:line="276" w:lineRule="auto"/>
        <w:ind w:left="0" w:hanging="2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SUDRÉ, S. G. S.</w:t>
      </w:r>
      <w:r w:rsidRPr="00CB28CB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>(</w:t>
      </w:r>
      <w:r w:rsidRPr="00CB28CB">
        <w:rPr>
          <w:rFonts w:ascii="Open Sans" w:eastAsia="Open Sans" w:hAnsi="Open Sans" w:cs="Open Sans"/>
          <w:b/>
          <w:sz w:val="28"/>
          <w:szCs w:val="28"/>
          <w:lang w:val="pt-BR"/>
        </w:rPr>
        <w:t>stephanni.sudre@ufnt.edu.br UFNT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>)</w:t>
      </w:r>
    </w:p>
    <w:p w:rsidR="000A452F" w:rsidRDefault="00CB28CB" w:rsidP="00CB28CB">
      <w:pPr>
        <w:spacing w:after="0" w:line="276" w:lineRule="auto"/>
        <w:ind w:left="0" w:hanging="2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BRITO, E. P. (</w:t>
      </w:r>
      <w:r w:rsidRPr="00CB28CB">
        <w:rPr>
          <w:rFonts w:ascii="Open Sans" w:eastAsia="Open Sans" w:hAnsi="Open Sans" w:cs="Open Sans"/>
          <w:b/>
          <w:sz w:val="28"/>
          <w:szCs w:val="28"/>
          <w:lang w:val="pt-BR"/>
        </w:rPr>
        <w:t>eliseu.brito@ufnt.edu.br UFNT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>)</w:t>
      </w:r>
    </w:p>
    <w:p w:rsidR="00DE6B7D" w:rsidRPr="00CB28CB" w:rsidRDefault="00DE6B7D" w:rsidP="00DE6B7D">
      <w:pPr>
        <w:spacing w:after="0" w:line="276" w:lineRule="auto"/>
        <w:ind w:left="0" w:hanging="2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MIRANDA, G. C.</w:t>
      </w:r>
      <w:r w:rsidRPr="00CB28CB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>(</w:t>
      </w:r>
      <w:bookmarkStart w:id="0" w:name="_GoBack"/>
      <w:r w:rsidRPr="00CB28CB">
        <w:rPr>
          <w:rFonts w:ascii="Open Sans" w:eastAsia="Open Sans" w:hAnsi="Open Sans" w:cs="Open Sans"/>
          <w:b/>
          <w:sz w:val="28"/>
          <w:szCs w:val="28"/>
          <w:lang w:val="pt-BR"/>
        </w:rPr>
        <w:t>ge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nilson.miranda@ufnt.edu.br </w:t>
      </w:r>
      <w:bookmarkEnd w:id="0"/>
      <w:r>
        <w:rPr>
          <w:rFonts w:ascii="Open Sans" w:eastAsia="Open Sans" w:hAnsi="Open Sans" w:cs="Open Sans"/>
          <w:b/>
          <w:sz w:val="28"/>
          <w:szCs w:val="28"/>
          <w:lang w:val="pt-BR"/>
        </w:rPr>
        <w:t>UFNT)</w:t>
      </w:r>
    </w:p>
    <w:p w:rsidR="007C7316" w:rsidRDefault="007C7316" w:rsidP="00CB28CB">
      <w:pPr>
        <w:spacing w:after="0" w:line="276" w:lineRule="auto"/>
        <w:ind w:left="0" w:hanging="2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</w:p>
    <w:p w:rsidR="007C7316" w:rsidRPr="00CB28CB" w:rsidRDefault="007C7316" w:rsidP="00CB28CB">
      <w:pPr>
        <w:spacing w:after="0" w:line="276" w:lineRule="auto"/>
        <w:ind w:left="0" w:hanging="2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</w:p>
    <w:p w:rsidR="000A452F" w:rsidRDefault="00EC5C5E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:rsidR="00CB28CB" w:rsidRDefault="00CB28CB" w:rsidP="00CB28CB">
      <w:pPr>
        <w:rPr>
          <w:rFonts w:ascii="Open Sans" w:eastAsia="Open Sans" w:hAnsi="Open Sans" w:cs="Open Sans"/>
          <w:lang w:val="pt-BR"/>
        </w:rPr>
      </w:pPr>
      <w:r w:rsidRPr="00CB28CB">
        <w:rPr>
          <w:rFonts w:ascii="Open Sans" w:eastAsia="Open Sans" w:hAnsi="Open Sans" w:cs="Open Sans"/>
          <w:lang w:val="pt-BR"/>
        </w:rPr>
        <w:t>O Assentamento Amigos da Terra, localizado em Darcinópolis-Tocantins, realiza iniciativas de turismo de base comunitária (TBC) e bioeconomia, visando ao desenvolvimento sustentável e à melhoria da qualidade de vida de seus moradores. Em parceria com a Universidade Federal do Norte do Tocantins (UFNT), busca-se fortalecer institucionalmente a Associação Amigos da Terra, por meio de uma gestão participativa que estimule o turismo de base comunitária em áreas extrativistas do Cerrado, promova o extrativismo sustentável e fomente a bioeconomia local. Além disso, pretende-se estruturar redes de comercialização de produtos e derivados do extrativismo, ancoradas nos princípios da economia solidária e co</w:t>
      </w:r>
      <w:r w:rsidR="00707C89">
        <w:rPr>
          <w:rFonts w:ascii="Open Sans" w:eastAsia="Open Sans" w:hAnsi="Open Sans" w:cs="Open Sans"/>
          <w:lang w:val="pt-BR"/>
        </w:rPr>
        <w:t>mércio justo. O presente relato</w:t>
      </w:r>
      <w:r w:rsidRPr="00CB28CB">
        <w:rPr>
          <w:rFonts w:ascii="Open Sans" w:eastAsia="Open Sans" w:hAnsi="Open Sans" w:cs="Open Sans"/>
          <w:lang w:val="pt-BR"/>
        </w:rPr>
        <w:t xml:space="preserve"> apresenta os desafios e as potencialidade inicialmente identificados no </w:t>
      </w:r>
      <w:r w:rsidR="00F14E6B">
        <w:rPr>
          <w:rFonts w:ascii="Open Sans" w:eastAsia="Open Sans" w:hAnsi="Open Sans" w:cs="Open Sans"/>
          <w:lang w:val="pt-BR"/>
        </w:rPr>
        <w:t>projeto</w:t>
      </w:r>
      <w:r w:rsidRPr="00CB28CB">
        <w:rPr>
          <w:rFonts w:ascii="Open Sans" w:eastAsia="Open Sans" w:hAnsi="Open Sans" w:cs="Open Sans"/>
          <w:lang w:val="pt-BR"/>
        </w:rPr>
        <w:t xml:space="preserve">, analisando de que forma esse modelo pode contribuir para sustentabilidade social, econômica e ambiental da comunidade. Adota-se uma abordagem interdisciplinar e qualitativa, buscando compreender as práticas turísticas e suas representações sociais.  </w:t>
      </w:r>
    </w:p>
    <w:p w:rsidR="007C7316" w:rsidRPr="00CB28CB" w:rsidRDefault="007C7316" w:rsidP="00CB28CB">
      <w:pPr>
        <w:rPr>
          <w:rFonts w:ascii="Open Sans" w:eastAsia="Open Sans" w:hAnsi="Open Sans" w:cs="Open Sans"/>
          <w:lang w:val="pt-BR"/>
        </w:rPr>
      </w:pPr>
    </w:p>
    <w:p w:rsidR="00964C88" w:rsidRDefault="00EC5C5E" w:rsidP="00964C88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b/>
          <w:bCs/>
          <w:lang w:val="pt-BR"/>
        </w:rPr>
        <w:t>Palavras-chave:</w:t>
      </w:r>
      <w:r>
        <w:rPr>
          <w:rFonts w:ascii="Open Sans" w:eastAsia="Open Sans" w:hAnsi="Open Sans" w:cs="Open Sans"/>
          <w:lang w:val="pt-BR"/>
        </w:rPr>
        <w:t xml:space="preserve"> </w:t>
      </w:r>
      <w:r w:rsidR="00CB28CB" w:rsidRPr="00CB28CB">
        <w:rPr>
          <w:rFonts w:ascii="Open Sans" w:eastAsia="Open Sans" w:hAnsi="Open Sans" w:cs="Open Sans"/>
          <w:lang w:val="pt-BR"/>
        </w:rPr>
        <w:t>Turismo de base comunitária; Bioeconomia; Extrativismo; Comunidades Sustentáveis; Cerrado.</w:t>
      </w:r>
    </w:p>
    <w:p w:rsidR="007C7316" w:rsidRDefault="007C7316">
      <w:pPr>
        <w:spacing w:before="0" w:after="0" w:line="240" w:lineRule="auto"/>
        <w:ind w:left="0" w:firstLine="0"/>
        <w:jc w:val="left"/>
        <w:textAlignment w:val="auto"/>
        <w:outlineLvl w:val="9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br w:type="page"/>
      </w:r>
    </w:p>
    <w:p w:rsidR="000A452F" w:rsidRDefault="00964C88" w:rsidP="00964C88">
      <w:pPr>
        <w:spacing w:before="0" w:after="0" w:line="360" w:lineRule="auto"/>
        <w:ind w:left="0" w:hanging="2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964C88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 xml:space="preserve">I. </w:t>
      </w:r>
      <w:r w:rsidR="00EC5C5E">
        <w:rPr>
          <w:rFonts w:ascii="Open Sans" w:eastAsia="Open Sans" w:hAnsi="Open Sans" w:cs="Open Sans"/>
          <w:b/>
          <w:color w:val="000000"/>
          <w:sz w:val="28"/>
          <w:szCs w:val="28"/>
        </w:rPr>
        <w:t>Introdução</w:t>
      </w:r>
    </w:p>
    <w:p w:rsidR="00EC5C5E" w:rsidRDefault="00EC5C5E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bookmarkStart w:id="1" w:name="_heading=h.3znysh7"/>
      <w:bookmarkEnd w:id="1"/>
      <w:r>
        <w:rPr>
          <w:rFonts w:ascii="Open Sans" w:eastAsia="Open Sans" w:hAnsi="Open Sans" w:cs="Open Sans"/>
          <w:lang w:val="pt-BR"/>
        </w:rPr>
        <w:t xml:space="preserve">A extensão universitária desempenha um papel estratégico na promoção do desenvolvimento sustentável e da inclusão social, articulando o ensino e a pesquisa à resolução de demandas concretas das comunidades (Brandão, 2005). Nesse sentido, o presente relato de experiência concentra-se nas ações desenvolvidas no Assentamento Amigos da Terra, em Darcinópolis, Tocantins, por meio do Projeto de Turismo de base comunitária e Bioeconomia, realizado no âmbito do PIBEX-Norte da Universidade Federal do Norte do Tocantins (UFNT). O projeto tem buscado não apenas fomentar atividades econômicas e turísticas locais, mas também fortalecer a governança comunitária, valorizar saberes tradicionais e estimular o protagonismo social. </w:t>
      </w:r>
    </w:p>
    <w:p w:rsidR="00EC5C5E" w:rsidRDefault="00EC5C5E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 w:rsidRPr="00EC5C5E">
        <w:rPr>
          <w:rFonts w:ascii="Open Sans" w:eastAsia="Open Sans" w:hAnsi="Open Sans" w:cs="Open Sans"/>
          <w:lang w:val="pt-BR"/>
        </w:rPr>
        <w:t>O Turismo de Base Comunitária (TBC) é um modelo de turismo sustentável que coloca as comunidades locais no centro da experiência turística. Ele é desenvolvido e gerido pelas próprias comunidades, que oferecem hospedagem, alimentação, guias locais e atividades culturais e ambientais para os visitantes</w:t>
      </w:r>
      <w:r w:rsidR="00707C89">
        <w:rPr>
          <w:rFonts w:ascii="Open Sans" w:eastAsia="Open Sans" w:hAnsi="Open Sans" w:cs="Open Sans"/>
          <w:lang w:val="pt-BR"/>
        </w:rPr>
        <w:t>. Essa é uma o</w:t>
      </w:r>
      <w:r w:rsidRPr="00EC5C5E">
        <w:rPr>
          <w:rFonts w:ascii="Open Sans" w:eastAsia="Open Sans" w:hAnsi="Open Sans" w:cs="Open Sans"/>
          <w:lang w:val="pt-BR"/>
        </w:rPr>
        <w:t>portunidade de valorizar e contribuir para a renda, desenvolvida pela própria cultura é uma forma de integrar os jovens ao modo de vida local. O TBC é um modelo de gestão da visitação protagonizado pela comunidade, gerando benefícios coletivos promovendo a vivência intercultural, a qualidade de vida, a valorização da história e da cultura dessas populações, bem como a utilização sustentável para fins re-creativos e educativos, dos recursos naturais e culturais.</w:t>
      </w:r>
    </w:p>
    <w:p w:rsidR="00CB28CB" w:rsidRDefault="00EC5C5E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Esse relato apresenta as etapas 1 e 2 da execução do projeto, descreve as atividades desenvolvidas, analisa os impactos na comunidade e nos participantes, e evidencia os desdobramentos</w:t>
      </w:r>
      <w:r w:rsidR="00BF65E3">
        <w:rPr>
          <w:rFonts w:ascii="Open Sans" w:eastAsia="Open Sans" w:hAnsi="Open Sans" w:cs="Open Sans"/>
          <w:lang w:val="pt-BR"/>
        </w:rPr>
        <w:t xml:space="preserve"> institucionais e educacionais. </w:t>
      </w:r>
      <w:r w:rsidR="00CB28CB" w:rsidRPr="00CB28CB">
        <w:rPr>
          <w:rFonts w:ascii="Open Sans" w:eastAsia="Open Sans" w:hAnsi="Open Sans" w:cs="Open Sans"/>
          <w:lang w:val="pt-BR"/>
        </w:rPr>
        <w:t>O projeto se utiliza de abordagem interdisciplinar de natureza qualitativa, no esforço de demonstrar as práticas festivas-turísticas e como elas acontecem e são representadas num processo de construção histórica dos fatos sociais. Desse modo, a investigação considera os vários ângulos do fenômeno no campo de pesquisa, constituindo-se como uma proposta de investigação que observa as diferentes práticas sociais territorializadas. Foram utilizados um conjunto de métodos participativos como a os Encontros Comunitário com socialização de saberes (Brandão, 1985), serão realizados visando construir vínculos e ampliar o reconhecimento mútuo dos atores envolvidos, com ênfase na escura ativa e na troca de experiências.</w:t>
      </w:r>
    </w:p>
    <w:p w:rsidR="00CB28CB" w:rsidRPr="00CB28CB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:rsidR="000A452F" w:rsidRDefault="00EC5C5E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:rsidR="000A452F" w:rsidRDefault="000A452F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  <w:bookmarkStart w:id="2" w:name="bookmark=id.2et92p0"/>
      <w:bookmarkEnd w:id="2"/>
    </w:p>
    <w:p w:rsidR="000A452F" w:rsidRDefault="00CB28CB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O objetivo geral consiste em fortalecer a comunidade do Assentamento da Agricultura Familiar Amigos da Terra por meio do turismo de base comunitária. Como objetivos específicos destaca-se: (i) estimular a organização e a governança institucional da Associação Amigos da Terra; (ii) incentivar o turismo de base comunitária em área extrativista do Cerrado; e (iii) fortalecer o extrativismo sustentável e fortalecer a bioeconomia local. </w:t>
      </w:r>
    </w:p>
    <w:p w:rsidR="000A452F" w:rsidRDefault="000A452F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:rsidR="000A452F" w:rsidRDefault="00CB28CB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Relato de experiência</w:t>
      </w:r>
    </w:p>
    <w:p w:rsidR="000A452F" w:rsidRDefault="000A452F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</w:p>
    <w:p w:rsidR="007C7316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bookmarkStart w:id="3" w:name="_heading=h.tyjcwt"/>
      <w:bookmarkEnd w:id="3"/>
      <w:r w:rsidRPr="00CB28CB">
        <w:rPr>
          <w:rFonts w:ascii="Open Sans" w:eastAsia="Open Sans" w:hAnsi="Open Sans" w:cs="Open Sans"/>
          <w:lang w:val="pt-BR"/>
        </w:rPr>
        <w:t>A Etapa 1 – Encontro de apresentação do projeto de Turismo de Base Comunitária foi realizad</w:t>
      </w:r>
      <w:r w:rsidR="00964C88">
        <w:rPr>
          <w:rFonts w:ascii="Open Sans" w:eastAsia="Open Sans" w:hAnsi="Open Sans" w:cs="Open Sans"/>
          <w:lang w:val="pt-BR"/>
        </w:rPr>
        <w:t>a</w:t>
      </w:r>
      <w:r w:rsidRPr="00CB28CB">
        <w:rPr>
          <w:rFonts w:ascii="Open Sans" w:eastAsia="Open Sans" w:hAnsi="Open Sans" w:cs="Open Sans"/>
          <w:lang w:val="pt-BR"/>
        </w:rPr>
        <w:t xml:space="preserve"> </w:t>
      </w:r>
      <w:r w:rsidR="00964C88">
        <w:rPr>
          <w:rFonts w:ascii="Open Sans" w:eastAsia="Open Sans" w:hAnsi="Open Sans" w:cs="Open Sans"/>
          <w:lang w:val="pt-BR"/>
        </w:rPr>
        <w:t>em</w:t>
      </w:r>
      <w:r w:rsidRPr="00CB28CB">
        <w:rPr>
          <w:rFonts w:ascii="Open Sans" w:eastAsia="Open Sans" w:hAnsi="Open Sans" w:cs="Open Sans"/>
          <w:lang w:val="pt-BR"/>
        </w:rPr>
        <w:t xml:space="preserve"> 06 de setembro</w:t>
      </w:r>
      <w:r w:rsidR="00964C88">
        <w:rPr>
          <w:rFonts w:ascii="Open Sans" w:eastAsia="Open Sans" w:hAnsi="Open Sans" w:cs="Open Sans"/>
          <w:lang w:val="pt-BR"/>
        </w:rPr>
        <w:t>,</w:t>
      </w:r>
      <w:r w:rsidRPr="00CB28CB">
        <w:rPr>
          <w:rFonts w:ascii="Open Sans" w:eastAsia="Open Sans" w:hAnsi="Open Sans" w:cs="Open Sans"/>
          <w:lang w:val="pt-BR"/>
        </w:rPr>
        <w:t xml:space="preserve"> fundamentando-se em uma abordagem participativa e dialógica</w:t>
      </w:r>
      <w:r w:rsidR="007C7316">
        <w:rPr>
          <w:rFonts w:ascii="Open Sans" w:eastAsia="Open Sans" w:hAnsi="Open Sans" w:cs="Open Sans"/>
          <w:lang w:val="pt-BR"/>
        </w:rPr>
        <w:t xml:space="preserve"> (Freire, 1983)</w:t>
      </w:r>
      <w:r w:rsidRPr="00CB28CB">
        <w:rPr>
          <w:rFonts w:ascii="Open Sans" w:eastAsia="Open Sans" w:hAnsi="Open Sans" w:cs="Open Sans"/>
          <w:lang w:val="pt-BR"/>
        </w:rPr>
        <w:t xml:space="preserve">, </w:t>
      </w:r>
      <w:r w:rsidR="00964C88">
        <w:rPr>
          <w:rFonts w:ascii="Open Sans" w:eastAsia="Open Sans" w:hAnsi="Open Sans" w:cs="Open Sans"/>
          <w:lang w:val="pt-BR"/>
        </w:rPr>
        <w:t xml:space="preserve">com propósito de </w:t>
      </w:r>
      <w:r w:rsidRPr="00CB28CB">
        <w:rPr>
          <w:rFonts w:ascii="Open Sans" w:eastAsia="Open Sans" w:hAnsi="Open Sans" w:cs="Open Sans"/>
          <w:lang w:val="pt-BR"/>
        </w:rPr>
        <w:t>promover o intercâmbio de saberes entre a equipe do projeto</w:t>
      </w:r>
      <w:r w:rsidR="00964C88">
        <w:rPr>
          <w:rFonts w:ascii="Open Sans" w:eastAsia="Open Sans" w:hAnsi="Open Sans" w:cs="Open Sans"/>
          <w:lang w:val="pt-BR"/>
        </w:rPr>
        <w:t>,</w:t>
      </w:r>
      <w:r w:rsidRPr="00CB28CB">
        <w:rPr>
          <w:rFonts w:ascii="Open Sans" w:eastAsia="Open Sans" w:hAnsi="Open Sans" w:cs="Open Sans"/>
          <w:lang w:val="pt-BR"/>
        </w:rPr>
        <w:t xml:space="preserve"> a comunidade local e </w:t>
      </w:r>
      <w:r w:rsidR="00964C88">
        <w:rPr>
          <w:rFonts w:ascii="Open Sans" w:eastAsia="Open Sans" w:hAnsi="Open Sans" w:cs="Open Sans"/>
          <w:lang w:val="pt-BR"/>
        </w:rPr>
        <w:t xml:space="preserve">os </w:t>
      </w:r>
      <w:r w:rsidRPr="00CB28CB">
        <w:rPr>
          <w:rFonts w:ascii="Open Sans" w:eastAsia="Open Sans" w:hAnsi="Open Sans" w:cs="Open Sans"/>
          <w:lang w:val="pt-BR"/>
        </w:rPr>
        <w:t>estudantes</w:t>
      </w:r>
      <w:r w:rsidR="00964C88">
        <w:rPr>
          <w:rFonts w:ascii="Open Sans" w:eastAsia="Open Sans" w:hAnsi="Open Sans" w:cs="Open Sans"/>
          <w:lang w:val="pt-BR"/>
        </w:rPr>
        <w:t xml:space="preserve"> Universidade Federal do Norte do Tocantins (UFNT). </w:t>
      </w:r>
      <w:r w:rsidR="007C7316">
        <w:rPr>
          <w:rFonts w:ascii="Open Sans" w:eastAsia="Open Sans" w:hAnsi="Open Sans" w:cs="Open Sans"/>
          <w:lang w:val="pt-BR"/>
        </w:rPr>
        <w:t xml:space="preserve">Essa dinâmica apoiou-se na concepção de ecologia de saberes (Santos, 2010), buscando valorizar o conhecimento tradicional e as práticas cotidianas do território como fora legítima de produção do conhecimento. </w:t>
      </w:r>
      <w:r w:rsidRPr="00CB28CB">
        <w:rPr>
          <w:rFonts w:ascii="Open Sans" w:eastAsia="Open Sans" w:hAnsi="Open Sans" w:cs="Open Sans"/>
          <w:lang w:val="pt-BR"/>
        </w:rPr>
        <w:t>As atividades foram organizadas de forma coletiva</w:t>
      </w:r>
      <w:r w:rsidR="00964C88">
        <w:rPr>
          <w:rFonts w:ascii="Open Sans" w:eastAsia="Open Sans" w:hAnsi="Open Sans" w:cs="Open Sans"/>
          <w:lang w:val="pt-BR"/>
        </w:rPr>
        <w:t xml:space="preserve">, </w:t>
      </w:r>
      <w:r w:rsidR="007C7316">
        <w:rPr>
          <w:rFonts w:ascii="Open Sans" w:eastAsia="Open Sans" w:hAnsi="Open Sans" w:cs="Open Sans"/>
          <w:lang w:val="pt-BR"/>
        </w:rPr>
        <w:t xml:space="preserve">reconhecendo o território como espaço de vida e de significação (SANTOS, 1996), e a interdisciplinaridade como fundamento do diálogo entre campos distintos de saberes (POMBO, 2006). </w:t>
      </w:r>
    </w:p>
    <w:p w:rsidR="007C7316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 w:rsidRPr="00CB28CB">
        <w:rPr>
          <w:rFonts w:ascii="Open Sans" w:eastAsia="Open Sans" w:hAnsi="Open Sans" w:cs="Open Sans"/>
          <w:lang w:val="pt-BR"/>
        </w:rPr>
        <w:t xml:space="preserve">O Encontro foi desenvolvido por meio de roda de conversa, visita técnica no campo e momentos de socialização, </w:t>
      </w:r>
      <w:r w:rsidR="00964C88">
        <w:rPr>
          <w:rFonts w:ascii="Open Sans" w:eastAsia="Open Sans" w:hAnsi="Open Sans" w:cs="Open Sans"/>
          <w:lang w:val="pt-BR"/>
        </w:rPr>
        <w:t xml:space="preserve">que </w:t>
      </w:r>
      <w:r w:rsidRPr="00CB28CB">
        <w:rPr>
          <w:rFonts w:ascii="Open Sans" w:eastAsia="Open Sans" w:hAnsi="Open Sans" w:cs="Open Sans"/>
          <w:lang w:val="pt-BR"/>
        </w:rPr>
        <w:t>possibilita</w:t>
      </w:r>
      <w:r w:rsidR="00964C88">
        <w:rPr>
          <w:rFonts w:ascii="Open Sans" w:eastAsia="Open Sans" w:hAnsi="Open Sans" w:cs="Open Sans"/>
          <w:lang w:val="pt-BR"/>
        </w:rPr>
        <w:t>ram</w:t>
      </w:r>
      <w:r w:rsidRPr="00CB28CB">
        <w:rPr>
          <w:rFonts w:ascii="Open Sans" w:eastAsia="Open Sans" w:hAnsi="Open Sans" w:cs="Open Sans"/>
          <w:lang w:val="pt-BR"/>
        </w:rPr>
        <w:t xml:space="preserve"> </w:t>
      </w:r>
      <w:r w:rsidR="00964C88">
        <w:rPr>
          <w:rFonts w:ascii="Open Sans" w:eastAsia="Open Sans" w:hAnsi="Open Sans" w:cs="Open Sans"/>
          <w:lang w:val="pt-BR"/>
        </w:rPr>
        <w:t xml:space="preserve">o compartilhamento de </w:t>
      </w:r>
      <w:r w:rsidRPr="00CB28CB">
        <w:rPr>
          <w:rFonts w:ascii="Open Sans" w:eastAsia="Open Sans" w:hAnsi="Open Sans" w:cs="Open Sans"/>
          <w:lang w:val="pt-BR"/>
        </w:rPr>
        <w:t xml:space="preserve">vivências, desafios e estratégias </w:t>
      </w:r>
      <w:r w:rsidR="00964C88">
        <w:rPr>
          <w:rFonts w:ascii="Open Sans" w:eastAsia="Open Sans" w:hAnsi="Open Sans" w:cs="Open Sans"/>
          <w:lang w:val="pt-BR"/>
        </w:rPr>
        <w:t>voltadas ao</w:t>
      </w:r>
      <w:r w:rsidRPr="00CB28CB">
        <w:rPr>
          <w:rFonts w:ascii="Open Sans" w:eastAsia="Open Sans" w:hAnsi="Open Sans" w:cs="Open Sans"/>
          <w:lang w:val="pt-BR"/>
        </w:rPr>
        <w:t xml:space="preserve"> fortalecimento comunitário </w:t>
      </w:r>
      <w:r w:rsidR="00964C88">
        <w:rPr>
          <w:rFonts w:ascii="Open Sans" w:eastAsia="Open Sans" w:hAnsi="Open Sans" w:cs="Open Sans"/>
          <w:lang w:val="pt-BR"/>
        </w:rPr>
        <w:t xml:space="preserve">e ao </w:t>
      </w:r>
      <w:r w:rsidRPr="00CB28CB">
        <w:rPr>
          <w:rFonts w:ascii="Open Sans" w:eastAsia="Open Sans" w:hAnsi="Open Sans" w:cs="Open Sans"/>
          <w:lang w:val="pt-BR"/>
        </w:rPr>
        <w:t>turismo</w:t>
      </w:r>
      <w:r w:rsidR="00964C88">
        <w:rPr>
          <w:rFonts w:ascii="Open Sans" w:eastAsia="Open Sans" w:hAnsi="Open Sans" w:cs="Open Sans"/>
          <w:lang w:val="pt-BR"/>
        </w:rPr>
        <w:t xml:space="preserve"> de base comunitária</w:t>
      </w:r>
      <w:r w:rsidRPr="00CB28CB">
        <w:rPr>
          <w:rFonts w:ascii="Open Sans" w:eastAsia="Open Sans" w:hAnsi="Open Sans" w:cs="Open Sans"/>
          <w:lang w:val="pt-BR"/>
        </w:rPr>
        <w:t xml:space="preserve">. Cada atividade foi planejada </w:t>
      </w:r>
      <w:r w:rsidR="00964C88">
        <w:rPr>
          <w:rFonts w:ascii="Open Sans" w:eastAsia="Open Sans" w:hAnsi="Open Sans" w:cs="Open Sans"/>
          <w:lang w:val="pt-BR"/>
        </w:rPr>
        <w:t xml:space="preserve">para </w:t>
      </w:r>
      <w:r w:rsidRPr="00CB28CB">
        <w:rPr>
          <w:rFonts w:ascii="Open Sans" w:eastAsia="Open Sans" w:hAnsi="Open Sans" w:cs="Open Sans"/>
          <w:lang w:val="pt-BR"/>
        </w:rPr>
        <w:t>favorecer a escuta ativa, o diálogo horizontal e a construção coletiva de conhecimento</w:t>
      </w:r>
      <w:r w:rsidR="007C7316">
        <w:rPr>
          <w:rFonts w:ascii="Open Sans" w:eastAsia="Open Sans" w:hAnsi="Open Sans" w:cs="Open Sans"/>
          <w:lang w:val="pt-BR"/>
        </w:rPr>
        <w:t xml:space="preserve"> (Freire, 1970)</w:t>
      </w:r>
      <w:r w:rsidRPr="00CB28CB">
        <w:rPr>
          <w:rFonts w:ascii="Open Sans" w:eastAsia="Open Sans" w:hAnsi="Open Sans" w:cs="Open Sans"/>
          <w:lang w:val="pt-BR"/>
        </w:rPr>
        <w:t xml:space="preserve">, respeitando as especificidades socioculturais e territoriais da comunidade. </w:t>
      </w:r>
    </w:p>
    <w:p w:rsidR="007C7316" w:rsidRDefault="007C7316" w:rsidP="00332597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 metodologia adotada aproxima-se das práticas de pesquisa-ação (Thiollent, 2011), em que os sujeitos se tornam agentes do próprio processo de transformação. Além disso, o processo extensionista foi orientado pela compreensão das experiências sociais (Geertz, 1989), </w:t>
      </w:r>
      <w:r w:rsidR="00332597">
        <w:rPr>
          <w:rFonts w:ascii="Open Sans" w:eastAsia="Open Sans" w:hAnsi="Open Sans" w:cs="Open Sans"/>
          <w:lang w:val="pt-BR"/>
        </w:rPr>
        <w:t xml:space="preserve">valorizando as práticas simbólicas que compõem o modo de vida da comunidade. Nesse sentido, os saberes tradicionais e a organização coletiva evidenciam uma resistência epistêmica (Santos, 2019) reafirmando o papel político das comunidades do Cerrado na defesa de seus territórios.  </w:t>
      </w:r>
    </w:p>
    <w:p w:rsidR="00CB28CB" w:rsidRPr="00CB28CB" w:rsidRDefault="00964C88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</w:t>
      </w:r>
      <w:r w:rsidR="00CB28CB" w:rsidRPr="00CB28CB">
        <w:rPr>
          <w:rFonts w:ascii="Open Sans" w:eastAsia="Open Sans" w:hAnsi="Open Sans" w:cs="Open Sans"/>
          <w:lang w:val="pt-BR"/>
        </w:rPr>
        <w:t xml:space="preserve">oram realizados registros </w:t>
      </w:r>
      <w:r>
        <w:rPr>
          <w:rFonts w:ascii="Open Sans" w:eastAsia="Open Sans" w:hAnsi="Open Sans" w:cs="Open Sans"/>
          <w:lang w:val="pt-BR"/>
        </w:rPr>
        <w:t>audiovisuais e a</w:t>
      </w:r>
      <w:r w:rsidR="00CB28CB" w:rsidRPr="00CB28CB">
        <w:rPr>
          <w:rFonts w:ascii="Open Sans" w:eastAsia="Open Sans" w:hAnsi="Open Sans" w:cs="Open Sans"/>
          <w:lang w:val="pt-BR"/>
        </w:rPr>
        <w:t xml:space="preserve"> sistematização das discussões </w:t>
      </w:r>
      <w:r>
        <w:rPr>
          <w:rFonts w:ascii="Open Sans" w:eastAsia="Open Sans" w:hAnsi="Open Sans" w:cs="Open Sans"/>
          <w:lang w:val="pt-BR"/>
        </w:rPr>
        <w:t>com objetivo de</w:t>
      </w:r>
      <w:r w:rsidR="00CB28CB" w:rsidRPr="00CB28CB">
        <w:rPr>
          <w:rFonts w:ascii="Open Sans" w:eastAsia="Open Sans" w:hAnsi="Open Sans" w:cs="Open Sans"/>
          <w:lang w:val="pt-BR"/>
        </w:rPr>
        <w:t xml:space="preserve"> subsidiar futuras ações de extensão, ensino </w:t>
      </w:r>
      <w:r>
        <w:rPr>
          <w:rFonts w:ascii="Open Sans" w:eastAsia="Open Sans" w:hAnsi="Open Sans" w:cs="Open Sans"/>
          <w:lang w:val="pt-BR"/>
        </w:rPr>
        <w:t>e pesquisa, contribuindo com a criação de</w:t>
      </w:r>
      <w:r w:rsidR="00CB28CB" w:rsidRPr="00CB28CB">
        <w:rPr>
          <w:rFonts w:ascii="Open Sans" w:eastAsia="Open Sans" w:hAnsi="Open Sans" w:cs="Open Sans"/>
          <w:lang w:val="pt-BR"/>
        </w:rPr>
        <w:t xml:space="preserve"> redes regionais de turismo de base comunitária. </w:t>
      </w:r>
      <w:r w:rsidR="00332597">
        <w:rPr>
          <w:rFonts w:ascii="Open Sans" w:eastAsia="Open Sans" w:hAnsi="Open Sans" w:cs="Open Sans"/>
          <w:lang w:val="pt-BR"/>
        </w:rPr>
        <w:t xml:space="preserve">Essa etapa consolidou a compreensão de que o conhecimento emerge da prática compartilhada e do diálogo contínuo entre a universidade e comunidade. </w:t>
      </w:r>
    </w:p>
    <w:p w:rsidR="00CB28CB" w:rsidRPr="00CB28CB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:rsidR="00CB28CB" w:rsidRPr="00CB28CB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 w:rsidRPr="00CB28CB">
        <w:rPr>
          <w:rFonts w:ascii="Open Sans" w:eastAsia="Open Sans" w:hAnsi="Open Sans" w:cs="Open Sans"/>
          <w:lang w:val="pt-BR"/>
        </w:rPr>
        <w:lastRenderedPageBreak/>
        <w:t xml:space="preserve">Figuras 1 e 2 – Encontro de Apresentação do projeto na comunidade </w:t>
      </w:r>
    </w:p>
    <w:p w:rsidR="00CB28CB" w:rsidRDefault="00CB28CB" w:rsidP="00CB28CB">
      <w:pPr>
        <w:widowControl w:val="0"/>
        <w:rPr>
          <w:rFonts w:ascii="Times New Roman" w:hAnsi="Times New Roman" w:cs="Times New Roman"/>
        </w:rPr>
      </w:pPr>
      <w:r w:rsidRPr="00CB28CB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291320CD" wp14:editId="5DDE2293">
            <wp:extent cx="2402633" cy="18021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9-30 at 10.00.5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163" cy="18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B28CB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2DE153E5" wp14:editId="385C40A6">
            <wp:extent cx="2393302" cy="179511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9-30 at 10.00.3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992" cy="18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CB" w:rsidRPr="00CB28CB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 w:rsidRPr="00CB28CB">
        <w:rPr>
          <w:rFonts w:ascii="Open Sans" w:eastAsia="Open Sans" w:hAnsi="Open Sans" w:cs="Open Sans"/>
          <w:lang w:val="pt-BR"/>
        </w:rPr>
        <w:t>Fonte: Dados da pesquisa. 2025.</w:t>
      </w:r>
    </w:p>
    <w:p w:rsidR="00CB28CB" w:rsidRPr="00CB28CB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:rsidR="00CF553C" w:rsidRDefault="00964C88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 Etapa 2 o projeto integrou-se por meio de uma ação institucional da UFNT, o evento </w:t>
      </w:r>
      <w:r w:rsidRPr="00964C88">
        <w:rPr>
          <w:rFonts w:ascii="Open Sans" w:eastAsia="Open Sans" w:hAnsi="Open Sans" w:cs="Open Sans"/>
          <w:lang w:val="pt-BR"/>
        </w:rPr>
        <w:t>a 5ª Semana Nacional do Cerrado (SENACER)</w:t>
      </w:r>
      <w:r>
        <w:rPr>
          <w:rFonts w:ascii="Open Sans" w:eastAsia="Open Sans" w:hAnsi="Open Sans" w:cs="Open Sans"/>
          <w:lang w:val="pt-BR"/>
        </w:rPr>
        <w:t xml:space="preserve">, um </w:t>
      </w:r>
      <w:r w:rsidRPr="00964C88">
        <w:rPr>
          <w:rFonts w:ascii="Open Sans" w:eastAsia="Open Sans" w:hAnsi="Open Sans" w:cs="Open Sans"/>
          <w:lang w:val="pt-BR"/>
        </w:rPr>
        <w:t>conjunto de eventos realizados em setembro, centrados no Dia Nacional do</w:t>
      </w:r>
      <w:r w:rsidR="00CF553C">
        <w:rPr>
          <w:rFonts w:ascii="Open Sans" w:eastAsia="Open Sans" w:hAnsi="Open Sans" w:cs="Open Sans"/>
          <w:lang w:val="pt-BR"/>
        </w:rPr>
        <w:t xml:space="preserve"> Cerrado (11 de setembro), </w:t>
      </w:r>
      <w:r w:rsidR="00CF553C" w:rsidRPr="00CF553C">
        <w:rPr>
          <w:rFonts w:ascii="Open Sans" w:eastAsia="Open Sans" w:hAnsi="Open Sans" w:cs="Open Sans"/>
          <w:lang w:val="pt-BR"/>
        </w:rPr>
        <w:t xml:space="preserve">organizada pelo </w:t>
      </w:r>
      <w:r w:rsidR="00CF553C">
        <w:rPr>
          <w:rFonts w:ascii="Open Sans" w:eastAsia="Open Sans" w:hAnsi="Open Sans" w:cs="Open Sans"/>
          <w:lang w:val="pt-BR"/>
        </w:rPr>
        <w:t>Instituto Federal de Goiás (</w:t>
      </w:r>
      <w:r w:rsidR="00CF553C" w:rsidRPr="00CF553C">
        <w:rPr>
          <w:rFonts w:ascii="Open Sans" w:eastAsia="Open Sans" w:hAnsi="Open Sans" w:cs="Open Sans"/>
          <w:lang w:val="pt-BR"/>
        </w:rPr>
        <w:t>IFG</w:t>
      </w:r>
      <w:r w:rsidR="00CF553C">
        <w:rPr>
          <w:rFonts w:ascii="Open Sans" w:eastAsia="Open Sans" w:hAnsi="Open Sans" w:cs="Open Sans"/>
          <w:lang w:val="pt-BR"/>
        </w:rPr>
        <w:t>)</w:t>
      </w:r>
      <w:r w:rsidR="00CF553C" w:rsidRPr="00CF553C">
        <w:rPr>
          <w:rFonts w:ascii="Open Sans" w:eastAsia="Open Sans" w:hAnsi="Open Sans" w:cs="Open Sans"/>
          <w:lang w:val="pt-BR"/>
        </w:rPr>
        <w:t xml:space="preserve"> entre 8 e 13 de setembro</w:t>
      </w:r>
      <w:r w:rsidR="00CF553C">
        <w:rPr>
          <w:rFonts w:ascii="Open Sans" w:eastAsia="Open Sans" w:hAnsi="Open Sans" w:cs="Open Sans"/>
          <w:lang w:val="pt-BR"/>
        </w:rPr>
        <w:t>. A etapa consistiu em uma</w:t>
      </w:r>
      <w:r w:rsidR="00CB28CB" w:rsidRPr="00CB28CB">
        <w:rPr>
          <w:rFonts w:ascii="Open Sans" w:eastAsia="Open Sans" w:hAnsi="Open Sans" w:cs="Open Sans"/>
          <w:lang w:val="pt-BR"/>
        </w:rPr>
        <w:t xml:space="preserve"> Aula aberta virtual com palestra </w:t>
      </w:r>
      <w:r w:rsidR="00CF553C">
        <w:rPr>
          <w:rFonts w:ascii="Open Sans" w:eastAsia="Open Sans" w:hAnsi="Open Sans" w:cs="Open Sans"/>
          <w:lang w:val="pt-BR"/>
        </w:rPr>
        <w:t>“</w:t>
      </w:r>
      <w:r w:rsidR="00CB28CB" w:rsidRPr="00CB28CB">
        <w:rPr>
          <w:rFonts w:ascii="Open Sans" w:eastAsia="Open Sans" w:hAnsi="Open Sans" w:cs="Open Sans"/>
          <w:lang w:val="pt-BR"/>
        </w:rPr>
        <w:t>Turismo de base comunitária na Comunidade Amigos da Terra</w:t>
      </w:r>
      <w:r w:rsidR="00CF553C">
        <w:rPr>
          <w:rFonts w:ascii="Open Sans" w:eastAsia="Open Sans" w:hAnsi="Open Sans" w:cs="Open Sans"/>
          <w:lang w:val="pt-BR"/>
        </w:rPr>
        <w:t>”</w:t>
      </w:r>
      <w:r w:rsidR="00CB28CB" w:rsidRPr="00CB28CB">
        <w:rPr>
          <w:rFonts w:ascii="Open Sans" w:eastAsia="Open Sans" w:hAnsi="Open Sans" w:cs="Open Sans"/>
          <w:lang w:val="pt-BR"/>
        </w:rPr>
        <w:t xml:space="preserve">, </w:t>
      </w:r>
      <w:r w:rsidR="00CF553C">
        <w:rPr>
          <w:rFonts w:ascii="Open Sans" w:eastAsia="Open Sans" w:hAnsi="Open Sans" w:cs="Open Sans"/>
          <w:lang w:val="pt-BR"/>
        </w:rPr>
        <w:t xml:space="preserve">ministradas pela equipe do projeto em </w:t>
      </w:r>
      <w:r w:rsidR="00CB28CB" w:rsidRPr="00CB28CB">
        <w:rPr>
          <w:rFonts w:ascii="Open Sans" w:eastAsia="Open Sans" w:hAnsi="Open Sans" w:cs="Open Sans"/>
          <w:lang w:val="pt-BR"/>
        </w:rPr>
        <w:t>parceria do Dr. Fern</w:t>
      </w:r>
      <w:r w:rsidR="00CF553C">
        <w:rPr>
          <w:rFonts w:ascii="Open Sans" w:eastAsia="Open Sans" w:hAnsi="Open Sans" w:cs="Open Sans"/>
          <w:lang w:val="pt-BR"/>
        </w:rPr>
        <w:t>ando Campelo (</w:t>
      </w:r>
      <w:r w:rsidR="00CB28CB" w:rsidRPr="00CB28CB">
        <w:rPr>
          <w:rFonts w:ascii="Open Sans" w:eastAsia="Open Sans" w:hAnsi="Open Sans" w:cs="Open Sans"/>
          <w:lang w:val="pt-BR"/>
        </w:rPr>
        <w:t>UFMA</w:t>
      </w:r>
      <w:r w:rsidR="00CF553C">
        <w:rPr>
          <w:rFonts w:ascii="Open Sans" w:eastAsia="Open Sans" w:hAnsi="Open Sans" w:cs="Open Sans"/>
          <w:lang w:val="pt-BR"/>
        </w:rPr>
        <w:t>).</w:t>
      </w:r>
      <w:r w:rsidR="00CB28CB" w:rsidRPr="00CB28CB">
        <w:rPr>
          <w:rFonts w:ascii="Open Sans" w:eastAsia="Open Sans" w:hAnsi="Open Sans" w:cs="Open Sans"/>
          <w:lang w:val="pt-BR"/>
        </w:rPr>
        <w:t xml:space="preserve"> </w:t>
      </w:r>
      <w:r w:rsidR="00CF553C">
        <w:rPr>
          <w:rFonts w:ascii="Open Sans" w:eastAsia="Open Sans" w:hAnsi="Open Sans" w:cs="Open Sans"/>
          <w:lang w:val="pt-BR"/>
        </w:rPr>
        <w:t xml:space="preserve">A atividade foi transmitida pelos canais oficiais da </w:t>
      </w:r>
      <w:r w:rsidR="00CB28CB" w:rsidRPr="00CB28CB">
        <w:rPr>
          <w:rFonts w:ascii="Open Sans" w:eastAsia="Open Sans" w:hAnsi="Open Sans" w:cs="Open Sans"/>
          <w:lang w:val="pt-BR"/>
        </w:rPr>
        <w:t>UFNT e da Se</w:t>
      </w:r>
      <w:r w:rsidR="00CF553C">
        <w:rPr>
          <w:rFonts w:ascii="Open Sans" w:eastAsia="Open Sans" w:hAnsi="Open Sans" w:cs="Open Sans"/>
          <w:lang w:val="pt-BR"/>
        </w:rPr>
        <w:t xml:space="preserve">mana Nacional do Cerrado (IFG), alcançando estudantes, professores, pesquisadores, profissionais de diferentes áreas, comunidades tradicionais e o público em geral interessado nas questões socioambientais do bioma Cerrado. </w:t>
      </w:r>
    </w:p>
    <w:p w:rsidR="00CB28CB" w:rsidRPr="00CB28CB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 w:rsidRPr="00CB28CB">
        <w:rPr>
          <w:rFonts w:ascii="Open Sans" w:eastAsia="Open Sans" w:hAnsi="Open Sans" w:cs="Open Sans"/>
          <w:lang w:val="pt-BR"/>
        </w:rPr>
        <w:t>E</w:t>
      </w:r>
      <w:r w:rsidR="00CF553C">
        <w:rPr>
          <w:rFonts w:ascii="Open Sans" w:eastAsia="Open Sans" w:hAnsi="Open Sans" w:cs="Open Sans"/>
          <w:lang w:val="pt-BR"/>
        </w:rPr>
        <w:t>ssa etapa</w:t>
      </w:r>
      <w:r w:rsidRPr="00CB28CB">
        <w:rPr>
          <w:rFonts w:ascii="Open Sans" w:eastAsia="Open Sans" w:hAnsi="Open Sans" w:cs="Open Sans"/>
          <w:lang w:val="pt-BR"/>
        </w:rPr>
        <w:t xml:space="preserve"> promoveu a conscientização </w:t>
      </w:r>
      <w:r w:rsidR="00CF553C">
        <w:rPr>
          <w:rFonts w:ascii="Open Sans" w:eastAsia="Open Sans" w:hAnsi="Open Sans" w:cs="Open Sans"/>
          <w:lang w:val="pt-BR"/>
        </w:rPr>
        <w:t xml:space="preserve">sobre </w:t>
      </w:r>
      <w:r w:rsidRPr="00CB28CB">
        <w:rPr>
          <w:rFonts w:ascii="Open Sans" w:eastAsia="Open Sans" w:hAnsi="Open Sans" w:cs="Open Sans"/>
          <w:lang w:val="pt-BR"/>
        </w:rPr>
        <w:t xml:space="preserve">a fragilidade e </w:t>
      </w:r>
      <w:r w:rsidR="00CF553C">
        <w:rPr>
          <w:rFonts w:ascii="Open Sans" w:eastAsia="Open Sans" w:hAnsi="Open Sans" w:cs="Open Sans"/>
          <w:lang w:val="pt-BR"/>
        </w:rPr>
        <w:t xml:space="preserve">a </w:t>
      </w:r>
      <w:r w:rsidRPr="00CB28CB">
        <w:rPr>
          <w:rFonts w:ascii="Open Sans" w:eastAsia="Open Sans" w:hAnsi="Open Sans" w:cs="Open Sans"/>
          <w:lang w:val="pt-BR"/>
        </w:rPr>
        <w:t>importância</w:t>
      </w:r>
      <w:r w:rsidR="00CF553C">
        <w:rPr>
          <w:rFonts w:ascii="Open Sans" w:eastAsia="Open Sans" w:hAnsi="Open Sans" w:cs="Open Sans"/>
          <w:lang w:val="pt-BR"/>
        </w:rPr>
        <w:t xml:space="preserve"> estratégica do Cerrado para a manuten</w:t>
      </w:r>
      <w:r w:rsidRPr="00CB28CB">
        <w:rPr>
          <w:rFonts w:ascii="Open Sans" w:eastAsia="Open Sans" w:hAnsi="Open Sans" w:cs="Open Sans"/>
          <w:lang w:val="pt-BR"/>
        </w:rPr>
        <w:t xml:space="preserve">ção dos recursos hídricos do Brasil, </w:t>
      </w:r>
      <w:r w:rsidR="00CF553C">
        <w:rPr>
          <w:rFonts w:ascii="Open Sans" w:eastAsia="Open Sans" w:hAnsi="Open Sans" w:cs="Open Sans"/>
          <w:lang w:val="pt-BR"/>
        </w:rPr>
        <w:t xml:space="preserve">destacando os impactos do </w:t>
      </w:r>
      <w:r w:rsidRPr="00CB28CB">
        <w:rPr>
          <w:rFonts w:ascii="Open Sans" w:eastAsia="Open Sans" w:hAnsi="Open Sans" w:cs="Open Sans"/>
          <w:lang w:val="pt-BR"/>
        </w:rPr>
        <w:t xml:space="preserve">desmatamento, do </w:t>
      </w:r>
      <w:r w:rsidR="00CF553C">
        <w:rPr>
          <w:rFonts w:ascii="Open Sans" w:eastAsia="Open Sans" w:hAnsi="Open Sans" w:cs="Open Sans"/>
          <w:lang w:val="pt-BR"/>
        </w:rPr>
        <w:t xml:space="preserve">avanço do </w:t>
      </w:r>
      <w:r w:rsidRPr="00CB28CB">
        <w:rPr>
          <w:rFonts w:ascii="Open Sans" w:eastAsia="Open Sans" w:hAnsi="Open Sans" w:cs="Open Sans"/>
          <w:lang w:val="pt-BR"/>
        </w:rPr>
        <w:t>agrone</w:t>
      </w:r>
      <w:r w:rsidR="00332597">
        <w:rPr>
          <w:rFonts w:ascii="Open Sans" w:eastAsia="Open Sans" w:hAnsi="Open Sans" w:cs="Open Sans"/>
          <w:lang w:val="pt-BR"/>
        </w:rPr>
        <w:t>gócio e das mudanças climáticas, em consonância com Leff (2006), ao enfatizar a necessidade de uma racionalidade ambiental pautada na justiça ecológica e no respeito aos limites da natureza.</w:t>
      </w:r>
      <w:r w:rsidRPr="00CB28CB">
        <w:rPr>
          <w:rFonts w:ascii="Open Sans" w:eastAsia="Open Sans" w:hAnsi="Open Sans" w:cs="Open Sans"/>
          <w:lang w:val="pt-BR"/>
        </w:rPr>
        <w:t xml:space="preserve"> </w:t>
      </w:r>
      <w:r w:rsidR="00CF553C">
        <w:rPr>
          <w:rFonts w:ascii="Open Sans" w:eastAsia="Open Sans" w:hAnsi="Open Sans" w:cs="Open Sans"/>
          <w:lang w:val="pt-BR"/>
        </w:rPr>
        <w:t>Nesse contexto, o projeto apresentou</w:t>
      </w:r>
      <w:r w:rsidRPr="00CB28CB">
        <w:rPr>
          <w:rFonts w:ascii="Open Sans" w:eastAsia="Open Sans" w:hAnsi="Open Sans" w:cs="Open Sans"/>
          <w:lang w:val="pt-BR"/>
        </w:rPr>
        <w:t xml:space="preserve"> o Turismo de Base Comunitária na Comunidade como mecanismo de preservação </w:t>
      </w:r>
      <w:r w:rsidR="00CF553C">
        <w:rPr>
          <w:rFonts w:ascii="Open Sans" w:eastAsia="Open Sans" w:hAnsi="Open Sans" w:cs="Open Sans"/>
          <w:lang w:val="pt-BR"/>
        </w:rPr>
        <w:t xml:space="preserve">ambiental, valorização cultural </w:t>
      </w:r>
      <w:r w:rsidRPr="00CB28CB">
        <w:rPr>
          <w:rFonts w:ascii="Open Sans" w:eastAsia="Open Sans" w:hAnsi="Open Sans" w:cs="Open Sans"/>
          <w:lang w:val="pt-BR"/>
        </w:rPr>
        <w:t>e integração</w:t>
      </w:r>
      <w:r w:rsidR="00CF553C">
        <w:rPr>
          <w:rFonts w:ascii="Open Sans" w:eastAsia="Open Sans" w:hAnsi="Open Sans" w:cs="Open Sans"/>
          <w:lang w:val="pt-BR"/>
        </w:rPr>
        <w:t xml:space="preserve"> territorial, articulando</w:t>
      </w:r>
      <w:r w:rsidRPr="00CB28CB">
        <w:rPr>
          <w:rFonts w:ascii="Open Sans" w:eastAsia="Open Sans" w:hAnsi="Open Sans" w:cs="Open Sans"/>
          <w:lang w:val="pt-BR"/>
        </w:rPr>
        <w:t xml:space="preserve"> ações já </w:t>
      </w:r>
      <w:r w:rsidR="00CF553C">
        <w:rPr>
          <w:rFonts w:ascii="Open Sans" w:eastAsia="Open Sans" w:hAnsi="Open Sans" w:cs="Open Sans"/>
          <w:lang w:val="pt-BR"/>
        </w:rPr>
        <w:t xml:space="preserve">existentes e saberes locais e acadêmicos como alternativas às práticas sustentáveis e educativas. </w:t>
      </w:r>
      <w:r w:rsidR="00332597">
        <w:rPr>
          <w:rFonts w:ascii="Open Sans" w:eastAsia="Open Sans" w:hAnsi="Open Sans" w:cs="Open Sans"/>
          <w:lang w:val="pt-BR"/>
        </w:rPr>
        <w:t>O evento rorçou a educação ambiental crítica (Carvalho, 2008) como</w:t>
      </w:r>
      <w:r w:rsidR="00D536C9">
        <w:rPr>
          <w:rFonts w:ascii="Open Sans" w:eastAsia="Open Sans" w:hAnsi="Open Sans" w:cs="Open Sans"/>
          <w:lang w:val="pt-BR"/>
        </w:rPr>
        <w:t xml:space="preserve"> instrumento de formação cidadã.</w:t>
      </w:r>
    </w:p>
    <w:p w:rsidR="00CB28CB" w:rsidRPr="00CB28CB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:rsidR="00CB28CB" w:rsidRPr="00CB28CB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 w:rsidRPr="00CB28CB">
        <w:rPr>
          <w:rFonts w:ascii="Open Sans" w:eastAsia="Open Sans" w:hAnsi="Open Sans" w:cs="Open Sans"/>
          <w:lang w:val="pt-BR"/>
        </w:rPr>
        <w:t>Figuras 3: Aula aberta na Semana Nacional do Cerrado</w:t>
      </w:r>
    </w:p>
    <w:p w:rsidR="00CB28CB" w:rsidRPr="00CB28CB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 w:rsidRPr="00CB28CB">
        <w:rPr>
          <w:rFonts w:ascii="Open Sans" w:eastAsia="Open Sans" w:hAnsi="Open Sans" w:cs="Open Sans"/>
          <w:lang w:val="pt-BR"/>
        </w:rPr>
        <w:t xml:space="preserve"> </w:t>
      </w:r>
      <w:r w:rsidRPr="00CB28CB">
        <w:rPr>
          <w:noProof/>
          <w:lang w:val="pt-BR" w:eastAsia="pt-BR"/>
        </w:rPr>
        <w:drawing>
          <wp:inline distT="0" distB="0" distL="0" distR="0" wp14:anchorId="2B08E686" wp14:editId="0F8066B8">
            <wp:extent cx="3080184" cy="2346339"/>
            <wp:effectExtent l="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84" t="5872" r="31495" b="4952"/>
                    <a:stretch/>
                  </pic:blipFill>
                  <pic:spPr bwMode="auto">
                    <a:xfrm>
                      <a:off x="0" y="0"/>
                      <a:ext cx="3106861" cy="236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52F" w:rsidRDefault="00CB28CB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 w:rsidRPr="00CB28CB">
        <w:rPr>
          <w:rFonts w:ascii="Open Sans" w:eastAsia="Open Sans" w:hAnsi="Open Sans" w:cs="Open Sans"/>
          <w:lang w:val="pt-BR"/>
        </w:rPr>
        <w:t>Fonte: Dados da pesquisa. 2025.</w:t>
      </w:r>
    </w:p>
    <w:p w:rsidR="00332597" w:rsidRDefault="00332597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:rsidR="00DA24DF" w:rsidRDefault="00DA24DF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As ações são incursões iniciais do projeto que está em seu primeiro semestre, porém consolida iniciativas de propostas anteriores como a coordenada pelo professor Eliseu Brito </w:t>
      </w:r>
      <w:r w:rsidR="00BB6531">
        <w:rPr>
          <w:rFonts w:ascii="Open Sans" w:eastAsia="Open Sans" w:hAnsi="Open Sans" w:cs="Open Sans"/>
          <w:lang w:val="pt-BR"/>
        </w:rPr>
        <w:t>intitulada</w:t>
      </w:r>
      <w:r>
        <w:rPr>
          <w:rFonts w:ascii="Open Sans" w:eastAsia="Open Sans" w:hAnsi="Open Sans" w:cs="Open Sans"/>
          <w:lang w:val="pt-BR"/>
        </w:rPr>
        <w:t xml:space="preserve"> “</w:t>
      </w:r>
      <w:r w:rsidR="00BB6531" w:rsidRPr="00BB6531">
        <w:rPr>
          <w:rFonts w:ascii="Open Sans" w:eastAsia="Open Sans" w:hAnsi="Open Sans" w:cs="Open Sans"/>
          <w:lang w:val="pt-BR"/>
        </w:rPr>
        <w:t>Bioeconomia e Turismo de Base Comunitária na geração de</w:t>
      </w:r>
      <w:r w:rsidR="00BB6531">
        <w:rPr>
          <w:rFonts w:ascii="Open Sans" w:eastAsia="Open Sans" w:hAnsi="Open Sans" w:cs="Open Sans"/>
          <w:lang w:val="pt-BR"/>
        </w:rPr>
        <w:t xml:space="preserve"> </w:t>
      </w:r>
      <w:r w:rsidR="00BB6531" w:rsidRPr="00BB6531">
        <w:rPr>
          <w:rFonts w:ascii="Open Sans" w:eastAsia="Open Sans" w:hAnsi="Open Sans" w:cs="Open Sans"/>
          <w:lang w:val="pt-BR"/>
        </w:rPr>
        <w:t>renda e conhecimento para a comunidade Amigo</w:t>
      </w:r>
      <w:r w:rsidR="00BB6531">
        <w:rPr>
          <w:rFonts w:ascii="Open Sans" w:eastAsia="Open Sans" w:hAnsi="Open Sans" w:cs="Open Sans"/>
          <w:lang w:val="pt-BR"/>
        </w:rPr>
        <w:t>s da Terra em Darcinópolis (TO)</w:t>
      </w:r>
      <w:r w:rsidR="00332597">
        <w:rPr>
          <w:rFonts w:ascii="Open Sans" w:eastAsia="Open Sans" w:hAnsi="Open Sans" w:cs="Open Sans"/>
          <w:lang w:val="pt-BR"/>
        </w:rPr>
        <w:t xml:space="preserve">”, fazendo uma </w:t>
      </w:r>
      <w:r w:rsidR="00BB6531">
        <w:rPr>
          <w:rFonts w:ascii="Open Sans" w:eastAsia="Open Sans" w:hAnsi="Open Sans" w:cs="Open Sans"/>
          <w:lang w:val="pt-BR"/>
        </w:rPr>
        <w:t xml:space="preserve">ancoragem teórica legitimidade da metodologia participativa e do reconhecimento dos saberes locais como produtores de conhecimento científico, sustentando a compreensão das práticas sociais (Geertz, 1989). </w:t>
      </w:r>
    </w:p>
    <w:p w:rsidR="0000384D" w:rsidRDefault="0000384D" w:rsidP="0000384D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Como desdobramento desse engajamento nessa sequência de projetos de extensão e pesquisa, três membros da comunidade incluindo a principal liderança, Domingas Alves passaram a integrar o Curso de Tecnologia em Gestão de Turismo da Universidade Federal do Norte do Tocantins (UFNT), </w:t>
      </w:r>
      <w:r>
        <w:rPr>
          <w:rFonts w:ascii="Open Sans" w:eastAsia="Open Sans" w:hAnsi="Open Sans" w:cs="Open Sans"/>
          <w:lang w:val="pt-BR"/>
        </w:rPr>
        <w:lastRenderedPageBreak/>
        <w:t xml:space="preserve">demonstrando que a extensão universitária pode atuar como um mecanismo de inclusão educacional e desenvolvimento pessoal, abrindo caminhos para </w:t>
      </w:r>
      <w:r w:rsidR="00EC5C5E">
        <w:rPr>
          <w:rFonts w:ascii="Open Sans" w:eastAsia="Open Sans" w:hAnsi="Open Sans" w:cs="Open Sans"/>
          <w:lang w:val="pt-BR"/>
        </w:rPr>
        <w:t xml:space="preserve">que os </w:t>
      </w:r>
      <w:r>
        <w:rPr>
          <w:rFonts w:ascii="Open Sans" w:eastAsia="Open Sans" w:hAnsi="Open Sans" w:cs="Open Sans"/>
          <w:lang w:val="pt-BR"/>
        </w:rPr>
        <w:t>membros da comunidade</w:t>
      </w:r>
      <w:r w:rsidR="00EC5C5E">
        <w:rPr>
          <w:rFonts w:ascii="Open Sans" w:eastAsia="Open Sans" w:hAnsi="Open Sans" w:cs="Open Sans"/>
          <w:lang w:val="pt-BR"/>
        </w:rPr>
        <w:t xml:space="preserve"> acedam à formação superior e fortaleçam seus territórios por meio de práticas acadêmicas e comunitárias articuladas. </w:t>
      </w:r>
    </w:p>
    <w:p w:rsidR="00BB6531" w:rsidRDefault="00EC5C5E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Outro resultado mais significativo, como desdobramento desse engajamento</w:t>
      </w:r>
      <w:r w:rsidR="0000384D">
        <w:rPr>
          <w:rFonts w:ascii="Open Sans" w:eastAsia="Open Sans" w:hAnsi="Open Sans" w:cs="Open Sans"/>
          <w:lang w:val="pt-BR"/>
        </w:rPr>
        <w:t xml:space="preserve"> dos projetos foi a participação direta da juventude da comunidade Amigos da Terra, representada pelo bolsista de extensão, que atua como liderança jovem local. Essa participação não apenas reforçou o protagonismo comunitário, mas também estabeleceu uma ponte concreta entre conhecimento local e formação acadêmica. O bolsista, ao se envolver nas atividades de planejamento, execução e sistematização do projeto de turismo de base comunitária, adquiriu habilidades técnicas, capacidade de mediação e experiência em gestão comunitária, consolidando seu papel de liderança. </w:t>
      </w:r>
    </w:p>
    <w:p w:rsidR="007C7316" w:rsidRDefault="007C7316" w:rsidP="00CB28CB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:rsidR="000A452F" w:rsidRDefault="00EC5C5E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Considerações Finais</w:t>
      </w:r>
    </w:p>
    <w:p w:rsidR="000A452F" w:rsidRDefault="008E138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 experiência desenvolvida evidenciou a relevância do diálogo entre saberes como eixo estruturante das ações extensionistas, reafirmando a importância da participação ativa da comunidade na construção de processos sustentáveis e emancipatórios. A interação entre a Universidade Federal do Norte do Tocantins (UFNT) e a Comunidade Amigos da Terra revelou-se um espaço fecundo de aprendizagem mútua, em que o conhecimento científico e o conhecimento tradicional se complementaram, resultando em práticas mais contextualizadas e socialmente comprometidas. </w:t>
      </w:r>
    </w:p>
    <w:p w:rsidR="008E1380" w:rsidRDefault="008E138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 atuação conjunta tem favorecido o fortalecimento institucional da associação local, ampliando a capacidade organizativa da comunidade e estimulando o protagonismo dos moradores na condução de suas atividades no turismo e na bioeconomia. Além disso, o envolvimento dos estudantes e pesquisadores da UFNT tem contribuído para a formação acadêmica crítica e sensível às realidades tradicionais, promovendo o princípio da indissiociabilidade entre ensino, pesquisa e extensão. </w:t>
      </w:r>
    </w:p>
    <w:p w:rsidR="008E1380" w:rsidRDefault="008E138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Assim, o projeto reafirma o papel transformador da extensão universitária na promoção do desenvolvimento comunitário sustentável, consolidando vínculos duradouros entre a universidade e a sociedade, pautados pela ética, pelo respeito à diversidade cultural e pelo compromisso com o fortalecimento dos territórios do Cerrado.</w:t>
      </w:r>
    </w:p>
    <w:p w:rsidR="008E1380" w:rsidRDefault="008E138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 consolidação da parceria entre a UFNT e a Comunidade Amigos da Terra tem gerado resultados expressivos na ampliação de oportunidades de desenvolvimento local. Após a implementação das ações de pesquisa e extensão voltadas ao turismo de base comunitária e à bioeconomia, a comunidade alcançou </w:t>
      </w:r>
      <w:r w:rsidR="00EA3413">
        <w:rPr>
          <w:rFonts w:ascii="Open Sans" w:eastAsia="Open Sans" w:hAnsi="Open Sans" w:cs="Open Sans"/>
          <w:lang w:val="pt-BR"/>
        </w:rPr>
        <w:t xml:space="preserve">ainda mais </w:t>
      </w:r>
      <w:r>
        <w:rPr>
          <w:rFonts w:ascii="Open Sans" w:eastAsia="Open Sans" w:hAnsi="Open Sans" w:cs="Open Sans"/>
          <w:lang w:val="pt-BR"/>
        </w:rPr>
        <w:t>visibilidade regional e reconhec</w:t>
      </w:r>
      <w:r w:rsidR="00EA3413">
        <w:rPr>
          <w:rFonts w:ascii="Open Sans" w:eastAsia="Open Sans" w:hAnsi="Open Sans" w:cs="Open Sans"/>
          <w:lang w:val="pt-BR"/>
        </w:rPr>
        <w:t xml:space="preserve">imento de suas práticas sustentáveis. esse processo contribuiu diretamente para a Associação Amigos da Terra fosse contemplada em diversos editais de fomento, entre eles o Programa Copaíbas, promovido pelo Fundo Brasileiro para a Biodiversidade (Funbio), destinado ao apoio de iniciativas voltadas à conservação do Cerrado e à valorização das comunidades tradicionais. </w:t>
      </w:r>
    </w:p>
    <w:p w:rsidR="00EA3413" w:rsidRDefault="00EA3413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Esse resultado evidencia que a interação entre universidade e comunidade não apenas promove a troca de saberes, mas também gera impactos concretos na autonomia e na capacidade de gestão local</w:t>
      </w:r>
      <w:r w:rsidR="00DA24DF">
        <w:rPr>
          <w:rFonts w:ascii="Open Sans" w:eastAsia="Open Sans" w:hAnsi="Open Sans" w:cs="Open Sans"/>
          <w:lang w:val="pt-BR"/>
        </w:rPr>
        <w:t xml:space="preserve">. A conquista de editais como o Copaíbas reflete, portanto, o amadurecimento institucional da comunidade e a eficácia das ações extensionistas enquanto instrumento de transformação social e territorial. </w:t>
      </w:r>
    </w:p>
    <w:p w:rsidR="000A452F" w:rsidRDefault="000A452F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:rsidR="000A452F" w:rsidRDefault="00EC5C5E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Referências Bibliográficas</w:t>
      </w:r>
    </w:p>
    <w:p w:rsidR="000A452F" w:rsidRDefault="000A452F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</w:p>
    <w:p w:rsidR="000A452F" w:rsidRDefault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BRANDÃO, C. R. A pesquisa participante. São Paulo: Brasiliense, 1985.</w:t>
      </w:r>
    </w:p>
    <w:p w:rsidR="00D536C9" w:rsidRDefault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BRANDÃO, C. R. Extensão universitária: saberes em movimento. São Paulo: Cortez, 2005.</w:t>
      </w:r>
    </w:p>
    <w:p w:rsidR="00D536C9" w:rsidRDefault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CARVALHO, I. C. M. Educação ambiental: a formação do sujeito ecológico. São Paulo: Cortez, 2008.</w:t>
      </w:r>
    </w:p>
    <w:p w:rsidR="00D536C9" w:rsidRDefault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FREIRE, P. Pedagogia do oprimido. Rio de Janeiro: Paz e Terra, 1970.</w:t>
      </w:r>
    </w:p>
    <w:p w:rsidR="00D536C9" w:rsidRDefault="00D536C9" w:rsidP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FREIRE, P. Extensão ou comunicação? Rio de Janeiro: Paz e Terra, 1983.</w:t>
      </w:r>
    </w:p>
    <w:p w:rsidR="00D536C9" w:rsidRDefault="00D536C9" w:rsidP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GEERTZ, C. A interpretação das culturas. Rio de Janeiro: LTC, 1989.</w:t>
      </w:r>
    </w:p>
    <w:p w:rsidR="00D536C9" w:rsidRDefault="00D536C9" w:rsidP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lastRenderedPageBreak/>
        <w:t>LEEF, E. Racionalidade ambiental: a reapropriação social da natureza. Rio de janeiro: Civilização Brasileira, 2006.</w:t>
      </w:r>
    </w:p>
    <w:p w:rsidR="00D536C9" w:rsidRDefault="00D536C9" w:rsidP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POMBO, O. Interdisciplinaridade: teoria e prática. Revista Ciência Humanas, Lisboa, 2006.</w:t>
      </w:r>
    </w:p>
    <w:p w:rsidR="00D536C9" w:rsidRDefault="00D536C9" w:rsidP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SANTOS, B. S. Para uma ecologia dos saberes. Revista Crítica de Ciências Sociais, n. 88, p. 11-39, 2010. </w:t>
      </w:r>
    </w:p>
    <w:p w:rsidR="00D536C9" w:rsidRDefault="00D536C9" w:rsidP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SANTOS, M. A natureza do espaço: técnica e tempo, razão e emoção. São Paulo: Hucitec, 1996.</w:t>
      </w:r>
    </w:p>
    <w:p w:rsidR="00D536C9" w:rsidRDefault="00D536C9" w:rsidP="007B1FE2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SANTOS, A. B. As fronteiras entre o saber orgânico e o saber sintético. In: </w:t>
      </w:r>
      <w:r w:rsidR="007B1FE2" w:rsidRPr="007B1FE2">
        <w:rPr>
          <w:rFonts w:ascii="Open Sans" w:eastAsia="Open Sans" w:hAnsi="Open Sans" w:cs="Open Sans"/>
          <w:lang w:val="pt-BR"/>
        </w:rPr>
        <w:t>n: OLIVA, A. R. et al. (org.). Tecendo redes antirracistas:</w:t>
      </w:r>
      <w:r w:rsidR="007B1FE2">
        <w:rPr>
          <w:rFonts w:ascii="Open Sans" w:eastAsia="Open Sans" w:hAnsi="Open Sans" w:cs="Open Sans"/>
          <w:lang w:val="pt-BR"/>
        </w:rPr>
        <w:t xml:space="preserve"> </w:t>
      </w:r>
      <w:r w:rsidR="007B1FE2" w:rsidRPr="007B1FE2">
        <w:rPr>
          <w:rFonts w:ascii="Open Sans" w:eastAsia="Open Sans" w:hAnsi="Open Sans" w:cs="Open Sans"/>
          <w:lang w:val="pt-BR"/>
        </w:rPr>
        <w:t>Áfricas, Brasis, Portugal. Belo Horizonte: Autêntica, 2019. p. 23-36.</w:t>
      </w:r>
      <w:r w:rsidR="007B1FE2">
        <w:rPr>
          <w:rFonts w:ascii="Open Sans" w:eastAsia="Open Sans" w:hAnsi="Open Sans" w:cs="Open Sans"/>
          <w:lang w:val="pt-BR"/>
        </w:rPr>
        <w:t xml:space="preserve"> </w:t>
      </w:r>
      <w:r w:rsidR="007B1FE2" w:rsidRPr="007B1FE2">
        <w:rPr>
          <w:rFonts w:ascii="Open Sans" w:eastAsia="Open Sans" w:hAnsi="Open Sans" w:cs="Open Sans"/>
          <w:lang w:val="pt-BR"/>
        </w:rPr>
        <w:t>(Coleção Cultura Negra e identidades).</w:t>
      </w:r>
      <w:r w:rsidR="007B1FE2">
        <w:rPr>
          <w:rFonts w:ascii="Open Sans" w:eastAsia="Open Sans" w:hAnsi="Open Sans" w:cs="Open Sans"/>
          <w:lang w:val="pt-BR"/>
        </w:rPr>
        <w:t xml:space="preserve"> </w:t>
      </w:r>
    </w:p>
    <w:p w:rsidR="00D536C9" w:rsidRDefault="00D536C9" w:rsidP="00D536C9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THIOLLENT, M. Metodologia da pesquisa-ação. São Paulo: Cortez, 2011. </w:t>
      </w:r>
    </w:p>
    <w:p w:rsidR="00D536C9" w:rsidRDefault="00D536C9" w:rsidP="00D536C9">
      <w:pPr>
        <w:ind w:left="0" w:hanging="2"/>
        <w:rPr>
          <w:rFonts w:ascii="Open Sans" w:eastAsia="Open Sans" w:hAnsi="Open Sans" w:cs="Open Sans"/>
          <w:lang w:val="pt-BR"/>
        </w:rPr>
      </w:pPr>
    </w:p>
    <w:p w:rsidR="000A452F" w:rsidRDefault="000A452F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:rsidR="000A452F" w:rsidRDefault="000A452F">
      <w:pPr>
        <w:rPr>
          <w:b/>
          <w:sz w:val="28"/>
          <w:szCs w:val="28"/>
        </w:rPr>
      </w:pPr>
    </w:p>
    <w:sectPr w:rsidR="000A452F" w:rsidSect="0000384D">
      <w:headerReference w:type="default" r:id="rId11"/>
      <w:footerReference w:type="default" r:id="rId12"/>
      <w:pgSz w:w="11906" w:h="16838"/>
      <w:pgMar w:top="1440" w:right="1797" w:bottom="1440" w:left="1797" w:header="720" w:footer="720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5D0" w:rsidRDefault="006035D0">
      <w:pPr>
        <w:spacing w:before="0" w:after="0" w:line="240" w:lineRule="auto"/>
      </w:pPr>
      <w:r>
        <w:separator/>
      </w:r>
    </w:p>
  </w:endnote>
  <w:endnote w:type="continuationSeparator" w:id="0">
    <w:p w:rsidR="006035D0" w:rsidRDefault="006035D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variable"/>
    <w:embedRegular r:id="rId1" w:fontKey="{962414FA-157E-472F-BC3A-318BFFBDB9C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A166C65E-72F9-4DB6-B67E-68D15954AFD6}"/>
    <w:embedBold r:id="rId3" w:fontKey="{2CBB38C6-CED0-49A7-BC9B-C35A6977A448}"/>
    <w:embedItalic r:id="rId4" w:fontKey="{D5665BD6-179E-4684-A3F0-339B715E3E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CCE857-3D83-4CDC-812C-863473581F6E}"/>
    <w:embedBold r:id="rId6" w:fontKey="{56658FF5-0763-47A7-95EC-A938553B2005}"/>
  </w:font>
  <w:font w:name="DejaVu Sans">
    <w:panose1 w:val="00000000000000000000"/>
    <w:charset w:val="00"/>
    <w:family w:val="roman"/>
    <w:notTrueType/>
    <w:pitch w:val="default"/>
  </w:font>
  <w:font w:name="Lucida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FFB3A6E-4D57-44D7-9E95-6C8F80FFA2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FE60C9E-841E-48FE-9E2B-A5B9A2FEEDE4}"/>
    <w:embedItalic r:id="rId9" w:fontKey="{BE46C65B-E1CF-47BA-976F-8D79CA4373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9BA17A2-2B0B-444C-AB56-E44E00A81CE2}"/>
  </w:font>
  <w:font w:name="Open Sans">
    <w:charset w:val="00"/>
    <w:family w:val="roman"/>
    <w:pitch w:val="variable"/>
    <w:embedRegular r:id="rId11" w:fontKey="{AF4659F3-8A1D-4E5B-B0BA-6F545408EDD8}"/>
    <w:embedBold r:id="rId12" w:fontKey="{665B3C66-9A09-48C3-822D-BE16D5B1BDD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C5E" w:rsidRDefault="00EC5C5E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 w:rsidR="00DE6B7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5D0" w:rsidRDefault="006035D0">
      <w:pPr>
        <w:spacing w:before="0" w:after="0" w:line="240" w:lineRule="auto"/>
      </w:pPr>
      <w:r>
        <w:separator/>
      </w:r>
    </w:p>
  </w:footnote>
  <w:footnote w:type="continuationSeparator" w:id="0">
    <w:p w:rsidR="006035D0" w:rsidRDefault="006035D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C5E" w:rsidRDefault="00EC5C5E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B51E0"/>
    <w:multiLevelType w:val="multilevel"/>
    <w:tmpl w:val="864443D2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D5B786C"/>
    <w:multiLevelType w:val="multilevel"/>
    <w:tmpl w:val="32788060"/>
    <w:lvl w:ilvl="0">
      <w:start w:val="1"/>
      <w:numFmt w:val="upperRoman"/>
      <w:pStyle w:val="Ttulo1"/>
      <w:lvlText w:val="%1.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embedTrueTypeFont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52F"/>
    <w:rsid w:val="0000384D"/>
    <w:rsid w:val="000A452F"/>
    <w:rsid w:val="00332597"/>
    <w:rsid w:val="003C600C"/>
    <w:rsid w:val="006035D0"/>
    <w:rsid w:val="00616A09"/>
    <w:rsid w:val="00707C89"/>
    <w:rsid w:val="007B1FE2"/>
    <w:rsid w:val="007C7316"/>
    <w:rsid w:val="00835495"/>
    <w:rsid w:val="00836AD4"/>
    <w:rsid w:val="008E1380"/>
    <w:rsid w:val="00950CB2"/>
    <w:rsid w:val="00964C88"/>
    <w:rsid w:val="00BB6531"/>
    <w:rsid w:val="00BF65E3"/>
    <w:rsid w:val="00CB28CB"/>
    <w:rsid w:val="00CF553C"/>
    <w:rsid w:val="00D536C9"/>
    <w:rsid w:val="00DA24DF"/>
    <w:rsid w:val="00DE6B7D"/>
    <w:rsid w:val="00EA3413"/>
    <w:rsid w:val="00EC5C5E"/>
    <w:rsid w:val="00F1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F5A847-A51D-44BE-BA20-54473CFCA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vertAlign w:val="subscript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spacing w:before="60" w:after="80" w:line="1" w:lineRule="atLeast"/>
      <w:ind w:left="-1" w:hanging="1"/>
      <w:jc w:val="both"/>
      <w:textAlignment w:val="top"/>
      <w:outlineLvl w:val="0"/>
    </w:pPr>
    <w:rPr>
      <w:rFonts w:eastAsia="Arial" w:cs="Arial"/>
      <w:sz w:val="44"/>
      <w:szCs w:val="44"/>
      <w:vertAlign w:val="subscript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9z1">
    <w:name w:val="WW8Num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3z0">
    <w:name w:val="WW8Num1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3z1">
    <w:name w:val="WW8Num1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4z0">
    <w:name w:val="WW8Num1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4z1">
    <w:name w:val="WW8Num1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Absatz-Standardschriftart">
    <w:name w:val="Absatz-Standardschriftart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">
    <w:name w:val="WW-Absatz-Standardschriftart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">
    <w:name w:val="WW-Absatz-Standardschriftart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1">
    <w:name w:val="WW-Absatz-Standardschriftart1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11">
    <w:name w:val="WW-Absatz-Standardschriftart11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2z1">
    <w:name w:val="WW8Num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z2">
    <w:name w:val="WW8Num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9z2">
    <w:name w:val="WW8Num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3z2">
    <w:name w:val="WW8Num1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4z2">
    <w:name w:val="WW8Num1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7z0">
    <w:name w:val="WW8Num1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7z1">
    <w:name w:val="WW8Num1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7z2">
    <w:name w:val="WW8Num1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8z0">
    <w:name w:val="WW8Num1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8z1">
    <w:name w:val="WW8Num1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8z2">
    <w:name w:val="WW8Num1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9z0">
    <w:name w:val="WW8Num1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9z1">
    <w:name w:val="WW8Num1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9z2">
    <w:name w:val="WW8Num1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0z0">
    <w:name w:val="WW8Num2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0z1">
    <w:name w:val="WW8Num2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0z2">
    <w:name w:val="WW8Num2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1z0">
    <w:name w:val="WW8Num2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1z1">
    <w:name w:val="WW8Num2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1z2">
    <w:name w:val="WW8Num2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2z0">
    <w:name w:val="WW8Num2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2z1">
    <w:name w:val="WW8Num2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2z2">
    <w:name w:val="WW8Num2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3z0">
    <w:name w:val="WW8Num2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3z1">
    <w:name w:val="WW8Num2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3z2">
    <w:name w:val="WW8Num2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4z0">
    <w:name w:val="WW8Num2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4z1">
    <w:name w:val="WW8Num2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4z2">
    <w:name w:val="WW8Num2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5z0">
    <w:name w:val="WW8Num2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5z1">
    <w:name w:val="WW8Num2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5z2">
    <w:name w:val="WW8Num2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0">
    <w:name w:val="WW8Num26z0"/>
    <w:qFormat/>
    <w:rPr>
      <w:rFonts w:ascii="Symbol" w:hAnsi="Symbol"/>
      <w:color w:val="auto"/>
      <w:w w:val="100"/>
      <w:position w:val="0"/>
      <w:sz w:val="20"/>
      <w:effect w:val="none"/>
      <w:vertAlign w:val="baseline"/>
      <w:em w:val="none"/>
    </w:rPr>
  </w:style>
  <w:style w:type="character" w:customStyle="1" w:styleId="WW8Num26z1">
    <w:name w:val="WW8Num26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6z2">
    <w:name w:val="WW8Num26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3">
    <w:name w:val="WW8Num26z3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0">
    <w:name w:val="WW8Num2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1">
    <w:name w:val="WW8Num2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7z2">
    <w:name w:val="WW8Num2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8z0">
    <w:name w:val="WW8Num2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8z1">
    <w:name w:val="WW8Num2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8z2">
    <w:name w:val="WW8Num2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9z0">
    <w:name w:val="WW8Num2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9z1">
    <w:name w:val="WW8Num2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9z2">
    <w:name w:val="WW8Num2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0z0">
    <w:name w:val="WW8Num3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0z1">
    <w:name w:val="WW8Num3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0z2">
    <w:name w:val="WW8Num3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1z0">
    <w:name w:val="WW8Num3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1z1">
    <w:name w:val="WW8Num3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1z2">
    <w:name w:val="WW8Num3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2z0">
    <w:name w:val="WW8Num3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2z1">
    <w:name w:val="WW8Num3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2z2">
    <w:name w:val="WW8Num3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3z0">
    <w:name w:val="WW8Num3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3z1">
    <w:name w:val="WW8Num3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3z2">
    <w:name w:val="WW8Num3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4z0">
    <w:name w:val="WW8Num3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4z1">
    <w:name w:val="WW8Num3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4z2">
    <w:name w:val="WW8Num3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5z0">
    <w:name w:val="WW8Num3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5z1">
    <w:name w:val="WW8Num3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5z2">
    <w:name w:val="WW8Num3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6z1">
    <w:name w:val="WW8Num36z1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7z0">
    <w:name w:val="WW8Num3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7z1">
    <w:name w:val="WW8Num3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7z2">
    <w:name w:val="WW8Num3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8z0">
    <w:name w:val="WW8Num3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8z1">
    <w:name w:val="WW8Num3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8z2">
    <w:name w:val="WW8Num3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9z0">
    <w:name w:val="WW8Num3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9z1">
    <w:name w:val="WW8Num3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9z2">
    <w:name w:val="WW8Num3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0">
    <w:name w:val="WW8Num40z0"/>
    <w:qFormat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40z1">
    <w:name w:val="WW8Num4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0z2">
    <w:name w:val="WW8Num4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3">
    <w:name w:val="WW8Num40z3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2z0">
    <w:name w:val="WW8Num4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2z1">
    <w:name w:val="WW8Num4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2z2">
    <w:name w:val="WW8Num4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3z0">
    <w:name w:val="WW8Num4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3z1">
    <w:name w:val="WW8Num4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3z2">
    <w:name w:val="WW8Num4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4z0">
    <w:name w:val="WW8Num4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4z1">
    <w:name w:val="WW8Num4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4z2">
    <w:name w:val="WW8Num4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entury Gothic" w:hAnsi="Century Gothic" w:cs="Arial"/>
      <w:w w:val="100"/>
      <w:position w:val="0"/>
      <w:sz w:val="44"/>
      <w:szCs w:val="44"/>
      <w:effect w:val="none"/>
      <w:vertAlign w:val="baseline"/>
      <w:em w:val="none"/>
      <w:lang w:val="en-US" w:eastAsia="ar-SA" w:bidi="ar-SA"/>
    </w:rPr>
  </w:style>
  <w:style w:type="character" w:customStyle="1" w:styleId="ProposalChar">
    <w:name w:val="Proposal Char"/>
    <w:qFormat/>
    <w:rPr>
      <w:rFonts w:ascii="Century Gothic" w:hAnsi="Century Gothic" w:cs="Arial"/>
      <w:color w:val="C0C0C0"/>
      <w:w w:val="100"/>
      <w:position w:val="0"/>
      <w:sz w:val="88"/>
      <w:szCs w:val="44"/>
      <w:effect w:val="none"/>
      <w:vertAlign w:val="baseline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styleId="Nmerodepgina">
    <w:name w:val="page number"/>
    <w:qFormat/>
    <w:rPr>
      <w:rFonts w:ascii="Century Gothic" w:hAnsi="Century Gothic"/>
      <w:w w:val="100"/>
      <w:position w:val="0"/>
      <w:sz w:val="18"/>
      <w:effect w:val="none"/>
      <w:vertAlign w:val="baseline"/>
      <w:em w:val="none"/>
    </w:rPr>
  </w:style>
  <w:style w:type="character" w:customStyle="1" w:styleId="FootnoteCharacters">
    <w:name w:val="Footnote Characters"/>
    <w:qFormat/>
    <w:rPr>
      <w:w w:val="100"/>
      <w:effect w:val="none"/>
      <w:vertAlign w:val="superscript"/>
      <w:em w:val="none"/>
    </w:rPr>
  </w:style>
  <w:style w:type="character" w:styleId="Forte">
    <w:name w:val="Strong"/>
    <w:qFormat/>
    <w:rPr>
      <w:b/>
      <w:bCs/>
      <w:w w:val="100"/>
      <w:position w:val="0"/>
      <w:sz w:val="20"/>
      <w:effect w:val="none"/>
      <w:vertAlign w:val="baseline"/>
      <w:em w:val="none"/>
    </w:rPr>
  </w:style>
  <w:style w:type="character" w:customStyle="1" w:styleId="Pr-formataoHTMLChar">
    <w:name w:val="Pré-formatação HTML Char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  <w:lang w:val="pt-BR" w:eastAsia="ar-SA" w:bidi="ar-SA"/>
    </w:rPr>
  </w:style>
  <w:style w:type="character" w:customStyle="1" w:styleId="RodapChar">
    <w:name w:val="Rodapé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 w:bidi="ar-SA"/>
    </w:rPr>
  </w:style>
  <w:style w:type="character" w:customStyle="1" w:styleId="Ttulo2Char">
    <w:name w:val="Título 2 Char"/>
    <w:qFormat/>
    <w:rPr>
      <w:rFonts w:ascii="Century Gothic" w:hAnsi="Century Gothic" w:cs="Arial"/>
      <w:w w:val="100"/>
      <w:position w:val="0"/>
      <w:sz w:val="32"/>
      <w:szCs w:val="32"/>
      <w:effect w:val="none"/>
      <w:vertAlign w:val="baseline"/>
      <w:em w:val="none"/>
      <w:lang w:val="en-US"/>
    </w:rPr>
  </w:style>
  <w:style w:type="character" w:customStyle="1" w:styleId="Pr-formataoHTMLChar1">
    <w:name w:val="Pré-formatação HTML Char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entury Gothic" w:hAnsi="Century Gothic" w:cs="Arial"/>
      <w:b/>
      <w:bCs/>
      <w:w w:val="100"/>
      <w:position w:val="0"/>
      <w:sz w:val="26"/>
      <w:szCs w:val="26"/>
      <w:effect w:val="none"/>
      <w:vertAlign w:val="baseline"/>
      <w:em w:val="none"/>
    </w:rPr>
  </w:style>
  <w:style w:type="character" w:customStyle="1" w:styleId="TextodenotaderodapChar">
    <w:name w:val="Texto de nota de rodapé Char"/>
    <w:qFormat/>
    <w:rPr>
      <w:rFonts w:ascii="Arial" w:hAnsi="Arial"/>
      <w:color w:val="000000"/>
      <w:w w:val="100"/>
      <w:position w:val="0"/>
      <w:sz w:val="18"/>
      <w:effect w:val="none"/>
      <w:vertAlign w:val="baseline"/>
      <w:em w:val="none"/>
    </w:rPr>
  </w:style>
  <w:style w:type="character" w:customStyle="1" w:styleId="WW-FootnoteCharacters">
    <w:name w:val="WW-Footnote Characters"/>
    <w:qFormat/>
    <w:rPr>
      <w:w w:val="100"/>
      <w:effect w:val="none"/>
      <w:vertAlign w:val="superscript"/>
      <w:em w:val="none"/>
    </w:rPr>
  </w:style>
  <w:style w:type="character" w:customStyle="1" w:styleId="MTDisplayEquationChar">
    <w:name w:val="MTDisplayEquation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</w:rPr>
  </w:style>
  <w:style w:type="character" w:customStyle="1" w:styleId="nfakpe">
    <w:name w:val="nfakpe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Char">
    <w:name w:val="Título Char"/>
    <w:qFormat/>
    <w:rPr>
      <w:rFonts w:ascii="Cambria" w:eastAsia="Times New Roman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en-US"/>
    </w:rPr>
  </w:style>
  <w:style w:type="character" w:customStyle="1" w:styleId="SubttuloChar">
    <w:name w:val="Subtítulo Char"/>
    <w:qFormat/>
    <w:rPr>
      <w:rFonts w:ascii="Cambria" w:eastAsia="Times New Roman" w:hAnsi="Cambria" w:cs="Times New Roman"/>
      <w:w w:val="100"/>
      <w:position w:val="0"/>
      <w:sz w:val="24"/>
      <w:szCs w:val="24"/>
      <w:effect w:val="none"/>
      <w:vertAlign w:val="baseline"/>
      <w:em w:val="none"/>
      <w:lang w:val="en-US"/>
    </w:rPr>
  </w:style>
  <w:style w:type="character" w:styleId="nfase">
    <w:name w:val="Emphasis"/>
    <w:qFormat/>
    <w:rPr>
      <w:iCs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FootnoteChar">
    <w:name w:val="Footnote Char"/>
    <w:qFormat/>
    <w:rPr>
      <w:rFonts w:ascii="Arial" w:hAnsi="Arial"/>
      <w:color w:val="000000"/>
      <w:w w:val="100"/>
      <w:position w:val="0"/>
      <w:sz w:val="18"/>
      <w:effect w:val="none"/>
      <w:vertAlign w:val="baseline"/>
      <w:em w:val="none"/>
      <w:lang w:val="en-US"/>
    </w:rPr>
  </w:style>
  <w:style w:type="character" w:customStyle="1" w:styleId="texto">
    <w:name w:val="texto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ext1">
    <w:name w:val="text1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style41">
    <w:name w:val="style41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abeladeGrade1Clara1">
    <w:name w:val="Tabela de Grade 1 Clara1"/>
    <w:qFormat/>
    <w:rPr>
      <w:b/>
      <w:bCs/>
      <w:smallCaps/>
      <w:spacing w:val="5"/>
      <w:w w:val="100"/>
      <w:position w:val="0"/>
      <w:sz w:val="20"/>
      <w:effect w:val="none"/>
      <w:vertAlign w:val="baseline"/>
      <w:em w:val="none"/>
    </w:rPr>
  </w:style>
  <w:style w:type="character" w:customStyle="1" w:styleId="longtext">
    <w:name w:val="long_text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mediumtext">
    <w:name w:val="medium_text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0"/>
      <w:sz w:val="20"/>
      <w:effect w:val="none"/>
      <w:vertAlign w:val="baseline"/>
      <w:em w:val="none"/>
    </w:rPr>
  </w:style>
  <w:style w:type="character" w:customStyle="1" w:styleId="Smbolosdenumerao">
    <w:name w:val="Símbolos de numeração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extodenotadefimChar">
    <w:name w:val="Texto de nota de fim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styleId="Refdenotadefim">
    <w:name w:val="endnote reference"/>
    <w:rPr>
      <w:w w:val="100"/>
      <w:effect w:val="none"/>
      <w:vertAlign w:val="superscript"/>
      <w:em w:val="none"/>
    </w:rPr>
  </w:style>
  <w:style w:type="character" w:customStyle="1" w:styleId="EndnoteCharacters">
    <w:name w:val="Endnote Characters"/>
    <w:qFormat/>
    <w:rPr>
      <w:w w:val="100"/>
      <w:effect w:val="none"/>
      <w:vertAlign w:val="superscript"/>
      <w:em w:val="none"/>
    </w:rPr>
  </w:style>
  <w:style w:type="character" w:styleId="Refdenotaderodap">
    <w:name w:val="footnote reference"/>
    <w:rPr>
      <w:w w:val="100"/>
      <w:effect w:val="none"/>
      <w:vertAlign w:val="superscript"/>
      <w:em w:val="none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customStyle="1" w:styleId="AssuntodocomentrioChar">
    <w:name w:val="Assunto do comentário Char"/>
    <w:qFormat/>
    <w:rPr>
      <w:rFonts w:ascii="Century Gothic" w:hAnsi="Century Gothic"/>
      <w:b/>
      <w:bCs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customStyle="1" w:styleId="CabealhoChar">
    <w:name w:val="Cabeçalho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2"/>
      <w:sz w:val="32"/>
      <w:szCs w:val="32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Proposal">
    <w:name w:val="Proposal"/>
    <w:qFormat/>
    <w:pPr>
      <w:pBdr>
        <w:top w:val="single" w:sz="8" w:space="0" w:color="C0C0C0"/>
      </w:pBdr>
      <w:spacing w:before="1100" w:after="60" w:line="1" w:lineRule="atLeast"/>
      <w:ind w:left="-1" w:hanging="1"/>
      <w:jc w:val="both"/>
      <w:textAlignment w:val="top"/>
      <w:outlineLvl w:val="0"/>
    </w:pPr>
    <w:rPr>
      <w:rFonts w:eastAsia="Arial" w:cs="Arial"/>
      <w:color w:val="C0C0C0"/>
      <w:sz w:val="88"/>
      <w:szCs w:val="44"/>
      <w:vertAlign w:val="subscript"/>
      <w:lang w:eastAsia="ar-SA"/>
    </w:rPr>
  </w:style>
  <w:style w:type="paragraph" w:customStyle="1" w:styleId="OrgNameandDate">
    <w:name w:val="Org Name and Date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rFonts w:eastAsia="Arial"/>
      <w:sz w:val="28"/>
      <w:szCs w:val="28"/>
      <w:vertAlign w:val="subscript"/>
      <w:lang w:eastAsia="ar-SA"/>
    </w:rPr>
  </w:style>
  <w:style w:type="paragraph" w:customStyle="1" w:styleId="ProjectName">
    <w:name w:val="Project Name"/>
    <w:qFormat/>
    <w:pPr>
      <w:spacing w:before="100" w:after="60" w:line="1" w:lineRule="atLeast"/>
      <w:ind w:left="-1" w:hanging="1"/>
      <w:jc w:val="both"/>
      <w:textAlignment w:val="top"/>
      <w:outlineLvl w:val="0"/>
    </w:pPr>
    <w:rPr>
      <w:rFonts w:eastAsia="Arial"/>
      <w:sz w:val="44"/>
      <w:vertAlign w:val="subscript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after="60" w:line="1" w:lineRule="atLeast"/>
      <w:ind w:left="-1" w:hanging="1"/>
      <w:jc w:val="both"/>
      <w:textAlignment w:val="top"/>
      <w:outlineLvl w:val="0"/>
    </w:pPr>
    <w:rPr>
      <w:rFonts w:eastAsia="Arial" w:cs="Arial"/>
      <w:bCs/>
      <w:caps/>
      <w:vertAlign w:val="subscript"/>
      <w:lang w:eastAsia="ar-SA"/>
    </w:rPr>
  </w:style>
  <w:style w:type="paragraph" w:customStyle="1" w:styleId="TableText">
    <w:name w:val="Table Text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rFonts w:eastAsia="Arial"/>
      <w:sz w:val="16"/>
      <w:vertAlign w:val="subscript"/>
      <w:lang w:eastAsia="ar-SA"/>
    </w:rPr>
  </w:style>
  <w:style w:type="paragraph" w:customStyle="1" w:styleId="Total">
    <w:name w:val="Total"/>
    <w:basedOn w:val="TableText"/>
    <w:qFormat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qFormat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qFormat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qFormat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  <w:qFormat/>
  </w:style>
  <w:style w:type="paragraph" w:styleId="Pr-formataoHTML">
    <w:name w:val="HTML Preformatted"/>
    <w:basedOn w:val="Normal"/>
    <w:qFormat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color w:val="000000"/>
      <w:sz w:val="24"/>
      <w:szCs w:val="24"/>
      <w:vertAlign w:val="subscript"/>
      <w:lang w:val="pt-BR" w:eastAsia="ar-SA"/>
    </w:rPr>
  </w:style>
  <w:style w:type="paragraph" w:customStyle="1" w:styleId="ListParagraph1">
    <w:name w:val="List Paragraph1"/>
    <w:basedOn w:val="Normal"/>
    <w:qFormat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qFormat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  <w:qFormat/>
  </w:style>
  <w:style w:type="paragraph" w:styleId="NormalWeb">
    <w:name w:val="Normal (Web)"/>
    <w:basedOn w:val="Normal"/>
    <w:qFormat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qFormat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qFormat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qFormat/>
    <w:pPr>
      <w:tabs>
        <w:tab w:val="left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qFormat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Sumrio10">
    <w:name w:val="Sumário 10"/>
    <w:basedOn w:val="ndice"/>
    <w:qFormat/>
    <w:pPr>
      <w:ind w:left="2547" w:firstLine="0"/>
    </w:pPr>
  </w:style>
  <w:style w:type="paragraph" w:customStyle="1" w:styleId="Contedodoquadro">
    <w:name w:val="Conteúdo do quadro"/>
    <w:basedOn w:val="Corpodetexto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">
    <w:name w:val="Tabela"/>
    <w:basedOn w:val="Caption1"/>
    <w:qFormat/>
  </w:style>
  <w:style w:type="paragraph" w:customStyle="1" w:styleId="Ilustrao">
    <w:name w:val="Ilustração"/>
    <w:basedOn w:val="Caption1"/>
    <w:qFormat/>
  </w:style>
  <w:style w:type="paragraph" w:customStyle="1" w:styleId="Figura">
    <w:name w:val="Figura"/>
    <w:basedOn w:val="Caption1"/>
    <w:qFormat/>
  </w:style>
  <w:style w:type="paragraph" w:styleId="Textodenotadefim">
    <w:name w:val="endnote text"/>
    <w:basedOn w:val="Normal"/>
    <w:qFormat/>
  </w:style>
  <w:style w:type="paragraph" w:styleId="Textodecomentrio">
    <w:name w:val="annotation text"/>
    <w:basedOn w:val="Normal"/>
    <w:qFormat/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customStyle="1" w:styleId="Default">
    <w:name w:val="Default"/>
    <w:qFormat/>
    <w:rPr>
      <w:rFonts w:ascii="Times New Roman" w:hAnsi="Times New Roman"/>
      <w:color w:val="000000"/>
      <w:sz w:val="24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64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2150</Words>
  <Characters>11613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Kenia Gonçalves Costa</dc:creator>
  <dc:description/>
  <cp:lastModifiedBy>adm</cp:lastModifiedBy>
  <cp:revision>14</cp:revision>
  <dcterms:created xsi:type="dcterms:W3CDTF">2025-08-21T08:24:00Z</dcterms:created>
  <dcterms:modified xsi:type="dcterms:W3CDTF">2025-10-10T15:04:00Z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