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ABORDAGEM TERAPÊUTICA NA ENTEROCOLITE NECROSANTE EM NEONATOS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Maria Eduarda Bezerra do Nascimento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Enfermagem, Centro Universitário Fametro, Manaus - AM,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maddunascimento319@gmail.com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Ana Beatriz Oliveira de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Melo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Enfermagem, Centro Universitário Fametro, Manaus - AM</w:t>
      </w:r>
    </w:p>
    <w:p w:rsidR="00000000" w:rsidDel="00000000" w:rsidP="00000000" w:rsidRDefault="00000000" w:rsidRPr="00000000" w14:paraId="00000007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Muryllo Tavares Silva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Enfermeiro, Centro Universitário de Patos de Minas - UNIPAM, Patos de Minas - MG.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muryllosilva@unipam.edu.br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Ingrid Barabach Marques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A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Graduanda em Medicina, Universidade Cesumar de Maringa,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ingrid5barabach@gmail.com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Luísa Emanoela Bandolin Goinski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C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Graduanda em Medicina, Universidade Cesumar de Maringá 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Goinskilu@gmail.com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Maria Noêmia Souza de Alcântara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E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Nutricionista residente em Atendimento ao Paciente Oncológico, Hospital Bruno Born,  Lajeado - RS,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vertAlign w:val="superscript"/>
            <w:rtl w:val="0"/>
          </w:rPr>
          <w:t xml:space="preserve">marianoemiasouza@gmail.com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Mariana de Souza de Oliveira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0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Enfermeira, Universidade Estadual do Maranhão,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mahsozza700@gmail.com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Darci Rosane Costa Freitas Alves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2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Enfermeira, Universidade Estadual do Maranhão,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darci_ranee@hotmail.com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Nathália Telles Paschoal Santos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4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Enfermeira na Empresa Brasileira de Serviços Hospitalares- EBSERH/ CHC UFPR,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nathaliatelles@yahoo.com.br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Nayla Lima Freitas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6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Graduanda Medicina, Universidade Paulista , Jundiai/SP,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nayla.lima@hotmail.com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Victor Becchi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18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Graduando em Medicina, Universidade Cesumar de Maringá,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victorb2002vb@gmail.com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enterocolite necrosante (ECN) é caracterizada por manifestações gastrointestinais e sistêmicas de intensidades variáveis e progressivas, resultantes da necrose de coagulação do trato gastrintestinal. Analisar, com base na literatura, a relevância dos cuidados de enfermagem para a prevenção da enterocolite necrosante. Trata-se de uma revisão integrativa da literatura, com coleta de informações em bases de dados que abordam o tema proposto. A pesquisa foi orientada pela seguinte pergunta norteadora: “Quais as condutas dos profissionais odem ser adotadas para prevenção da enterocolite necrosante?”. Foram selecionadas cinco publicações para leitura integral, com base nos seguintes critérios de inclusão: artigos publicados entre 2019 e 2024, disponíveis na íntegra, em português ou inglês. Os critérios de exclusão incluíram trabalhos de conclusão de curso, artigos duplicados nas bases de dados e aqueles que não respondiam à pergunta norteadores. A identificação precoce dos fatores de risco para o desenvolvimento da ECN é essencial para prevenir complicações e, em alguns casos, evitar o surgimento da patologia. A ECN ocorre com maior frequência em recém-nascidos pré-termo com peso inferior a 1500 g, o que exige que a equipe de enfermagem adote cuidados rigorosos e específicos. Apesar dos sinais e sintomas inespecíficos da doença, é fundamental que os profissionais estejam capacitados para sua identificação precoce, contribuindo significativamente para a sobrevida dos neonatos. A compreensão sobre a ECN, sua fisiopatologia e manifestações clínicas permite o desenvolvimento de medidas preventivas baseadas no cuidado de enfermagem, reduzindo, assim, a morbimortalidade associada à doença.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Assistência á saúde; Enterocolite; Enterocolite necrosante.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maddunascimento319@gmail.com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enterocolite necrosante (ECN) é uma das principais emergências gastrointestinais em neonatos, particularmente em prematuros, sendo caracterizada por inflamação e necrose isquêmica da parede intestinal. Sua etiologia é multifatorial, envolvendo a imaturidade do trato gastrointestinal, alterações na microbiota intestinal e fatores de risco, como o uso de fórmulas artificiais e a hipoperfusão intestinal. A ECN representa um desafio significativo na neonatologia, com altas taxas de morbimortalidade, demandando intervenções terapêuticas eficazes e multidisciplinares. (Nascimento, 2021)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manejo terapêutico da ECN inclui medidas clínicas, como o uso de antibióticos de amplo espectro, suporte nutricional e monitoramento rigoroso, além de intervenções cirúrgicas em casos graves. A implementação de estratégias preventivas, como o incentivo ao aleitamento materno e o uso de probióticos, também desempenha um papel crucial na redução da incidência e gravidade da doença. (Secco, 2021)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Sua etiopatogênese é complexa e multifatorial, envolvendo fatores como imaturidade do sistema imunológico e gastrointestinal, colonização bacteriana anormal, alimentação enteral inadequada, e hipoxia ou isquemia intestinal. A ECN geralmente surge entre a segunda e terceira semanas de vida e apresenta-se clinicamente com sinais como distensão abdominal, dificuldade alimentar, instabilidade térmica, vômitos biliosos e presença de sangue nas fezes. O diagnóstico precoce é fundamental para o sucesso do tratamento, sendo realizado com base nos sinais clínicos, laboratoriais (como leucocitose, acidose metabólica e plaquetopenia) e exames de imagem, como radiografia abdominal, que pode evidenciar pneumatoses intestinais ou perfurações. (Caxias, 2022)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tem como objetivo analisar as principais abordagens terapêuticas utilizadas no manejo da enterocolite necrosante em neonatos, com ênfase em estratégias clínicas, cirúrgicas e preventivas, buscando destacar avanços e desafios na melhoria do prognóstico desses pacientes.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revisão integrativa da literatura teve como objetivo identificar e analisar as principais condutas de enfermagem adotadas na prevenção da enterocolite necrosante (ECN) em neonatos. A pesquisa foi conduzida nas bases de dados Scientific Electronic Library Online (SciELO) e PubMed, utilizando os Descritores em Ciências da Saúde (DeCs): “enterocolite”, “enterocolite necrosante” e “assistência à saúde”. A questão norteadora estabelecida foi: “Quais as condutas podem ser adotadas para prevenção da enterocolite necrosante?”.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critérios de inclusão foram: artigos publicados entre 2019 a 2024, disponíveis gratuitamente na íntegra, e redigidos em português e/ou inglês. Como critérios de exclusão, foram definidos trabalhos de conclusão de curso, artigos duplicados nas bases de dados, e publicações que não abordassem diretamente a pergunta norteadora. Após a aplicação dos critérios, foram encontrados 9 resultados, dos quais 5 atenderam aos requisitos para leitura integral e análise criteriosa.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levantamento bibliográfico visa contribuir para a sistematização das práticas de enfermagem relacionadas à prevenção da ECN, promovendo a disseminação de estratégias baseadas em evidências e reforçando a importância do papel do profissional na atenção neonatal.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enterocolite necrosante (ECN) é considerada uma condição multifatorial, e a literatura aponta que não há um único fator de risco isolado que possa ser responsabilizado por seu desenvolvimento. Contudo, estudos destacam que a prematuridade extrema aumenta significativamente a vulnerabilidade dos recém-nascidos, reforçando a necessidade de cuidados rigorosos com esse grupo populacional (Lam, Machado, Paz, 2017).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estudo de França (2019) analisou prontuários de neonatos em uma unidade de alto risco e identificou que recém-nascidos pré-termo com muito baixo peso apresentaram incidência significativamente maior de ECN em comparação aos recém-nascidos a termo e adequados para a idade gestacional. Esses dados corroboram a importância de medidas específicas para o acompanhamento e cuidado desses pacientes.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profissionais desempenha um papel crucial no cuidado neonatal, estando presente durante toda a internação, o que possibilita a detecção precoce de sinais e sintomas da ECN e a implementação de estratégias preventivas (Lam, Machado, Paz, 2017). </w:t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Tabela 1: Cuidados essenciais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46.38036809816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362.453987730061"/>
            <w:gridCol w:w="3683.9263803680983"/>
            <w:tblGridChange w:id="0">
              <w:tblGrid>
                <w:gridCol w:w="5362.453987730061"/>
                <w:gridCol w:w="3683.926380368098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t xml:space="preserve">Man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useio mínimo do neonatos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Para evitar estresse físico.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Medição da circunferência abdominal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Permitindo a identificação precoce de distensão.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Controle rigoroso do peso diário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Acompanhando possíveis alterações relacionadas à retenção de líquidos.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Observação e registro dos resíduos gástricos eliminados.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Avaliando quantidade e características.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Balanço hídrico preciso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Para monitoramento das funções corporais.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Identificação de sinais como sangue nas fezes, intolerância à dieta, hipoatividade, irritabilidade, apneia ou distensão abdominal.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t xml:space="preserve">E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ssas ações, quando realizadas de forma sistemática e criteriosa, são essenciais tanto para o diagnóstico precoce quanto para a prevenção da enterocolite necrosante, destacando o papel central da equipe na </w:t>
                </w:r>
              </w:p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assistência a neonatos de risco.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autor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Outra evidência de cuidado assertivo na prevenção da enterocolite necrosante (ECN) é a orientação e o estímulo ao aleitamento materno. O leite materno contém diversos fatores protetores para o recém-nascido, incluindo a imunoglobulina A (IgA), capaz de inibir o crescimento da Escherichia coli e conferir imunidade ativa e passiva ao neonato. Um ensaio clínico realizado em 2017, com recém-nascidos de peso ao nascer entre 500 g e 1250 g, comparou dois grupos: um alimentado exclusivamente com leite humano e outro com dieta mista (leite humano e fórmula). Os resultados demonstraram uma redução de 50% nos casos de ECN e de quase 90% nos casos que necessitaram de intervenção cirúrgica no grupo alimentado exclusivamente com leite humano. Assim, torna-se indispensável que a equipe de enfermagem oriente, incentive e auxilie as mães de recém-nascidos internados em unidades neonatais (Bassan et al., 2021).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cuidado aos recém-nascidos de extremo baixo peso, que apresentam impossibilidade de receber volume adequado de dieta, o uso do colostro, rico em componentes imunológicos e produzido nas junções estreitas do epitélio mamário, tem se mostrado eficaz. Um estudo de 2020 evidenciou que a introdução precoce do leite materno e a prática da colostroterapia são fatores protetores importantes na redução da incidência de ECN. Dessa forma, essas intervenções configuram-se como boas práticas a serem adotadas em unidades neonatais (Bassan et al., 2021; Moreira, 2019).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CONSIDERAÇÕES FINAIS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compreensão da enterocolite necrosante neonatal, sua fisiopatologia e manifestações clínicas, é essencial para o estabelecimento de medidas preventivas baseadas no cuidado de enfermagem. Nesse contexto, o manejo de recém-nascidos acometidos pela ECN ainda representa um desafio significativo para a enfermagem neonatal, devido, em parte, à escassez de estudos atualizados relacionados ao cuidado e à prevenção da doença, o que evidencia uma lacuna na assistência.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Entretanto, ao analisar as evidências disponíveis sobre a redução dos casos e a melhoria dos desfechos, torna-se evidente a relevância dos cuidados prestados pela equipe de enfermagem a recém-nascidos internados em unidades neonatais. Tais cuidados possibilitam o desenvolvimento de estratégias específicas que contribuem diretamente para a redução da morbimortalidade associada à ECN.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Dado o impacto global das elevadas taxas de mortalidade neonatal, destaca-se a importância da implementação de protocolos de atendimento padronizados. Esses protocolos devem priorizar o cuidado de enfermagem voltado à minimização dos fatores de risco para o desenvolvimento da ECN, promovendo, assim, a redução de desfechos negativos e melhorando a qualidade da assistência neonatal.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BASSAN, A. da R. et al. Colostroterapia e aleitamento materno na prevenção da enterocolite necrosante.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Eletrônica Acervo Saúde,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13, n. 3, e5176, 2021. Disponível em: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https://doi.org/10.25248/reas.e5176.2021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BRAGA, Taciana Duque et al. Enterocolite necrosante em recém-nascidos de muito baixo peso em uma unidade neonatal de alto risco do Nordeste do Brasil (2003-2007).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Saúde Materno Infantil [online],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12, n. 2, 2012.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BUNA, C. M. S. C. et al. Enterocolite necrosante em recém-nascidos de baixo peso: análise hierarquizada dos fatores associados.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Pesquisa: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Cuidado é Fundamental Online, v. 13, p. 588-594, 2021. Disponível em: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http://dx.doi.org/10.9789/2175-5361.rpcfo.v13.9327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CAXIAS, Adriana Modesto et al. Assistência multiprofissional em saúde frente à prevenção da enterocolite necrosante em Unidade de Terapia Intensiva Neonatal.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Eletrônica Acervo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15, n. 3, p. e9731-e9731, 2022.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LAM, Kamila Lilly; MACHADO, Luciane Aparecida da Rosa; PAZ, Ingre. Enterocolite necrosante em neonatos e a importância da assistência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Anais do Salão de Ensino e de Extensão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54, 2017.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MOREIRA, Brenda Silveira Valles. Fatores de risco para o desenvolvimento de enterocolite necrosante em recém-nascidos prematuros. 2019. 30 f. Dissertação (Mestrado em Ciências da Saúde)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de Viçosa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Viçosa, 2019.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MÜLLER, M. J.; PAUL, T.; SEELIGER, S. Necrotizing enterocolitis in premature infants and newborns.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Neonatal Perinatal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9, n. 3, p. 233-242, 2016. Disponível em: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https://doi.org/10.3233/NPM-16915130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NASCIMENTO DE ALBUQUERQUE, R. et al. Enfermagem na prevenção e controle de infecção de neonatos: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Saúde Multidisciplinar,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10, n. 2, 2021. Disponível em: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https://doi.org/10.53740/rsm.v10i2.233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SECCO, I. L. et al. Nursing care of a newborn with deep incisional surgical site infection: a case report.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da Escola de Enfermagem da USP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55, e03769, 2021. Disponível em: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https://doi.org/10.1590/S1980-220X2020047203769</w:t>
        </w:r>
      </w:hyperlink>
      <w:r w:rsidDel="00000000" w:rsidR="00000000" w:rsidRPr="00000000">
        <w:rPr>
          <w:rtl w:val="0"/>
        </w:rPr>
      </w:r>
    </w:p>
    <w:sectPr>
      <w:headerReference r:id="rId28" w:type="default"/>
      <w:headerReference r:id="rId29" w:type="first"/>
      <w:headerReference r:id="rId30" w:type="even"/>
      <w:footerReference r:id="rId31" w:type="default"/>
      <w:footerReference r:id="rId32" w:type="first"/>
      <w:footerReference r:id="rId3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-181609</wp:posOffset>
          </wp:positionV>
          <wp:extent cx="5760085" cy="1271905"/>
          <wp:effectExtent b="0" l="0" r="0" t="0"/>
          <wp:wrapTopAndBottom distB="0" dist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-269239</wp:posOffset>
          </wp:positionV>
          <wp:extent cx="1695450" cy="1566545"/>
          <wp:effectExtent b="0" l="0" r="0" t="0"/>
          <wp:wrapTopAndBottom distB="0" dist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dx.doi.org/10.9789/2175-5361.rpcfo.v13.9327" TargetMode="External"/><Relationship Id="rId22" Type="http://schemas.openxmlformats.org/officeDocument/2006/relationships/hyperlink" Target="https://doi.org/10.3233/NPM-16915130" TargetMode="External"/><Relationship Id="rId21" Type="http://schemas.openxmlformats.org/officeDocument/2006/relationships/hyperlink" Target="http://dx.doi.org/10.9789/2175-5361.rpcfo.v13.9327" TargetMode="External"/><Relationship Id="rId24" Type="http://schemas.openxmlformats.org/officeDocument/2006/relationships/hyperlink" Target="https://doi.org/10.53740/rsm.v10i2.233" TargetMode="External"/><Relationship Id="rId23" Type="http://schemas.openxmlformats.org/officeDocument/2006/relationships/hyperlink" Target="https://doi.org/10.3233/NPM-1691513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grid5barabach@gmail.com" TargetMode="External"/><Relationship Id="rId26" Type="http://schemas.openxmlformats.org/officeDocument/2006/relationships/hyperlink" Target="https://doi.org/10.1590/S1980-220X2020047203769" TargetMode="External"/><Relationship Id="rId25" Type="http://schemas.openxmlformats.org/officeDocument/2006/relationships/hyperlink" Target="https://doi.org/10.53740/rsm.v10i2.233" TargetMode="External"/><Relationship Id="rId28" Type="http://schemas.openxmlformats.org/officeDocument/2006/relationships/header" Target="header2.xml"/><Relationship Id="rId27" Type="http://schemas.openxmlformats.org/officeDocument/2006/relationships/hyperlink" Target="https://doi.org/10.1590/S1980-220X202004720376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3.xml"/><Relationship Id="rId7" Type="http://schemas.openxmlformats.org/officeDocument/2006/relationships/hyperlink" Target="mailto:maddunascimento319@gmail.com" TargetMode="External"/><Relationship Id="rId8" Type="http://schemas.openxmlformats.org/officeDocument/2006/relationships/hyperlink" Target="mailto:muryllosilva@unipam.edu.br" TargetMode="External"/><Relationship Id="rId31" Type="http://schemas.openxmlformats.org/officeDocument/2006/relationships/footer" Target="footer2.xml"/><Relationship Id="rId30" Type="http://schemas.openxmlformats.org/officeDocument/2006/relationships/header" Target="header1.xml"/><Relationship Id="rId11" Type="http://schemas.openxmlformats.org/officeDocument/2006/relationships/hyperlink" Target="mailto:marianoemiasouza@gmail.com" TargetMode="External"/><Relationship Id="rId33" Type="http://schemas.openxmlformats.org/officeDocument/2006/relationships/footer" Target="footer1.xml"/><Relationship Id="rId10" Type="http://schemas.openxmlformats.org/officeDocument/2006/relationships/hyperlink" Target="mailto:Goinskilu@gmail.com" TargetMode="External"/><Relationship Id="rId32" Type="http://schemas.openxmlformats.org/officeDocument/2006/relationships/footer" Target="footer3.xml"/><Relationship Id="rId13" Type="http://schemas.openxmlformats.org/officeDocument/2006/relationships/hyperlink" Target="mailto:darci_ranee@hotmail.com" TargetMode="External"/><Relationship Id="rId12" Type="http://schemas.openxmlformats.org/officeDocument/2006/relationships/hyperlink" Target="mailto:mahsozza700@gmail.com" TargetMode="External"/><Relationship Id="rId15" Type="http://schemas.openxmlformats.org/officeDocument/2006/relationships/hyperlink" Target="mailto:nayla.lima@hotmail.com" TargetMode="External"/><Relationship Id="rId14" Type="http://schemas.openxmlformats.org/officeDocument/2006/relationships/hyperlink" Target="mailto:nathaliatelles@yahoo.com.br" TargetMode="External"/><Relationship Id="rId17" Type="http://schemas.openxmlformats.org/officeDocument/2006/relationships/hyperlink" Target="mailto:maddunascimento319@gmail.com" TargetMode="External"/><Relationship Id="rId16" Type="http://schemas.openxmlformats.org/officeDocument/2006/relationships/hyperlink" Target="mailto:victorb2002vb@gmail.com" TargetMode="External"/><Relationship Id="rId19" Type="http://schemas.openxmlformats.org/officeDocument/2006/relationships/hyperlink" Target="https://doi.org/10.25248/reas.e5176.2021" TargetMode="External"/><Relationship Id="rId18" Type="http://schemas.openxmlformats.org/officeDocument/2006/relationships/hyperlink" Target="https://doi.org/10.25248/reas.e5176.202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GINmSy0W7Wov9ANXBeo/wX6SXg==">CgMxLjAaHwoBMBIaChgICVIUChJ0YWJsZS5nMjYwNXg5MjN0cmc4AHIhMUlBcWxVMDZEZV80TFpPTTZNM3paRWZNWmR4QTNBUUVt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2023-10-03T04:23:00Z</dcterms:created>
</cp:coreProperties>
</file>