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0" w:after="280"/>
        <w:ind w:left="1" w:hanging="3"/>
        <w:jc w:val="center"/>
        <w:rPr>
          <w:b/>
          <w:color w:val="000000"/>
          <w:sz w:val="28"/>
          <w:szCs w:val="28"/>
        </w:rPr>
      </w:pPr>
      <w:r>
        <w:rPr/>
      </w:r>
    </w:p>
    <w:p>
      <w:pPr>
        <w:pStyle w:val="Normal"/>
        <w:pBdr/>
        <w:spacing w:lineRule="auto" w:line="240" w:before="0" w:after="280"/>
        <w:ind w:left="1" w:hanging="3"/>
        <w:jc w:val="center"/>
        <w:rPr/>
      </w:pPr>
      <w:r>
        <w:rPr>
          <w:b/>
          <w:sz w:val="28"/>
          <w:szCs w:val="28"/>
        </w:rPr>
        <w:t>RESUMO EXPANDIDO</w:t>
      </w:r>
      <w:r>
        <w:rPr>
          <w:b/>
          <w:sz w:val="28"/>
          <w:szCs w:val="28"/>
        </w:rPr>
        <w:t xml:space="preserve"> - </w:t>
      </w:r>
      <w:r>
        <w:rPr>
          <w:b/>
          <w:color w:val="000000"/>
          <w:sz w:val="28"/>
          <w:szCs w:val="28"/>
        </w:rPr>
        <w:t xml:space="preserve">MODALIDADE: APRESENTAÇÃO ORAL </w:t>
      </w:r>
    </w:p>
    <w:p>
      <w:pPr>
        <w:pStyle w:val="Ttulo1"/>
        <w:ind w:left="0" w:right="-1" w:hanging="2"/>
        <w:rPr/>
      </w:pPr>
      <w:r>
        <w:rPr/>
        <w:t xml:space="preserve">MIGRAÇÃO, INOVAÇÃO EDUCATIVA E OS DESAFIOS DA ALFABETIZAÇÃO CULTURAL CRÍTICA </w:t>
      </w:r>
    </w:p>
    <w:p>
      <w:pPr>
        <w:pStyle w:val="Ttulo1"/>
        <w:spacing w:before="280" w:after="0"/>
        <w:ind w:left="0" w:right="-1" w:hanging="2"/>
        <w:jc w:val="both"/>
        <w:rPr/>
      </w:pPr>
      <w:bookmarkStart w:id="0" w:name="_heading=h.20j934nvywfl"/>
      <w:bookmarkEnd w:id="0"/>
      <w:r>
        <w:rPr/>
        <w:t xml:space="preserve">RESUMO </w:t>
      </w:r>
    </w:p>
    <w:p>
      <w:pPr>
        <w:pStyle w:val="Normal"/>
        <w:spacing w:lineRule="auto" w:line="240" w:before="0"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hanging="2"/>
        <w:rPr>
          <w:b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>No Brasil, e</w:t>
      </w:r>
      <w:r>
        <w:rPr>
          <w:sz w:val="24"/>
          <w:szCs w:val="24"/>
          <w:lang w:val="pt-BR"/>
        </w:rPr>
        <w:t>studos sobre migração e educaç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 xml:space="preserve">o ainda são escassos e o estudante migrante é considerado “sujeito ausente” na política educacional brasileira. </w:t>
      </w:r>
      <w:r>
        <w:rPr>
          <w:sz w:val="24"/>
          <w:szCs w:val="24"/>
          <w:lang w:val="pt-BR"/>
        </w:rPr>
        <w:t>Como a</w:t>
      </w:r>
      <w:r>
        <w:rPr>
          <w:sz w:val="24"/>
          <w:szCs w:val="24"/>
          <w:lang w:val="pt-BR"/>
        </w:rPr>
        <w:t xml:space="preserve"> literatura </w:t>
      </w:r>
      <w:r>
        <w:rPr>
          <w:sz w:val="24"/>
          <w:szCs w:val="24"/>
          <w:lang w:val="pt-BR"/>
        </w:rPr>
        <w:t xml:space="preserve">científica </w:t>
      </w:r>
      <w:r>
        <w:rPr>
          <w:sz w:val="24"/>
          <w:szCs w:val="24"/>
          <w:lang w:val="pt-BR"/>
        </w:rPr>
        <w:t xml:space="preserve">não prima por informação abundante sobre o tema, </w:t>
      </w:r>
      <w:r>
        <w:rPr>
          <w:sz w:val="24"/>
          <w:szCs w:val="24"/>
          <w:lang w:val="pt-BR"/>
        </w:rPr>
        <w:t xml:space="preserve">o objetivo do estudo é </w:t>
      </w:r>
      <w:r>
        <w:rPr>
          <w:rFonts w:eastAsia="NSimSun" w:cs="Lucida Sans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hi-IN"/>
        </w:rPr>
        <w:t>identificar os limites e potencialidades da alfabetização cultural crítica e verificar se tal inovação educacional permite desenvolver maior inclusão social e equidade em escolas com</w:t>
      </w:r>
      <w:r>
        <w:rPr>
          <w:rFonts w:eastAsia="NSimSun" w:cs="Lucida Sans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pt-BR" w:eastAsia="zh-CN" w:bidi="hi-IN"/>
        </w:rPr>
        <w:t xml:space="preserve"> forte presença de estudantes migrantes</w:t>
      </w:r>
      <w:r>
        <w:rPr>
          <w:rFonts w:eastAsia="NSimSun" w:cs="Lucida Sans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hi-IN"/>
        </w:rPr>
        <w:t>. A alfabetização cultural crítica, considerada uma competência essencial que os estudantes necessitarão no século XXI, possui uma agenda emancipatória e se interessa pelas práticas e expressões culturais de grupos e comunidades marginalizadas. Para verificar em que medida processos de alfabetização cultural estão associados a mudanças no ambiente escolar em prol de maior equidade, foi utilizada a abordagem qualitativa através da etnografia crítica e do desenho de pesquisa comunitária, que inclui metodologias baseadas na arte e envolvem estudantes e docentes. Assim, foram realizadas observações e participação nas dinâmicas de alfabetização cultural de uma escola com forte presença de estudantes migrantes, situada na cidade de Barcelona, região da Catalunha/Espanha. Como resultados preliminares, destacamos que a alfabetização cultural crítica, utilizada por países europeus como ferramenta pedagógica em escolas com alta diversidade, pode ser considerada uma ferramenta de inovação em educação, já que impulsiona a transformação da “gramática” da escola, contribuindo para a formação de sujeitos comprometidos com a transformação social, um dos desafios propostos pela concepção de alfabetização cultural crítica através das artes.</w:t>
      </w:r>
    </w:p>
    <w:p>
      <w:pPr>
        <w:pStyle w:val="Ttulo2"/>
        <w:ind w:left="0" w:hanging="2"/>
        <w:rPr/>
      </w:pPr>
      <w:bookmarkStart w:id="1" w:name="_heading=h.gw0vyzcrrbt0"/>
      <w:bookmarkEnd w:id="1"/>
      <w:r>
        <w:rPr/>
        <w:t>Palavras-chave</w:t>
      </w:r>
      <w:r>
        <w:rPr/>
        <w:t xml:space="preserve">: </w:t>
      </w:r>
      <w:r>
        <w:rPr>
          <w:b w:val="false"/>
          <w:bCs w:val="false"/>
        </w:rPr>
        <w:t>Migração.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Educação.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Inovação educativa</w:t>
      </w:r>
      <w:r>
        <w:rPr>
          <w:b w:val="false"/>
          <w:bCs w:val="false"/>
        </w:rPr>
        <w:t xml:space="preserve">. </w:t>
      </w:r>
      <w:r>
        <w:rPr>
          <w:b w:val="false"/>
          <w:bCs w:val="false"/>
        </w:rPr>
        <w:t>Alfabetização cultural crítica</w:t>
      </w:r>
      <w:r>
        <w:rPr>
          <w:b w:val="false"/>
          <w:bCs w:val="false"/>
        </w:rPr>
        <w:t>.</w:t>
      </w:r>
    </w:p>
    <w:p>
      <w:pPr>
        <w:pStyle w:val="Normal"/>
        <w:ind w:left="0" w:hanging="2"/>
        <w:rPr>
          <w:b w:val="false"/>
          <w:bCs w:val="false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left="0" w:hanging="2"/>
        <w:rPr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2"/>
        <w:ind w:left="0" w:hanging="2"/>
        <w:rPr/>
      </w:pPr>
      <w:bookmarkStart w:id="2" w:name="_heading=h.sir6zwasl3lx"/>
      <w:bookmarkEnd w:id="2"/>
      <w:r>
        <w:rPr/>
        <w:t>Introdução</w:t>
      </w:r>
    </w:p>
    <w:p>
      <w:pPr>
        <w:pStyle w:val="Ttulo2"/>
        <w:spacing w:lineRule="auto" w:line="360"/>
        <w:ind w:left="0" w:hanging="2"/>
        <w:rPr/>
      </w:pPr>
      <w:r>
        <w:rPr/>
        <w:tab/>
        <w:tab/>
      </w:r>
      <w:r>
        <w:rPr>
          <w:b w:val="false"/>
          <w:bCs w:val="false"/>
          <w:sz w:val="24"/>
          <w:szCs w:val="24"/>
        </w:rPr>
        <w:t>A</w:t>
      </w:r>
      <w:r>
        <w:rPr>
          <w:b w:val="false"/>
          <w:bCs w:val="false"/>
          <w:sz w:val="24"/>
          <w:szCs w:val="24"/>
        </w:rPr>
        <w:t>presento apontamentos iniciais de uma pesquisa de pós-doutorado</w:t>
      </w:r>
      <w:r>
        <w:rPr>
          <w:rStyle w:val="Ncoradanotaderodap"/>
          <w:rFonts w:eastAsia="Times New Roman" w:cs="Times New Roman"/>
          <w:b w:val="false"/>
          <w:bCs w:val="false"/>
          <w:sz w:val="24"/>
          <w:szCs w:val="24"/>
          <w:vertAlign w:val="superscript"/>
          <w:lang w:val="pt-BR"/>
        </w:rPr>
        <w:footnoteReference w:id="2"/>
      </w:r>
      <w:r>
        <w:rPr>
          <w:b w:val="false"/>
          <w:bCs w:val="false"/>
          <w:sz w:val="24"/>
          <w:szCs w:val="24"/>
        </w:rPr>
        <w:t xml:space="preserve">, em andamento, desenvolvida junto à Universidade de Barcelona e que visa a garantia o Objetivo do Desenvolvimento Sustentável 4, que consiste em assegurar educação inclusiva, equitativa e de qualidade, e promover oportunidades de aprendizagem ao longo da vida para todas e todos. </w:t>
      </w:r>
    </w:p>
    <w:p>
      <w:pPr>
        <w:pStyle w:val="Ttulo2"/>
        <w:spacing w:lineRule="auto" w:line="360"/>
        <w:ind w:left="0" w:hanging="2"/>
        <w:rPr/>
      </w:pPr>
      <w:r>
        <w:rPr>
          <w:b w:val="false"/>
          <w:bCs w:val="false"/>
          <w:sz w:val="24"/>
          <w:szCs w:val="24"/>
        </w:rPr>
        <w:tab/>
        <w:tab/>
      </w:r>
      <w:r>
        <w:rPr>
          <w:b w:val="false"/>
          <w:bCs w:val="false"/>
          <w:sz w:val="24"/>
          <w:szCs w:val="24"/>
        </w:rPr>
        <w:t xml:space="preserve">O </w:t>
      </w:r>
      <w:r>
        <w:rPr>
          <w:b w:val="false"/>
          <w:bCs w:val="false"/>
          <w:sz w:val="24"/>
          <w:szCs w:val="24"/>
        </w:rPr>
        <w:t xml:space="preserve">estudo </w:t>
      </w:r>
      <w:r>
        <w:rPr>
          <w:b w:val="false"/>
          <w:bCs w:val="false"/>
          <w:sz w:val="24"/>
          <w:szCs w:val="24"/>
        </w:rPr>
        <w:t>faz parte de uma pesquisa internacional mais abrangente, liderada pelo grupo europeu Expect_Art</w:t>
      </w:r>
      <w:r>
        <w:rPr>
          <w:rStyle w:val="Ncoradanotaderodap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vertAlign w:val="superscript"/>
          <w:lang w:val="pt-BR"/>
        </w:rPr>
        <w:footnoteReference w:id="3"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pt-BR"/>
        </w:rPr>
        <w:t xml:space="preserve"> </w:t>
      </w:r>
      <w:r>
        <w:rPr>
          <w:b w:val="false"/>
          <w:bCs w:val="false"/>
          <w:sz w:val="24"/>
          <w:szCs w:val="24"/>
        </w:rPr>
        <w:t xml:space="preserve">e tem como objetivo geral identificar medidas e barreiras existentes para a alfabetização cultural crítica na educação artística, educação através das artes e uso das artes na educação nacional e local. </w:t>
      </w:r>
      <w:r>
        <w:rPr>
          <w:b w:val="false"/>
          <w:bCs w:val="false"/>
          <w:sz w:val="24"/>
          <w:szCs w:val="24"/>
        </w:rPr>
        <w:t>O</w:t>
      </w:r>
      <w:r>
        <w:rPr>
          <w:b w:val="false"/>
          <w:bCs w:val="false"/>
          <w:sz w:val="24"/>
          <w:szCs w:val="24"/>
        </w:rPr>
        <w:t xml:space="preserve"> projeto </w:t>
      </w:r>
      <w:r>
        <w:rPr>
          <w:b w:val="false"/>
          <w:bCs w:val="false"/>
          <w:sz w:val="24"/>
          <w:szCs w:val="24"/>
        </w:rPr>
        <w:t xml:space="preserve">europeu </w:t>
      </w:r>
      <w:r>
        <w:rPr>
          <w:b w:val="false"/>
          <w:bCs w:val="false"/>
          <w:sz w:val="24"/>
          <w:szCs w:val="24"/>
        </w:rPr>
        <w:t>conta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com colaborações internacionais dos membros do grupo ExpectArt de seis países: Espanha (Grupo de Pesquisa Esbrina, da Universidade de Barcelona), Dinamarca (Universidade Syddansk - Departamento de Design, Media e Ciência da Educação - e University College Absalon), Eslovênia (Science and Research Centre of Koper), Alemanha (University of Kaiserslautern-Landau), Hungria (Center for Social Sciences) e Polônia (University of Wrocław).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b w:val="false"/>
          <w:bCs w:val="false"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A</w:t>
      </w:r>
      <w:r>
        <w:rPr>
          <w:b w:val="false"/>
          <w:bCs w:val="false"/>
          <w:sz w:val="24"/>
          <w:szCs w:val="24"/>
        </w:rPr>
        <w:t xml:space="preserve"> presente investigação</w:t>
      </w:r>
      <w:r>
        <w:rPr>
          <w:b w:val="false"/>
          <w:bCs w:val="false"/>
          <w:sz w:val="24"/>
          <w:szCs w:val="24"/>
        </w:rPr>
        <w:t>, por sua vez,</w:t>
      </w:r>
      <w:r>
        <w:rPr>
          <w:b w:val="false"/>
          <w:bCs w:val="false"/>
          <w:sz w:val="24"/>
          <w:szCs w:val="24"/>
        </w:rPr>
        <w:t xml:space="preserve"> se dedica ao seguinte problema: processos de alfabetização cultural crítica geram efeitos que contribuem para o enfrentamento das desigualdades internas às escolas? O objetivo é identificar os limites e potencialidades da alfabetização cultural crítica e verificar se tal inovação educacional permite desenvolver maior inclusão social e equidade em escolas com forte presença de estudantes migrantes. </w:t>
      </w:r>
    </w:p>
    <w:p>
      <w:pPr>
        <w:pStyle w:val="Normal"/>
        <w:spacing w:lineRule="auto" w:line="360" w:before="0" w:after="0"/>
        <w:ind w:left="0" w:hanging="0"/>
        <w:rPr/>
      </w:pPr>
      <w:r>
        <w:rPr>
          <w:b w:val="false"/>
          <w:bCs w:val="false"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 xml:space="preserve">A alfabetização cultural crítica, considerada uma competência essencial que os estudantes necessitarão no século XXI, propõe o envolvimento positivo com a diversidade e se constitui como prática dialógica possibilitada por encontros construtivos sobre o que significa ser diferente do outro (Expect_Art, 2024). Tal enfoque atualmente é utilizado por países europeus como ferramenta pedagógica em escolas com alta diversidade, o que indica sua potencialidade para promover inclusão. </w:t>
      </w:r>
    </w:p>
    <w:p>
      <w:pPr>
        <w:sectPr>
          <w:headerReference w:type="default" r:id="rId2"/>
          <w:footerReference w:type="default" r:id="rId3"/>
          <w:footnotePr>
            <w:numFmt w:val="decimal"/>
          </w:footnotePr>
          <w:type w:val="nextPage"/>
          <w:pgSz w:w="11906" w:h="16838"/>
          <w:pgMar w:left="1134" w:right="1134" w:gutter="0" w:header="1134" w:top="2127" w:footer="1134" w:bottom="1560"/>
          <w:pgNumType w:start="1" w:fmt="decimal"/>
          <w:formProt w:val="false"/>
          <w:textDirection w:val="lrTb"/>
          <w:docGrid w:type="default" w:linePitch="100" w:charSpace="0"/>
        </w:sectPr>
        <w:pStyle w:val="Normal"/>
        <w:spacing w:lineRule="auto" w:line="360" w:before="0" w:after="0"/>
        <w:ind w:left="0" w:hanging="2"/>
        <w:rPr/>
      </w:pPr>
      <w:r>
        <w:rPr>
          <w:b w:val="false"/>
          <w:bCs w:val="false"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Assim, d</w:t>
      </w:r>
      <w:r>
        <w:rPr>
          <w:b w:val="false"/>
          <w:bCs w:val="false"/>
          <w:sz w:val="24"/>
          <w:szCs w:val="24"/>
        </w:rPr>
        <w:t>e acordo com o grupo Expect_Art (2024, p.8)</w:t>
      </w:r>
      <w:r>
        <w:rPr>
          <w:b w:val="false"/>
          <w:bCs w:val="false"/>
          <w:sz w:val="24"/>
          <w:szCs w:val="24"/>
        </w:rPr>
        <w:t>,</w:t>
      </w:r>
      <w:r>
        <w:rPr>
          <w:b w:val="false"/>
          <w:bCs w:val="false"/>
          <w:sz w:val="24"/>
          <w:szCs w:val="24"/>
        </w:rPr>
        <w:t xml:space="preserve"> a noção de alfabetização cultural crítica inclui perspectivas ligadas as interseccionalidades (de gênero, etnia, sexualidade, religião, cultura, classe social</w:t>
      </w:r>
      <w:r>
        <w:rPr>
          <w:b w:val="false"/>
          <w:bCs w:val="false"/>
          <w:sz w:val="24"/>
          <w:szCs w:val="24"/>
        </w:rPr>
        <w:t>, entre outras</w:t>
      </w:r>
      <w:r>
        <w:rPr>
          <w:b w:val="false"/>
          <w:bCs w:val="false"/>
          <w:sz w:val="24"/>
          <w:szCs w:val="24"/>
        </w:rPr>
        <w:t xml:space="preserve">). </w:t>
      </w:r>
      <w:r>
        <w:rPr>
          <w:b w:val="false"/>
          <w:bCs w:val="false"/>
          <w:sz w:val="24"/>
          <w:szCs w:val="24"/>
        </w:rPr>
        <w:t>Nesse sentido, tais</w:t>
      </w:r>
      <w:r>
        <w:rPr>
          <w:b w:val="false"/>
          <w:bCs w:val="false"/>
          <w:sz w:val="24"/>
          <w:szCs w:val="24"/>
        </w:rPr>
        <w:t xml:space="preserve"> perspectivas exigem respostas complexas para abordar práticas comuns da vida. Além </w:t>
      </w:r>
    </w:p>
    <w:p>
      <w:pPr>
        <w:pStyle w:val="Normal"/>
        <w:spacing w:lineRule="auto" w:line="360" w:before="0" w:after="0"/>
        <w:ind w:left="0" w:hanging="2"/>
        <w:rPr/>
      </w:pPr>
      <w:r>
        <w:rPr>
          <w:b w:val="false"/>
          <w:bCs w:val="false"/>
          <w:sz w:val="24"/>
          <w:szCs w:val="24"/>
        </w:rPr>
        <w:t>disso, a alfabetização cultural crítica possui uma agenda emancipatória e se interessa pelas práticas e expressões culturais de grupos e comunidades marginalizadas.</w:t>
      </w:r>
    </w:p>
    <w:p>
      <w:pPr>
        <w:pStyle w:val="Normal"/>
        <w:spacing w:lineRule="auto" w:line="360" w:before="0" w:after="0"/>
        <w:ind w:left="0" w:hanging="2"/>
        <w:rPr/>
      </w:pPr>
      <w:r>
        <w:rPr>
          <w:b w:val="false"/>
          <w:bCs w:val="false"/>
          <w:sz w:val="24"/>
          <w:szCs w:val="24"/>
        </w:rPr>
        <w:tab/>
        <w:tab/>
      </w:r>
      <w:r>
        <w:rPr>
          <w:b w:val="false"/>
          <w:bCs w:val="false"/>
          <w:sz w:val="24"/>
          <w:szCs w:val="24"/>
        </w:rPr>
        <w:t>A partir dos princípios de Tilio (2019), a proposta da alfabetização cultural crítica do Expect_Art implica: 1) desafiar os estudantes a questionar tudo que é naturalizado como normal; 2) trabalhar a educação para a justiça social, com compromisso para a mudança social, desestabilizando o conhecimento naturalizado e padronizado; 3) questionar as representações, já que estas são narrativas socialmente construídas; 4) defender a construção de uma base de conhecimento sólida, que promova o estranhamento e distanciamento crítico de ideias e perspectivas já conhecidas; 5) criar condições transformadoras para a autorreflexão, que contribua para o crescimento pessoal; 6) manter as expectativas elevadas, presumindo que os/as alunos/as possam participar de uma discussão madura e se transformar.</w:t>
      </w:r>
    </w:p>
    <w:p>
      <w:pPr>
        <w:pStyle w:val="Normal"/>
        <w:spacing w:lineRule="auto" w:line="360" w:before="0" w:after="0"/>
        <w:ind w:left="0" w:hanging="2"/>
        <w:rPr/>
      </w:pPr>
      <w:r>
        <w:rPr>
          <w:b w:val="false"/>
          <w:bCs w:val="false"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Considerando que a proposta do Expec_Art está vinculada a práticas artísticas, também são apontados desafios que Freedman e Hernández-Hernández (2024) indicam para o projeto de alfabetização cultural crítica. Tais desafios implicam promover a equidade e desmantelar o colonialismo; permitir conexões de cuidado entre as pessoas; incentivar o uso consciente de mídias; chamar a atenção para o poder da cultura visual para a ação social e, por fim, usar evidências para oferecer aos estudantes oportunidades mais eficazes de criar e estudar artes de maneira individual e coletivamente significativa.</w:t>
      </w:r>
    </w:p>
    <w:p>
      <w:pPr>
        <w:pStyle w:val="Normal"/>
        <w:spacing w:lineRule="auto" w:line="360" w:before="0" w:after="0"/>
        <w:ind w:left="0" w:hanging="2"/>
        <w:rPr/>
      </w:pPr>
      <w:r>
        <w:rPr>
          <w:b w:val="false"/>
          <w:bCs w:val="false"/>
          <w:sz w:val="24"/>
          <w:szCs w:val="24"/>
        </w:rPr>
        <w:tab/>
        <w:tab/>
      </w:r>
      <w:r>
        <w:rPr>
          <w:b w:val="false"/>
          <w:bCs w:val="false"/>
          <w:sz w:val="24"/>
          <w:szCs w:val="24"/>
        </w:rPr>
        <w:t>Bartlett e Bajaj (2023, p.2) também destacam que para atender às necessidades de estudantes migrantes é necessário humanizar a educação: "a educação humanizadora se desenvolve entre educadores e estudantes apoiados em abordagens dialógicas e culturalmente relevantes que afirmam as histórias, heranças e humanidade dos estudantes e de suas comunidades".</w:t>
      </w:r>
    </w:p>
    <w:p>
      <w:pPr>
        <w:pStyle w:val="Normal"/>
        <w:spacing w:lineRule="auto" w:line="360" w:before="0" w:after="0"/>
        <w:ind w:left="0" w:hanging="2"/>
        <w:rPr/>
      </w:pPr>
      <w:r>
        <w:rPr>
          <w:b w:val="false"/>
          <w:bCs w:val="false"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ab/>
        <w:t>De acordo com</w:t>
      </w:r>
      <w:r>
        <w:rPr>
          <w:b w:val="false"/>
          <w:bCs w:val="false"/>
          <w:sz w:val="24"/>
          <w:szCs w:val="24"/>
        </w:rPr>
        <w:t xml:space="preserve"> Oliveira (2020), apesar do número de matrículas de estudantes migrantes nas escolas brasileiras tenha mais que dobrado em oito anos (entre 2008 e 2016) e, somado ao fato que a maioria de alunos/as são acolhidos em redes públicas de ensino (64% do total), essa população não tem recebido atenção suficiente da literatura acadêmica (Bartlett, Rodríguez e Oliveira, 2015) e o estudante migrante é considerado “um sujeito ausente” nas políticas educacionais do país (Oliveira, 2020). </w:t>
      </w:r>
    </w:p>
    <w:p>
      <w:pPr>
        <w:pStyle w:val="Normal"/>
        <w:spacing w:lineRule="auto" w:line="360" w:before="0" w:after="0"/>
        <w:ind w:left="0" w:hanging="2"/>
        <w:rPr/>
      </w:pPr>
      <w:r>
        <w:rPr>
          <w:b w:val="false"/>
          <w:bCs w:val="false"/>
          <w:sz w:val="24"/>
          <w:szCs w:val="24"/>
        </w:rPr>
        <w:tab/>
        <w:tab/>
      </w:r>
      <w:r>
        <w:rPr>
          <w:b w:val="false"/>
          <w:bCs w:val="false"/>
          <w:sz w:val="24"/>
          <w:szCs w:val="24"/>
        </w:rPr>
        <w:t xml:space="preserve">Dessa maneira, conhecer e analisar iniciativas voltadas a esse público que estão sendo implementadas em outros países – não com vistas a reproduzi-las, mas como possibilidade de analisar experiências e desafios concretos, bem como compreendê-las em sua complexidade – pode oferecer ferramentas úteis e servir de inspiração para pensar a realidade educacional brasileira, no intuito de produzir conhecimentos que podem gerar efeitos em termos de equidade e superação de desigualdades educacionais. </w:t>
      </w:r>
    </w:p>
    <w:p>
      <w:pPr>
        <w:pStyle w:val="Normal"/>
        <w:spacing w:lineRule="auto" w:line="360"/>
        <w:ind w:left="0" w:hanging="2"/>
        <w:rPr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0" w:hanging="2"/>
        <w:rPr>
          <w:b/>
          <w:bCs/>
        </w:rPr>
      </w:pPr>
      <w:bookmarkStart w:id="3" w:name="_heading=h.5fkfjb71bgr"/>
      <w:bookmarkEnd w:id="3"/>
      <w:r>
        <w:rPr>
          <w:b/>
          <w:bCs/>
        </w:rPr>
        <w:t>Material e Métodos</w:t>
      </w:r>
    </w:p>
    <w:p>
      <w:pPr>
        <w:pStyle w:val="Normal"/>
        <w:spacing w:lineRule="auto" w:line="360"/>
        <w:ind w:left="0" w:hanging="2"/>
        <w:rPr>
          <w:b/>
          <w:bCs/>
        </w:rPr>
      </w:pPr>
      <w:r>
        <w:rPr>
          <w:b w:val="false"/>
          <w:bCs w:val="false"/>
          <w:sz w:val="24"/>
          <w:szCs w:val="24"/>
        </w:rPr>
        <w:tab/>
        <w:tab/>
      </w:r>
      <w:r>
        <w:rPr>
          <w:b w:val="false"/>
          <w:bCs w:val="false"/>
          <w:sz w:val="24"/>
          <w:szCs w:val="24"/>
        </w:rPr>
        <w:t>A pesquisa</w:t>
      </w:r>
      <w:r>
        <w:rPr>
          <w:b w:val="false"/>
          <w:bCs w:val="false"/>
          <w:sz w:val="24"/>
          <w:szCs w:val="24"/>
        </w:rPr>
        <w:t xml:space="preserve">, </w:t>
      </w:r>
      <w:r>
        <w:rPr>
          <w:b w:val="false"/>
          <w:bCs w:val="false"/>
          <w:sz w:val="24"/>
          <w:szCs w:val="24"/>
        </w:rPr>
        <w:t>desenvolvida segundo os pressupostos da abordagem qualitativa,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enfatiza a análise de “microprocessos” por meio da investigação acerca de vivências sociais individuais e grupais</w:t>
      </w:r>
      <w:r>
        <w:rPr>
          <w:b w:val="false"/>
          <w:bCs w:val="false"/>
          <w:sz w:val="24"/>
          <w:szCs w:val="24"/>
        </w:rPr>
        <w:t xml:space="preserve"> (Martins, 2004)</w:t>
      </w:r>
      <w:r>
        <w:rPr>
          <w:b w:val="false"/>
          <w:bCs w:val="false"/>
          <w:sz w:val="24"/>
          <w:szCs w:val="24"/>
        </w:rPr>
        <w:t xml:space="preserve">. </w:t>
      </w:r>
      <w:r>
        <w:rPr>
          <w:b w:val="false"/>
          <w:bCs w:val="false"/>
          <w:sz w:val="24"/>
          <w:szCs w:val="24"/>
        </w:rPr>
        <w:t>Os</w:t>
      </w:r>
      <w:r>
        <w:rPr>
          <w:b w:val="false"/>
          <w:bCs w:val="false"/>
          <w:sz w:val="24"/>
          <w:szCs w:val="24"/>
        </w:rPr>
        <w:t xml:space="preserve"> instrumentos para coleta de dados</w:t>
      </w:r>
      <w:r>
        <w:rPr>
          <w:b w:val="false"/>
          <w:bCs w:val="false"/>
          <w:sz w:val="24"/>
          <w:szCs w:val="24"/>
        </w:rPr>
        <w:t xml:space="preserve"> foram</w:t>
      </w:r>
      <w:r>
        <w:rPr>
          <w:b w:val="false"/>
          <w:bCs w:val="false"/>
          <w:sz w:val="24"/>
          <w:szCs w:val="24"/>
        </w:rPr>
        <w:t>: observações, diário de campo</w:t>
      </w:r>
      <w:r>
        <w:rPr>
          <w:b w:val="false"/>
          <w:bCs w:val="false"/>
          <w:sz w:val="24"/>
          <w:szCs w:val="24"/>
        </w:rPr>
        <w:t xml:space="preserve"> e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questionários.</w:t>
      </w:r>
    </w:p>
    <w:p>
      <w:pPr>
        <w:pStyle w:val="Normal"/>
        <w:spacing w:lineRule="auto" w:line="360" w:before="0"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Foi utilizada</w:t>
      </w:r>
      <w:r>
        <w:rPr>
          <w:sz w:val="24"/>
          <w:szCs w:val="24"/>
        </w:rPr>
        <w:t xml:space="preserve"> a perspectiva da etnografia crítica, que permiti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a compreensão dos fenômenos “de dentro” da realidade estudada e o desenho de pesquisa baseado na comunidade, que se centra nas desigualdades sociais, estruturais e físicas do ambiente através do envolvimento ativo dos membros da comunidade escolar e dos investigadores em todos os aspectos do processo de estudo (Israel et al., 1998)</w:t>
      </w:r>
      <w:r>
        <w:rPr>
          <w:sz w:val="24"/>
          <w:szCs w:val="24"/>
        </w:rPr>
        <w:t>.</w:t>
      </w:r>
    </w:p>
    <w:p>
      <w:pPr>
        <w:pStyle w:val="Normal"/>
        <w:spacing w:lineRule="auto" w:line="360" w:before="0"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</w:rPr>
        <w:t xml:space="preserve">André (1997, p. 30) destaca que uma pesquisa pode ser caracterizada como de tipo etnográfico em educação quando se utiliza de técnicas que tradicionalmente são associadas à etnografia, como a observação participante, a entrevista intensiva e a análise de documentos. Segundo Mainardes e Marcondes (2011, p. 434), a etnografia crítica “demanda uma preocupação não apenas com a técnica, mas também com implicações mais profundas, tais como, as teorias que fundamentam a pesquisa, o nível de reflexividade do pesquisador e a necessária perspectiva de historicidade dos fenômenos investigados”. Nesse sentido, Esteban (2010, p.164) destaca que a etnografia educacional permite desvelar a complexidade dos fenômenos educativos e “possibilita às pessoas responsáveis pela política educacional e aos profissionais da educação um conhecimento real e profundo dos mesmos, orientando a introdução de reformas e inovações assim como a tomada de decisões”. </w:t>
      </w:r>
    </w:p>
    <w:p>
      <w:pPr>
        <w:pStyle w:val="Normal"/>
        <w:spacing w:lineRule="auto" w:line="360" w:before="0"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</w:rPr>
        <w:t>A primeira fase da pesquisa consisti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no amplo estudo da literatura relacionada ao tema da alfabetização cultural e migração por meio de levantamentos bibliográficos em bases de dados nacionais e internacionais, entre elas: Web of Science, biblioteca eletrônica Scielo (Scientific Electronic Library Online), Portal de periódicos da CAPES</w:t>
      </w:r>
      <w:r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Scopus. Após o levantamento da produção bibliográfica, </w:t>
      </w:r>
      <w:r>
        <w:rPr>
          <w:sz w:val="24"/>
          <w:szCs w:val="24"/>
        </w:rPr>
        <w:t>foram</w:t>
      </w:r>
      <w:r>
        <w:rPr>
          <w:sz w:val="24"/>
          <w:szCs w:val="24"/>
        </w:rPr>
        <w:t xml:space="preserve"> selecionados os artigos, livros e documentos mais relevantes para o estudo. </w:t>
      </w:r>
    </w:p>
    <w:p>
      <w:pPr>
        <w:pStyle w:val="Normal"/>
        <w:spacing w:lineRule="auto" w:line="360" w:before="0"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</w:rPr>
        <w:t>A segunda fase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do trabalho de campo propriamente dito, implic</w:t>
      </w:r>
      <w:r>
        <w:rPr>
          <w:sz w:val="24"/>
          <w:szCs w:val="24"/>
        </w:rPr>
        <w:t>ou</w:t>
      </w:r>
      <w:r>
        <w:rPr>
          <w:sz w:val="24"/>
          <w:szCs w:val="24"/>
        </w:rPr>
        <w:t xml:space="preserve"> a observação e participação nas dinâmicas de alfabetização cultural de </w:t>
      </w:r>
      <w:r>
        <w:rPr>
          <w:sz w:val="24"/>
          <w:szCs w:val="24"/>
        </w:rPr>
        <w:t>uma</w:t>
      </w:r>
      <w:r>
        <w:rPr>
          <w:sz w:val="24"/>
          <w:szCs w:val="24"/>
        </w:rPr>
        <w:t xml:space="preserve"> escola</w:t>
      </w:r>
      <w:r>
        <w:rPr>
          <w:sz w:val="24"/>
          <w:szCs w:val="24"/>
        </w:rPr>
        <w:t xml:space="preserve"> primária</w:t>
      </w:r>
      <w:r>
        <w:rPr>
          <w:sz w:val="24"/>
          <w:szCs w:val="24"/>
        </w:rPr>
        <w:t xml:space="preserve"> da região de Barcelona</w:t>
      </w:r>
      <w:r>
        <w:rPr>
          <w:sz w:val="24"/>
          <w:szCs w:val="24"/>
        </w:rPr>
        <w:t xml:space="preserve"> (Catalunha, Espanha)</w:t>
      </w:r>
      <w:r>
        <w:rPr>
          <w:sz w:val="24"/>
          <w:szCs w:val="24"/>
        </w:rPr>
        <w:t xml:space="preserve"> com forte presença de estudantes migrantes.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 observação participante configura-se como “processo pelo qual um pesquisador se coloca como observador de uma situação social, com a finalidade de realizar uma investigação científica” (Minayo, 2012, p.70). Implica, portanto, saber ver, ouvir, captar as expressões corporais dos sujeitos e seus significados, gestos, emoções, silêncios, pormenores e contradições não expressos em palavras, mas que estão implicitamente enunciados. Trata-se de um longo processo de relação com os interlocutores, no qual ocorre a participação direta do pesquisador na vida social e no cenário cultural dos sujeitos pesquisados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Para registro dos dados coletados </w:t>
      </w:r>
      <w:r>
        <w:rPr>
          <w:sz w:val="24"/>
          <w:szCs w:val="24"/>
        </w:rPr>
        <w:t>foi</w:t>
      </w:r>
      <w:r>
        <w:rPr>
          <w:sz w:val="24"/>
          <w:szCs w:val="24"/>
        </w:rPr>
        <w:t xml:space="preserve"> utilizado o caderno de campo com destaque para a descrição de elementos como os ambientes, participantes, suas falas, características, as relações estabelecidas entre eles, bem como os eventos observados. As reflexões, indagações e perspectivas da pesquisadora também </w:t>
      </w:r>
      <w:r>
        <w:rPr>
          <w:sz w:val="24"/>
          <w:szCs w:val="24"/>
        </w:rPr>
        <w:t>foram</w:t>
      </w:r>
      <w:r>
        <w:rPr>
          <w:sz w:val="24"/>
          <w:szCs w:val="24"/>
        </w:rPr>
        <w:t xml:space="preserve"> registradas no caderno de campo, utilizado como instrumento reflexivo na análise dos dados. </w:t>
      </w:r>
    </w:p>
    <w:p>
      <w:pPr>
        <w:pStyle w:val="Normal"/>
        <w:spacing w:lineRule="auto" w:line="360" w:before="0" w:after="103"/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sz w:val="24"/>
          <w:szCs w:val="24"/>
        </w:rPr>
        <w:t xml:space="preserve">Para complementação dos dados, </w:t>
      </w:r>
      <w:r>
        <w:rPr>
          <w:sz w:val="24"/>
          <w:szCs w:val="24"/>
        </w:rPr>
        <w:t>foram entregues questionários para os</w:t>
      </w:r>
      <w:r>
        <w:rPr>
          <w:sz w:val="24"/>
          <w:szCs w:val="24"/>
        </w:rPr>
        <w:t xml:space="preserve"> estudantes </w:t>
      </w:r>
      <w:r>
        <w:rPr>
          <w:sz w:val="24"/>
          <w:szCs w:val="24"/>
        </w:rPr>
        <w:t>com o objetivo 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analisar </w:t>
      </w:r>
      <w:r>
        <w:rPr>
          <w:sz w:val="24"/>
          <w:szCs w:val="24"/>
        </w:rPr>
        <w:t>e refletir sobre o impacto da alfabetização cultural com vistas a verificar: 1)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participação efetiva dos estudantes nos processos formativos e o impacto desse envolvimento em termos de inclusão e equidade escolar; </w:t>
      </w:r>
      <w:r>
        <w:rPr>
          <w:sz w:val="24"/>
          <w:szCs w:val="24"/>
        </w:rPr>
        <w:t>2</w:t>
      </w:r>
      <w:r>
        <w:rPr>
          <w:sz w:val="24"/>
          <w:szCs w:val="24"/>
        </w:rPr>
        <w:t>) quais competências culturais são desenvolvidas e se estas contribuem para promover maior inclusão social.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360"/>
        <w:ind w:left="0" w:hanging="2"/>
        <w:rPr/>
      </w:pPr>
      <w:r>
        <w:rPr>
          <w:sz w:val="24"/>
          <w:szCs w:val="24"/>
        </w:rPr>
        <w:tab/>
        <w:tab/>
      </w:r>
      <w:r>
        <w:rPr>
          <w:sz w:val="24"/>
          <w:szCs w:val="24"/>
        </w:rPr>
        <w:t>A terceira fase da investigação</w:t>
      </w:r>
      <w:r>
        <w:rPr>
          <w:sz w:val="24"/>
          <w:szCs w:val="24"/>
        </w:rPr>
        <w:t>, em desenvolvimento,</w:t>
      </w:r>
      <w:r>
        <w:rPr>
          <w:sz w:val="24"/>
          <w:szCs w:val="24"/>
        </w:rPr>
        <w:t xml:space="preserve"> consistirá na sistematização dos dados, passo que, de acordo com André (1997, p. 63), “leva, mais uma vez, o pesquisador a dialogar com a teoria e com os dados, num movimento de vaivém que envolve rearranjos, recomposições, abstrações e que culmina em nova estruturação do real”. </w:t>
      </w:r>
    </w:p>
    <w:p>
      <w:pPr>
        <w:pStyle w:val="Normal"/>
        <w:spacing w:lineRule="auto" w:line="360"/>
        <w:ind w:left="0" w:hanging="2"/>
        <w:rPr>
          <w:b/>
          <w:bCs/>
          <w:sz w:val="24"/>
          <w:szCs w:val="24"/>
        </w:rPr>
      </w:pPr>
      <w:bookmarkStart w:id="4" w:name="_heading=h.p2q1028yp2bm"/>
      <w:bookmarkEnd w:id="4"/>
      <w:r>
        <w:rPr>
          <w:b/>
          <w:bCs/>
          <w:sz w:val="24"/>
          <w:szCs w:val="24"/>
        </w:rPr>
        <w:t>Resultados</w:t>
      </w:r>
    </w:p>
    <w:p>
      <w:pPr>
        <w:pStyle w:val="Normal"/>
        <w:spacing w:lineRule="auto" w:line="360" w:before="0" w:after="0"/>
        <w:ind w:left="0" w:hanging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ab/>
        <w:t>Após análises preliminares da literatura é possível afirmar que a alfabetização cultural crítica pode ser considerada uma inovação educativa na medida em que a “lógica da inovação” descreve o movimento das iniciativas de pequena escala que visam a alterar processos educacionais na dimensão local. Não necessariamente são práticas inéditas, basta que contrariem as costumeiras em dado lugar ou grupo, "usualmente seguindo processos de concepção e execução em que o protagonismo e a liberdade docente são centrais" (Ghanem; Nogueira da Silva; Pellegrini, 2022, p. 3). Parece profícuo também recorrer às ideias de Hernández (2017), que compreende que as inovações em educação se vinculam à transformação da “gramática” da escola, bem como à formação de sujeitos comprometidos com a transformação social, um dos desafios propostos pela concepção de alfabetização cultural crítica através das artes.</w:t>
      </w:r>
    </w:p>
    <w:p>
      <w:pPr>
        <w:pStyle w:val="Normal"/>
        <w:spacing w:lineRule="auto" w:line="360" w:before="0" w:after="0"/>
        <w:ind w:left="0" w:hanging="2"/>
        <w:rPr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>É possível salientar que o trabalho de campo realizado em uma turma de educação primária, ainda em fase de desenvolvimento, revela pistas de como as práticas artísticas potencializam o envolvimento positivo com a diversidade e se constituem como fazer dialógico possibilitado por encontros construtivos com a diferença, de modo que o espaço escolar se abre para práticas e expressões culturais de grupos e comunidades migrantes. Tal abertura aponta para a riqueza e potencialidade presente nas experiências migrantes, bem como no seu compartilhamento e valorização.</w:t>
      </w:r>
    </w:p>
    <w:p>
      <w:pPr>
        <w:pStyle w:val="Ttulo2"/>
        <w:ind w:left="0" w:hanging="2"/>
        <w:rPr/>
      </w:pPr>
      <w:bookmarkStart w:id="5" w:name="_heading=h.aead2z20m4h"/>
      <w:bookmarkEnd w:id="5"/>
      <w:r>
        <w:rPr/>
        <w:t>Conclusões</w:t>
      </w:r>
    </w:p>
    <w:p>
      <w:pPr>
        <w:pStyle w:val="Ttulo2"/>
        <w:spacing w:lineRule="auto" w:line="360"/>
        <w:ind w:left="0" w:hanging="2"/>
        <w:rPr/>
      </w:pPr>
      <w:r>
        <w:rPr/>
        <w:tab/>
        <w:tab/>
      </w:r>
      <w:r>
        <w:rPr>
          <w:b w:val="false"/>
          <w:bCs w:val="false"/>
          <w:sz w:val="24"/>
          <w:szCs w:val="24"/>
        </w:rPr>
        <w:t>Vale lembrar</w:t>
      </w:r>
      <w:r>
        <w:rPr>
          <w:b w:val="false"/>
          <w:bCs w:val="false"/>
          <w:sz w:val="24"/>
          <w:szCs w:val="24"/>
        </w:rPr>
        <w:t xml:space="preserve"> que a migração é fenômeno social complexo e um dos grandes desafios dos sistemas educativos é, e continuará sendo, a acolhida da infância e juventude migrante. Segundo Arroyo-Gonzalez e Berzosa-Ramos (2021, p.611): "nossa sociedades serão ainda mais multiculturais e as questões referentes a inclusão do estudante migrante na escola será cada vez mais importante no debate educativo", tendo em vista o considerável crescimento de fluxos migratórios compostos por crianças e jovens na última década (Norões, 2021, p.422). </w:t>
      </w:r>
    </w:p>
    <w:p>
      <w:pPr>
        <w:pStyle w:val="Normal"/>
        <w:spacing w:lineRule="auto" w:line="360"/>
        <w:ind w:left="0" w:hanging="2"/>
        <w:rPr/>
      </w:pPr>
      <w:r>
        <w:rPr>
          <w:b w:val="false"/>
          <w:bCs w:val="false"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Portanto, a produção de conhecimentos sobre a alfabetização cultural crítica nas escolas e seus efeitos pretende oferecer contribuições significativas para construção de uma educação que promova a equidade em contextos</w:t>
      </w:r>
      <w:r>
        <w:rPr>
          <w:b w:val="false"/>
          <w:bCs w:val="false"/>
          <w:sz w:val="24"/>
          <w:szCs w:val="24"/>
        </w:rPr>
        <w:t xml:space="preserve"> diversos,</w:t>
      </w:r>
      <w:r>
        <w:rPr>
          <w:b w:val="false"/>
          <w:bCs w:val="false"/>
          <w:sz w:val="24"/>
          <w:szCs w:val="24"/>
        </w:rPr>
        <w:t xml:space="preserve"> ricos e complexos.</w:t>
      </w:r>
      <w:r>
        <w:rPr/>
        <w:t xml:space="preserve"> </w:t>
      </w:r>
    </w:p>
    <w:p>
      <w:pPr>
        <w:pStyle w:val="Normal"/>
        <w:ind w:left="0" w:hanging="2"/>
        <w:rPr/>
      </w:pPr>
      <w:r>
        <w:rPr/>
      </w:r>
    </w:p>
    <w:p>
      <w:pPr>
        <w:pStyle w:val="Ttulo2"/>
        <w:ind w:left="0" w:hanging="2"/>
        <w:rPr/>
      </w:pPr>
      <w:bookmarkStart w:id="6" w:name="_heading=h.ykrpt77nfbur"/>
      <w:bookmarkEnd w:id="6"/>
      <w:r>
        <w:rPr/>
        <w:t>Referências</w:t>
      </w:r>
    </w:p>
    <w:p>
      <w:pPr>
        <w:pStyle w:val="Normal"/>
        <w:ind w:left="0" w:hanging="2"/>
        <w:rPr/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hanging="2"/>
        <w:rPr>
          <w:b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rPr>
          <w:b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 xml:space="preserve">ANDRÉ, Marli E. D. Afonso de. Tendências atuais da pesquisa na escola. </w:t>
      </w:r>
      <w:r>
        <w:rPr>
          <w:b/>
          <w:bCs/>
          <w:color w:val="444444"/>
          <w:sz w:val="24"/>
          <w:szCs w:val="24"/>
          <w:highlight w:val="white"/>
        </w:rPr>
        <w:t>Cad. CEDES</w:t>
      </w:r>
      <w:r>
        <w:rPr>
          <w:color w:val="444444"/>
          <w:sz w:val="24"/>
          <w:szCs w:val="24"/>
          <w:highlight w:val="white"/>
        </w:rPr>
        <w:t>, Campinas, v. 18, n. 43, p. 46-57,1997. Disponível em &lt;http://dx.doi.org/10.1590/S0101-32621997000200005&gt; Acesso em 10 nov. 2023.</w:t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>ARROYO-GONZÁLEZ, M. José; BERZOSA-RAMOS, Ignacio. Twenty years</w:t>
      </w:r>
      <w:r>
        <w:rPr>
          <w:color w:val="444444"/>
          <w:sz w:val="24"/>
          <w:szCs w:val="24"/>
          <w:highlight w:val="white"/>
        </w:rPr>
        <w:t xml:space="preserve"> </w:t>
      </w:r>
      <w:r>
        <w:rPr>
          <w:color w:val="444444"/>
          <w:sz w:val="24"/>
          <w:szCs w:val="24"/>
          <w:highlight w:val="white"/>
        </w:rPr>
        <w:t xml:space="preserve">of research on immigration and school in Spain: taking stock of some of the lessons learned, </w:t>
      </w:r>
      <w:r>
        <w:rPr>
          <w:b/>
          <w:bCs/>
          <w:color w:val="444444"/>
          <w:sz w:val="24"/>
          <w:szCs w:val="24"/>
          <w:highlight w:val="white"/>
        </w:rPr>
        <w:t>Culture and Education,</w:t>
      </w:r>
      <w:r>
        <w:rPr>
          <w:color w:val="444444"/>
          <w:sz w:val="24"/>
          <w:szCs w:val="24"/>
          <w:highlight w:val="white"/>
        </w:rPr>
        <w:t xml:space="preserve"> v.33, n.4, p.597-632, 2021. </w:t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 xml:space="preserve">BARTLETT, Lesley; BAJAJ, Monisha. Educação Humanizadora para Jovens Imigrantes e Refugiados. </w:t>
      </w:r>
      <w:r>
        <w:rPr>
          <w:b/>
          <w:bCs/>
          <w:color w:val="444444"/>
          <w:sz w:val="24"/>
          <w:szCs w:val="24"/>
          <w:highlight w:val="white"/>
        </w:rPr>
        <w:t>Educação &amp; Realidade</w:t>
      </w:r>
      <w:r>
        <w:rPr>
          <w:color w:val="444444"/>
          <w:sz w:val="24"/>
          <w:szCs w:val="24"/>
          <w:highlight w:val="white"/>
        </w:rPr>
        <w:t>, v. 48, p. e136077, 2023.</w:t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 xml:space="preserve">BARTLETT, Lesley; RODRIGUEZ, Diana; OLIVEIRA, Gabrielle. Migração e educação: perspectivas socioculturais. </w:t>
      </w:r>
      <w:r>
        <w:rPr>
          <w:b/>
          <w:bCs/>
          <w:color w:val="444444"/>
          <w:sz w:val="24"/>
          <w:szCs w:val="24"/>
          <w:highlight w:val="white"/>
        </w:rPr>
        <w:t>Educação e Pesquisa</w:t>
      </w:r>
      <w:r>
        <w:rPr>
          <w:color w:val="444444"/>
          <w:sz w:val="24"/>
          <w:szCs w:val="24"/>
          <w:highlight w:val="white"/>
        </w:rPr>
        <w:t>, São Paulo, v. 41, n. especial, p. 1153-1171, 2015.</w:t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 xml:space="preserve">EXPECT_ART. </w:t>
      </w:r>
      <w:r>
        <w:rPr>
          <w:b/>
          <w:bCs/>
          <w:color w:val="444444"/>
          <w:sz w:val="24"/>
          <w:szCs w:val="24"/>
          <w:highlight w:val="white"/>
        </w:rPr>
        <w:t>Review Report</w:t>
      </w:r>
      <w:r>
        <w:rPr>
          <w:color w:val="444444"/>
          <w:sz w:val="24"/>
          <w:szCs w:val="24"/>
          <w:highlight w:val="white"/>
        </w:rPr>
        <w:t>: Cross-disciplinary review of scientific literature on Cultural Literacy and Arts Education, 2024. Disponível em: https://www.expectart.eu/deliverable-2-1/. Acesso em: 11 mar. 2025.</w:t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 xml:space="preserve">FREEDMAN, Kerry; HERNÁNDEZ, Fernando. Imaginin futures for visual arts education: sliding art curriculum off its historical fundations. In: FREEDMAN, Kerry;  HERNÁNDEZ, Fernando (Eds.) </w:t>
      </w:r>
      <w:r>
        <w:rPr>
          <w:b/>
          <w:bCs/>
          <w:color w:val="444444"/>
          <w:sz w:val="24"/>
          <w:szCs w:val="24"/>
          <w:highlight w:val="white"/>
        </w:rPr>
        <w:t>Curriculum, culture and art education.</w:t>
      </w:r>
      <w:r>
        <w:rPr>
          <w:color w:val="444444"/>
          <w:sz w:val="24"/>
          <w:szCs w:val="24"/>
          <w:highlight w:val="white"/>
        </w:rPr>
        <w:t xml:space="preserve"> New York: SUNY press, 2024.</w:t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 xml:space="preserve">GHANEM, Elie; NOGUEIRA DA SILVA, Fabio de O.; PELLEGRINI, Diana de P. Escolha de saberes a ensinar na escola indígena: dois casos guarani em São Paulo. </w:t>
      </w:r>
      <w:r>
        <w:rPr>
          <w:b/>
          <w:bCs/>
          <w:color w:val="444444"/>
          <w:sz w:val="24"/>
          <w:szCs w:val="24"/>
          <w:highlight w:val="white"/>
        </w:rPr>
        <w:t>Cadernos de Pesquisa</w:t>
      </w:r>
      <w:r>
        <w:rPr>
          <w:color w:val="444444"/>
          <w:sz w:val="24"/>
          <w:szCs w:val="24"/>
          <w:highlight w:val="white"/>
        </w:rPr>
        <w:t>, São Paulo, v. 52, p. e08644, 2022. Disponível em: https://doi.org/10.1590/198053148644. Acesso em: 25 jul. 2024.</w:t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 xml:space="preserve">HERNÁNDEZ, Fernando. Afavorir innovacions que canviï la gramàtica de l’escola i les relacions pedagògiques, i que qüestionin la creació d’un subjecte neoliberal. </w:t>
      </w:r>
      <w:r>
        <w:rPr>
          <w:b/>
          <w:bCs/>
          <w:color w:val="444444"/>
          <w:sz w:val="24"/>
          <w:szCs w:val="24"/>
          <w:highlight w:val="white"/>
        </w:rPr>
        <w:t>Revista Catalana de Pedagogia</w:t>
      </w:r>
      <w:r>
        <w:rPr>
          <w:color w:val="444444"/>
          <w:sz w:val="24"/>
          <w:szCs w:val="24"/>
          <w:highlight w:val="white"/>
        </w:rPr>
        <w:t>, [Barcelona], v. 12, p. 17-37, 2017.</w:t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 xml:space="preserve">ISRAEL, Barbara; SCHULZ, Amy; PARKER, Edith; BECKER, Adam. Review of community-based research: Assessing partnership approaches to improve public health. </w:t>
      </w:r>
      <w:r>
        <w:rPr>
          <w:b/>
          <w:bCs/>
          <w:color w:val="444444"/>
          <w:sz w:val="24"/>
          <w:szCs w:val="24"/>
          <w:highlight w:val="white"/>
        </w:rPr>
        <w:t>Annual Review of Public Health</w:t>
      </w:r>
      <w:r>
        <w:rPr>
          <w:color w:val="444444"/>
          <w:sz w:val="24"/>
          <w:szCs w:val="24"/>
          <w:highlight w:val="white"/>
        </w:rPr>
        <w:t>, v.19, p. 173-202, 1998.</w:t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 xml:space="preserve">MAINARDES, Jefferson; MARCONDES, Maria Inês. Reflexões sobre a etnografia crítica e suas implicações para a pesquisa em educação. </w:t>
      </w:r>
      <w:r>
        <w:rPr>
          <w:b/>
          <w:bCs/>
          <w:color w:val="444444"/>
          <w:sz w:val="24"/>
          <w:szCs w:val="24"/>
          <w:highlight w:val="white"/>
        </w:rPr>
        <w:t>Educação e Realidade</w:t>
      </w:r>
      <w:r>
        <w:rPr>
          <w:color w:val="444444"/>
          <w:sz w:val="24"/>
          <w:szCs w:val="24"/>
          <w:highlight w:val="white"/>
        </w:rPr>
        <w:t>, Porto Alegre, v. 36, n. 2, p. 425-446, 2011.</w:t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 xml:space="preserve">MARTINS, Heloisa H. de S. Metodologia qualitativa de pesquisa. </w:t>
      </w:r>
      <w:r>
        <w:rPr>
          <w:b/>
          <w:bCs/>
          <w:color w:val="444444"/>
          <w:sz w:val="24"/>
          <w:szCs w:val="24"/>
          <w:highlight w:val="white"/>
        </w:rPr>
        <w:t>Educação e Pesquisa</w:t>
      </w:r>
      <w:r>
        <w:rPr>
          <w:color w:val="444444"/>
          <w:sz w:val="24"/>
          <w:szCs w:val="24"/>
          <w:highlight w:val="white"/>
        </w:rPr>
        <w:t>. São Paulo: USP, v. 30, n.2, maio/ago, 2004.</w:t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 xml:space="preserve">MINAYO, Maria C. </w:t>
      </w:r>
      <w:r>
        <w:rPr>
          <w:b/>
          <w:bCs/>
          <w:color w:val="444444"/>
          <w:sz w:val="24"/>
          <w:szCs w:val="24"/>
          <w:highlight w:val="white"/>
          <w:vertAlign w:val="subscript"/>
          <w:lang w:eastAsia="ja-JP"/>
        </w:rPr>
        <w:t>Pesquisa social</w:t>
      </w:r>
      <w:r>
        <w:rPr>
          <w:color w:val="444444"/>
          <w:sz w:val="24"/>
          <w:szCs w:val="24"/>
          <w:highlight w:val="white"/>
        </w:rPr>
        <w:t>: teoria, método e criatividade. Petrópolis, RJ: Vozes, 2012.</w:t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 xml:space="preserve">NORÕES, Katia. Migração infantil e educação: entre silêncios e urgências no acesso a direitos. </w:t>
      </w:r>
      <w:r>
        <w:rPr>
          <w:b/>
          <w:bCs/>
          <w:color w:val="444444"/>
          <w:sz w:val="24"/>
          <w:szCs w:val="24"/>
          <w:highlight w:val="white"/>
          <w:vertAlign w:val="subscript"/>
          <w:lang w:eastAsia="ja-JP"/>
        </w:rPr>
        <w:t>Zero-a-seis,</w:t>
      </w:r>
      <w:r>
        <w:rPr>
          <w:color w:val="444444"/>
          <w:sz w:val="24"/>
          <w:szCs w:val="24"/>
          <w:highlight w:val="white"/>
        </w:rPr>
        <w:t xml:space="preserve"> Florianópolis, v.23, n.43, p.420-443, 2021.</w:t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 xml:space="preserve">OLIVEIRA, Dalila A. O imigrante na política educacional brasileira: um sujeito ausente. </w:t>
      </w:r>
      <w:r>
        <w:rPr>
          <w:b/>
          <w:bCs/>
          <w:color w:val="444444"/>
          <w:sz w:val="24"/>
          <w:szCs w:val="24"/>
          <w:highlight w:val="white"/>
        </w:rPr>
        <w:t>Práxis Educativa</w:t>
      </w:r>
      <w:r>
        <w:rPr>
          <w:color w:val="444444"/>
          <w:sz w:val="24"/>
          <w:szCs w:val="24"/>
          <w:highlight w:val="white"/>
        </w:rPr>
        <w:t xml:space="preserve">, Ponta Grossa, v. 15, e2013655, 2020. </w:t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 xml:space="preserve">TILIO, Rogério. Uma pedagogia de letramento sociointeracional crítico como proposta para o ensino de línguas na contemporaneidade por meio de uma abordagem temática. In: FINARDI, Kyria; SCHERRE, Marta; VIDON, Luciano (Org.). </w:t>
      </w:r>
      <w:r>
        <w:rPr>
          <w:b/>
          <w:bCs/>
          <w:color w:val="444444"/>
          <w:sz w:val="24"/>
          <w:szCs w:val="24"/>
          <w:highlight w:val="white"/>
        </w:rPr>
        <w:t>Língua, discurso e política</w:t>
      </w:r>
      <w:r>
        <w:rPr>
          <w:color w:val="444444"/>
          <w:sz w:val="24"/>
          <w:szCs w:val="24"/>
          <w:highlight w:val="white"/>
        </w:rPr>
        <w:t>: desafios contemporâneos. Campinas: Pontes, 2019.</w:t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/>
      </w:r>
    </w:p>
    <w:p>
      <w:pPr>
        <w:pStyle w:val="Normal"/>
        <w:spacing w:before="0" w:after="160"/>
        <w:ind w:left="0" w:hanging="2"/>
        <w:rPr>
          <w:sz w:val="24"/>
          <w:szCs w:val="24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footnotePr>
        <w:numFmt w:val="decimal"/>
      </w:footnotePr>
      <w:type w:val="nextPage"/>
      <w:pgSz w:w="11906" w:h="16838"/>
      <w:pgMar w:left="1701" w:right="1134" w:gutter="0" w:header="708" w:top="1701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pacing w:before="0" w:after="160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pacing w:before="0" w:after="160"/>
      <w:ind w:left="0" w:hanging="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left="0" w:hanging="2"/>
      <w:jc w:val="right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</w:rPr>
      <w:fldChar w:fldCharType="begin"/>
    </w:r>
    <w:r>
      <w:rPr>
        <w:rFonts w:eastAsia="Calibri" w:cs="Calibri" w:ascii="Calibri" w:hAnsi="Calibri"/>
        <w:color w:val="000000"/>
      </w:rPr>
      <w:instrText xml:space="preserve"> PAGE </w:instrText>
    </w:r>
    <w:r>
      <w:rPr>
        <w:rFonts w:eastAsia="Calibri" w:cs="Calibri" w:ascii="Calibri" w:hAnsi="Calibri"/>
        <w:color w:val="000000"/>
      </w:rPr>
      <w:fldChar w:fldCharType="separate"/>
    </w:r>
    <w:r>
      <w:rPr>
        <w:rFonts w:eastAsia="Calibri" w:cs="Calibri" w:ascii="Calibri" w:hAnsi="Calibri"/>
        <w:color w:val="000000"/>
      </w:rPr>
      <w:t>4</w:t>
    </w:r>
    <w:r>
      <w:rPr>
        <w:rFonts w:eastAsia="Calibri" w:cs="Calibri" w:ascii="Calibri" w:hAnsi="Calibri"/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before="0" w:after="160"/>
      <w:ind w:left="0" w:hanging="2"/>
      <w:jc w:val="left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left="0" w:hanging="2"/>
      <w:jc w:val="right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</w:rPr>
      <w:fldChar w:fldCharType="begin"/>
    </w:r>
    <w:r>
      <w:rPr>
        <w:rFonts w:eastAsia="Calibri" w:cs="Calibri" w:ascii="Calibri" w:hAnsi="Calibri"/>
        <w:color w:val="000000"/>
      </w:rPr>
      <w:instrText xml:space="preserve"> PAGE </w:instrText>
    </w:r>
    <w:r>
      <w:rPr>
        <w:rFonts w:eastAsia="Calibri" w:cs="Calibri" w:ascii="Calibri" w:hAnsi="Calibri"/>
        <w:color w:val="000000"/>
      </w:rPr>
      <w:fldChar w:fldCharType="separate"/>
    </w:r>
    <w:r>
      <w:rPr>
        <w:rFonts w:eastAsia="Calibri" w:cs="Calibri" w:ascii="Calibri" w:hAnsi="Calibri"/>
        <w:color w:val="000000"/>
      </w:rPr>
      <w:t>4</w:t>
    </w:r>
    <w:r>
      <w:rPr>
        <w:rFonts w:eastAsia="Calibri" w:cs="Calibri" w:ascii="Calibri" w:hAnsi="Calibri"/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before="0" w:after="160"/>
      <w:ind w:left="0" w:hanging="2"/>
      <w:jc w:val="left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LO-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kern w:val="0"/>
          <w:sz w:val="18"/>
          <w:szCs w:val="18"/>
          <w:lang w:val="pt-BR" w:eastAsia="zh-CN" w:bidi="hi-IN"/>
        </w:rPr>
      </w:pPr>
      <w:r>
        <w:rPr>
          <w:rStyle w:val="Caracteresdenotaderodap"/>
        </w:rPr>
        <w:footnoteRef/>
      </w:r>
      <w:r>
        <w:rPr>
          <w:rFonts w:eastAsia="Times New Roman" w:cs="Times New Roman" w:ascii="Times New Roman" w:hAnsi="Times New Roman"/>
          <w:color w:val="auto"/>
          <w:kern w:val="0"/>
          <w:sz w:val="18"/>
          <w:szCs w:val="18"/>
          <w:lang w:val="pt-BR" w:eastAsia="zh-CN" w:bidi="hi-IN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18"/>
          <w:szCs w:val="18"/>
          <w:lang w:val="pt-BR" w:eastAsia="zh-CN" w:bidi="hi-IN"/>
        </w:rPr>
        <w:t>Pesquisa financiada pelo CNPq, Conselho Nacional de Desenvolvimento Científico e Tecnológico.</w:t>
      </w:r>
    </w:p>
  </w:footnote>
  <w:footnote w:id="3">
    <w:p>
      <w:pPr>
        <w:pStyle w:val="LO-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eastAsia="Times New Roman" w:cs="Times New Roman" w:ascii="Times New Roman" w:hAnsi="Times New Roman"/>
          <w:color w:val="auto"/>
          <w:kern w:val="0"/>
          <w:sz w:val="18"/>
          <w:szCs w:val="18"/>
          <w:lang w:val="pt-BR" w:eastAsia="zh-CN" w:bidi="hi-IN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18"/>
          <w:szCs w:val="18"/>
          <w:lang w:val="pt-BR" w:eastAsia="zh-CN" w:bidi="hi-IN"/>
        </w:rPr>
        <w:t xml:space="preserve">A pesquisa apresentada forma parte do projeto Exploring and Educating Cultural Literacy Through Art / EXPECT_Art (101132662 / HORIZON-CL2-2023-HERITAGE-01-07).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160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160"/>
      <w:ind w:left="0" w:hanging="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160"/>
      <w:ind w:left="0" w:hanging="0"/>
      <w:rPr>
        <w:b/>
        <w:sz w:val="16"/>
        <w:szCs w:val="16"/>
      </w:rPr>
    </w:pPr>
    <w:r>
      <w:rPr>
        <w:b/>
        <w:sz w:val="16"/>
        <w:szCs w:val="16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160"/>
      <w:ind w:left="0" w:hanging="0"/>
      <w:rPr>
        <w:b/>
        <w:sz w:val="16"/>
        <w:szCs w:val="16"/>
      </w:rPr>
    </w:pPr>
    <w:r>
      <w:rPr>
        <w:b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ind w:left="-1" w:hanging="1"/>
      <w:jc w:val="both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2"/>
      <w:szCs w:val="22"/>
      <w:vertAlign w:val="subscript"/>
      <w:lang w:eastAsia="ja-JP" w:val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lineRule="auto" w:line="240" w:before="280" w:after="280"/>
      <w:ind w:left="-1" w:right="-1" w:hanging="1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 w:val="true"/>
      <w:keepLines/>
      <w:spacing w:lineRule="auto" w:line="240" w:before="0" w:after="0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Caracteresdenotaderodap">
    <w:name w:val="Caracteres de nota de rodapé"/>
    <w:qFormat/>
    <w:rPr>
      <w:w w:val="100"/>
      <w:effect w:val="none"/>
      <w:vertAlign w:val="superscript"/>
      <w:em w:val="none"/>
    </w:rPr>
  </w:style>
  <w:style w:type="character" w:styleId="Ncoradanotaderodap">
    <w:name w:val="Footnote Reference"/>
    <w:rPr>
      <w:w w:val="100"/>
      <w:effect w:val="none"/>
      <w:vertAlign w:val="superscript"/>
      <w:em w:val="none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CommentTextChar" w:customStyle="1">
    <w:name w:val="Comment Text Cha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CommentSubjectChar" w:customStyle="1">
    <w:name w:val="Comment Subject Char"/>
    <w:qFormat/>
    <w:rPr>
      <w:b/>
      <w:bCs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BalloonTextChar" w:customStyle="1">
    <w:name w:val="Balloon Text Char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Strong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HeaderChar" w:customStyle="1">
    <w:name w:val="Header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val="pt-BR"/>
    </w:rPr>
  </w:style>
  <w:style w:type="character" w:styleId="FooterChar" w:customStyle="1">
    <w:name w:val="Footer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val="pt-BR"/>
    </w:rPr>
  </w:style>
  <w:style w:type="character" w:styleId="Ncoradanotadefim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lineRule="auto" w:line="240" w:before="280" w:after="280"/>
      <w:ind w:left="-1" w:right="-1" w:hanging="1"/>
      <w:jc w:val="center"/>
    </w:pPr>
    <w:rPr>
      <w:b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sz w:val="24"/>
      <w:szCs w:val="24"/>
    </w:rPr>
  </w:style>
  <w:style w:type="paragraph" w:styleId="Notaderodap">
    <w:name w:val="Foot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O-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FUc0moVpfkkZwTdttCeILJAutpA==">AMUW2mWo3GP/CpYU+VuF2wbPfUtZ3/px7OdLZod267DO0zsWM7KZWwF+dMdI4veguoSeG8enWS+JNRiMm0uX/FXpKuzjHcUTGm7ONHkclJO0BC6LF/LXvPL/PYFQcs+E7hNaIQjdw5RY1q33Erw+QET/XUumVRxPf1xXLq7I6ESvUT0Mprzcn/JbzpO9OsiO0xJUaJb1ipLATNpYo0jo3xVfG3htkJ+TLTjSKmel+63pPGwiTwwFnnXfw26LyRR2O6ay2CTl+gkXlMt43GuEPbMe8LBwmtBHx1yQyO5mdAje5f9fG5Tlqe97Zfqca2Y7JHIbgzpnUFb6KeS3SU14n6q663z6h6n6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Application>LibreOffice/7.5.1.2$Windows_X86_64 LibreOffice_project/fcbaee479e84c6cd81291587d2ee68cba099e129</Application>
  <AppVersion>15.0000</AppVersion>
  <Pages>4</Pages>
  <Words>2383</Words>
  <Characters>14479</Characters>
  <CharactersWithSpaces>16874</CharactersWithSpaces>
  <Paragraphs>51</Paragraphs>
  <Company>University of Minho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2022-03-30T12:34:00Z</dcterms:created>
  <dc:creator>familia</dc:creator>
  <dc:description/>
  <dc:language>es-ES</dc:language>
  <cp:lastModifiedBy/>
  <dcterms:modified xsi:type="dcterms:W3CDTF">2025-06-11T01:58:43Z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