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3D9D0DF1"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98543D">
        <w:rPr>
          <w:rFonts w:ascii="Times New Roman" w:eastAsia="Times New Roman" w:hAnsi="Times New Roman" w:cs="Times New Roman"/>
          <w:b/>
          <w:color w:val="808080" w:themeColor="background1" w:themeShade="80"/>
        </w:rPr>
        <w:t xml:space="preserve"> 1- Teorias e Desenvolvimento</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5EFAC31E" w:rsidR="00D8471E" w:rsidRDefault="0098543D">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GESTÃO DO CAPITAL INTELECTUAL NO SETOR PÚBLICO: UMA REVISÃO SISTEMÁTICA DA LITERATURA SOBRE ESTRATÉGIAS PARA RETENÇÃO DO CONHECIMENTO DIANTE DA ROTATIVIDADE DE SERVIDORES</w:t>
      </w:r>
    </w:p>
    <w:p w14:paraId="7DF52BA7" w14:textId="77777777" w:rsidR="0098543D" w:rsidRPr="00B90D5F" w:rsidRDefault="0098543D" w:rsidP="0098543D">
      <w:pPr>
        <w:spacing w:before="211" w:line="278" w:lineRule="auto"/>
        <w:ind w:left="26" w:right="31"/>
        <w:jc w:val="center"/>
        <w:rPr>
          <w:rFonts w:ascii="Times New Roman" w:eastAsia="Times New Roman" w:hAnsi="Times New Roman" w:cs="Times New Roman"/>
          <w:i/>
          <w:sz w:val="28"/>
          <w:szCs w:val="28"/>
        </w:rPr>
      </w:pPr>
      <w:r w:rsidRPr="00B90D5F">
        <w:rPr>
          <w:rFonts w:ascii="Times New Roman" w:eastAsia="Times New Roman" w:hAnsi="Times New Roman" w:cs="Times New Roman"/>
          <w:i/>
          <w:sz w:val="28"/>
          <w:szCs w:val="28"/>
        </w:rPr>
        <w:t>MANAGEMENT OF INTELLECTUAL CAPITAL IN THE PUBLIC SECTOR: A SYSTEMATIC REVIEW OF THE LITERATURE ON STRATEGIES FOR KNOWLEDGE RETENTION IN THE FACE OF EMPLOYEE TURNOVER</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72D3FC5A" w:rsidR="00D8471E" w:rsidRPr="006F452E" w:rsidRDefault="0098543D"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Daniel de Paula Fernandes</w:t>
      </w:r>
    </w:p>
    <w:p w14:paraId="21E450E1" w14:textId="2E151D1C" w:rsidR="006F452E" w:rsidRDefault="0098543D" w:rsidP="006F452E">
      <w:pPr>
        <w:spacing w:line="240" w:lineRule="auto"/>
        <w:jc w:val="right"/>
        <w:rPr>
          <w:rFonts w:ascii="Times New Roman" w:eastAsia="Times New Roman" w:hAnsi="Times New Roman" w:cs="Times New Roman"/>
        </w:rPr>
      </w:pPr>
      <w:r w:rsidRPr="00B90D5F">
        <w:rPr>
          <w:rFonts w:ascii="Times New Roman" w:eastAsia="Times New Roman" w:hAnsi="Times New Roman" w:cs="Times New Roman"/>
        </w:rPr>
        <w:t>M</w:t>
      </w:r>
      <w:r>
        <w:rPr>
          <w:rFonts w:ascii="Times New Roman" w:eastAsia="Times New Roman" w:hAnsi="Times New Roman" w:cs="Times New Roman"/>
        </w:rPr>
        <w:t>estrando em Engenharia de Produção</w:t>
      </w:r>
      <w:r w:rsidRPr="00B90D5F">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Pr="00B90D5F">
        <w:rPr>
          <w:rFonts w:ascii="Times New Roman" w:eastAsia="Times New Roman" w:hAnsi="Times New Roman" w:cs="Times New Roman"/>
        </w:rPr>
        <w:t xml:space="preserve"> (</w:t>
      </w:r>
      <w:r>
        <w:rPr>
          <w:rFonts w:ascii="Times New Roman" w:eastAsia="Times New Roman" w:hAnsi="Times New Roman" w:cs="Times New Roman"/>
        </w:rPr>
        <w:t>UFABC</w:t>
      </w:r>
      <w:r w:rsidRPr="00B90D5F">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B96F83D" w14:textId="6BD8F9A9" w:rsidR="0098543D" w:rsidRDefault="0098543D" w:rsidP="006F452E">
      <w:pPr>
        <w:spacing w:line="240" w:lineRule="auto"/>
        <w:jc w:val="right"/>
        <w:rPr>
          <w:rFonts w:ascii="Times New Roman" w:eastAsia="Times New Roman" w:hAnsi="Times New Roman" w:cs="Times New Roman"/>
        </w:rPr>
      </w:pPr>
      <w:r w:rsidRPr="0098543D">
        <w:rPr>
          <w:rFonts w:ascii="Times New Roman" w:eastAsia="Times New Roman" w:hAnsi="Times New Roman" w:cs="Times New Roman"/>
        </w:rPr>
        <w:t>daniel.paula@ufabc.edu.br</w:t>
      </w:r>
      <w:r w:rsidRPr="00B90D5F">
        <w:rPr>
          <w:rFonts w:ascii="Times New Roman" w:eastAsia="Times New Roman" w:hAnsi="Times New Roman" w:cs="Times New Roman"/>
        </w:rPr>
        <w:t>.</w:t>
      </w:r>
    </w:p>
    <w:p w14:paraId="05E6004F" w14:textId="3988C93C" w:rsidR="006F452E" w:rsidRPr="006F452E" w:rsidRDefault="0098543D"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Natalia Paranhos Caoduro</w:t>
      </w:r>
    </w:p>
    <w:p w14:paraId="63A67B30" w14:textId="7E3303FA" w:rsidR="006F452E" w:rsidRDefault="0098543D" w:rsidP="006F452E">
      <w:pPr>
        <w:spacing w:line="240" w:lineRule="auto"/>
        <w:jc w:val="right"/>
        <w:rPr>
          <w:rFonts w:ascii="Times New Roman" w:eastAsia="Times New Roman" w:hAnsi="Times New Roman" w:cs="Times New Roman"/>
        </w:rPr>
      </w:pPr>
      <w:r w:rsidRPr="00B90D5F">
        <w:rPr>
          <w:rFonts w:ascii="Times New Roman" w:eastAsia="Times New Roman" w:hAnsi="Times New Roman" w:cs="Times New Roman"/>
        </w:rPr>
        <w:t>M</w:t>
      </w:r>
      <w:r>
        <w:rPr>
          <w:rFonts w:ascii="Times New Roman" w:eastAsia="Times New Roman" w:hAnsi="Times New Roman" w:cs="Times New Roman"/>
        </w:rPr>
        <w:t>estrando em Engenharia de Produção</w:t>
      </w:r>
      <w:r w:rsidRPr="00B90D5F">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Pr="00B90D5F">
        <w:rPr>
          <w:rFonts w:ascii="Times New Roman" w:eastAsia="Times New Roman" w:hAnsi="Times New Roman" w:cs="Times New Roman"/>
        </w:rPr>
        <w:t xml:space="preserve"> (</w:t>
      </w:r>
      <w:r>
        <w:rPr>
          <w:rFonts w:ascii="Times New Roman" w:eastAsia="Times New Roman" w:hAnsi="Times New Roman" w:cs="Times New Roman"/>
        </w:rPr>
        <w:t>UFABC</w:t>
      </w:r>
      <w:r w:rsidRPr="00B90D5F">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148D9C84" w14:textId="3AC526A3" w:rsidR="0098543D" w:rsidRDefault="0098543D" w:rsidP="006F452E">
      <w:pPr>
        <w:spacing w:line="240" w:lineRule="auto"/>
        <w:jc w:val="right"/>
        <w:rPr>
          <w:rFonts w:ascii="Times New Roman" w:eastAsia="Times New Roman" w:hAnsi="Times New Roman" w:cs="Times New Roman"/>
        </w:rPr>
      </w:pPr>
      <w:r w:rsidRPr="0098543D">
        <w:rPr>
          <w:rFonts w:ascii="Times New Roman" w:eastAsia="Times New Roman" w:hAnsi="Times New Roman" w:cs="Times New Roman"/>
        </w:rPr>
        <w:t>natalia.</w:t>
      </w:r>
      <w:r w:rsidR="00897217">
        <w:rPr>
          <w:rFonts w:ascii="Times New Roman" w:eastAsia="Times New Roman" w:hAnsi="Times New Roman" w:cs="Times New Roman"/>
        </w:rPr>
        <w:t>paranhos</w:t>
      </w:r>
      <w:r w:rsidRPr="0098543D">
        <w:rPr>
          <w:rFonts w:ascii="Times New Roman" w:eastAsia="Times New Roman" w:hAnsi="Times New Roman" w:cs="Times New Roman"/>
        </w:rPr>
        <w:t>@ufabc.edu.br</w:t>
      </w:r>
      <w:r w:rsidRPr="00B90D5F">
        <w:rPr>
          <w:rFonts w:ascii="Times New Roman" w:eastAsia="Times New Roman" w:hAnsi="Times New Roman" w:cs="Times New Roman"/>
        </w:rPr>
        <w:t>.</w:t>
      </w:r>
    </w:p>
    <w:p w14:paraId="3485F7C0" w14:textId="12A15031" w:rsidR="006F452E" w:rsidRPr="006F452E" w:rsidRDefault="0098543D"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Alessandro Alves</w:t>
      </w:r>
    </w:p>
    <w:p w14:paraId="127E4D7B" w14:textId="120519EA" w:rsidR="006F452E" w:rsidRDefault="0098543D"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 em Energia</w:t>
      </w:r>
      <w:r w:rsidRPr="00B90D5F">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Pr="00B90D5F">
        <w:rPr>
          <w:rFonts w:ascii="Times New Roman" w:eastAsia="Times New Roman" w:hAnsi="Times New Roman" w:cs="Times New Roman"/>
        </w:rPr>
        <w:t xml:space="preserve"> (</w:t>
      </w:r>
      <w:r>
        <w:rPr>
          <w:rFonts w:ascii="Times New Roman" w:eastAsia="Times New Roman" w:hAnsi="Times New Roman" w:cs="Times New Roman"/>
        </w:rPr>
        <w:t>UFABC</w:t>
      </w:r>
      <w:r w:rsidRPr="00B90D5F">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10E93D53" w14:textId="703022C2" w:rsidR="004957F6" w:rsidRDefault="004957F6" w:rsidP="006F452E">
      <w:pPr>
        <w:spacing w:line="240" w:lineRule="auto"/>
        <w:jc w:val="right"/>
        <w:rPr>
          <w:rFonts w:ascii="Times New Roman" w:eastAsia="Times New Roman" w:hAnsi="Times New Roman" w:cs="Times New Roman"/>
        </w:rPr>
      </w:pPr>
      <w:r w:rsidRPr="004957F6">
        <w:rPr>
          <w:rFonts w:ascii="Times New Roman" w:eastAsia="Times New Roman" w:hAnsi="Times New Roman" w:cs="Times New Roman"/>
        </w:rPr>
        <w:t>alessandro.alves@ufabc.edu.br</w:t>
      </w:r>
      <w:r w:rsidRPr="00B90D5F">
        <w:rPr>
          <w:rFonts w:ascii="Times New Roman" w:eastAsia="Times New Roman" w:hAnsi="Times New Roman" w:cs="Times New Roman"/>
        </w:rPr>
        <w:t>.</w:t>
      </w:r>
    </w:p>
    <w:p w14:paraId="4E5BCB66" w14:textId="5F60CA47" w:rsidR="006F452E" w:rsidRPr="006F452E" w:rsidRDefault="004957F6"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Douglas Alves Cassiano</w:t>
      </w:r>
    </w:p>
    <w:p w14:paraId="34011B5D" w14:textId="77777777" w:rsidR="004957F6" w:rsidRDefault="004957F6"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 em Engenharia Química</w:t>
      </w:r>
      <w:r w:rsidRPr="00B90D5F">
        <w:rPr>
          <w:rFonts w:ascii="Times New Roman" w:eastAsia="Times New Roman" w:hAnsi="Times New Roman" w:cs="Times New Roman"/>
        </w:rPr>
        <w:t xml:space="preserve">. </w:t>
      </w:r>
      <w:r>
        <w:rPr>
          <w:rFonts w:ascii="Times New Roman" w:eastAsia="Times New Roman" w:hAnsi="Times New Roman" w:cs="Times New Roman"/>
        </w:rPr>
        <w:t>Universidade Estadual de Campinas</w:t>
      </w:r>
      <w:r w:rsidRPr="00B90D5F">
        <w:rPr>
          <w:rFonts w:ascii="Times New Roman" w:eastAsia="Times New Roman" w:hAnsi="Times New Roman" w:cs="Times New Roman"/>
        </w:rPr>
        <w:t xml:space="preserve"> (</w:t>
      </w:r>
      <w:r>
        <w:rPr>
          <w:rFonts w:ascii="Times New Roman" w:eastAsia="Times New Roman" w:hAnsi="Times New Roman" w:cs="Times New Roman"/>
        </w:rPr>
        <w:t>UNICAMP</w:t>
      </w:r>
      <w:r w:rsidRPr="00B90D5F">
        <w:rPr>
          <w:rFonts w:ascii="Times New Roman" w:eastAsia="Times New Roman" w:hAnsi="Times New Roman" w:cs="Times New Roman"/>
        </w:rPr>
        <w:t xml:space="preserve">) – </w:t>
      </w:r>
      <w:r>
        <w:rPr>
          <w:rFonts w:ascii="Times New Roman" w:eastAsia="Times New Roman" w:hAnsi="Times New Roman" w:cs="Times New Roman"/>
        </w:rPr>
        <w:t>Brasil</w:t>
      </w:r>
      <w:r w:rsidRPr="00B90D5F">
        <w:rPr>
          <w:rFonts w:ascii="Times New Roman" w:eastAsia="Times New Roman" w:hAnsi="Times New Roman" w:cs="Times New Roman"/>
        </w:rPr>
        <w:t xml:space="preserve">. </w:t>
      </w:r>
    </w:p>
    <w:p w14:paraId="33B4A761" w14:textId="738A1D3C" w:rsidR="006F452E" w:rsidRDefault="004957F6" w:rsidP="006F452E">
      <w:pPr>
        <w:spacing w:line="240" w:lineRule="auto"/>
        <w:jc w:val="right"/>
        <w:rPr>
          <w:rFonts w:ascii="Times New Roman" w:eastAsia="Times New Roman" w:hAnsi="Times New Roman" w:cs="Times New Roman"/>
          <w:sz w:val="24"/>
          <w:szCs w:val="24"/>
        </w:rPr>
      </w:pPr>
      <w:r w:rsidRPr="00515867">
        <w:rPr>
          <w:rFonts w:ascii="Times New Roman" w:eastAsia="Times New Roman" w:hAnsi="Times New Roman" w:cs="Times New Roman"/>
        </w:rPr>
        <w:t>douglas.cassiano@ufabc.edu.br</w:t>
      </w:r>
      <w:r w:rsidRPr="00B90D5F">
        <w:rPr>
          <w:rFonts w:ascii="Times New Roman" w:eastAsia="Times New Roman" w:hAnsi="Times New Roman" w:cs="Times New Roman"/>
        </w:rPr>
        <w:t>.</w:t>
      </w: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4DFBBD1E" w14:textId="3C74413B" w:rsidR="004957F6" w:rsidRDefault="004957F6" w:rsidP="006F452E">
      <w:pPr>
        <w:spacing w:line="240" w:lineRule="auto"/>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gestão do capital intelectual no setor público assume papel estratégico diante da rotatividade de servidores e processos burocráticos, que podem comprometer a</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inovação e retenção do conhecimento institucional. Este artigo realiza uma revisão sistemática da literatura</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analisa as principais estratégias adotadas por organizações públicas no Brasil</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no mundo, visando mitigar os impactos da rotatividade atrelada a uma burocracia r</w:t>
      </w:r>
      <w:r>
        <w:rPr>
          <w:rFonts w:ascii="Times New Roman" w:eastAsia="Times New Roman" w:hAnsi="Times New Roman" w:cs="Times New Roman"/>
          <w:sz w:val="24"/>
          <w:szCs w:val="24"/>
        </w:rPr>
        <w:t>í</w:t>
      </w:r>
      <w:r w:rsidRPr="00B90D5F">
        <w:rPr>
          <w:rFonts w:ascii="Times New Roman" w:eastAsia="Times New Roman" w:hAnsi="Times New Roman" w:cs="Times New Roman"/>
          <w:sz w:val="24"/>
          <w:szCs w:val="24"/>
        </w:rPr>
        <w:t xml:space="preserve">gida e promover a retenção do conhecimento. A pesquisa baseia-se em estudos publicados em base científica reconhecida, com foco em práticas de gestão do conhecimento, uso de tecnologias digitais, cultura organizacional e liderança no setor público, e utiliza o método PRISMA para uma revisão sistemática da literatura. </w:t>
      </w:r>
      <w:r>
        <w:rPr>
          <w:rFonts w:ascii="Times New Roman" w:eastAsia="Times New Roman" w:hAnsi="Times New Roman" w:cs="Times New Roman"/>
          <w:sz w:val="24"/>
          <w:szCs w:val="24"/>
        </w:rPr>
        <w:t>F</w:t>
      </w:r>
      <w:r w:rsidRPr="00000735">
        <w:rPr>
          <w:rFonts w:ascii="Times New Roman" w:eastAsia="Times New Roman" w:hAnsi="Times New Roman" w:cs="Times New Roman"/>
          <w:sz w:val="24"/>
          <w:szCs w:val="24"/>
        </w:rPr>
        <w:t>oram identificados 74 estudos, e após a aplicação dos critérios de exclusão, 20 artigos científicos foram selecionados para análise integral.</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 xml:space="preserve">Os resultados indicam que, embora existam múltiplas abordagens, a eficácia das estratégias depende principalmente da articulação entre aspectos gerenciais e culturais das instituições, seguido pelos aspectos tecnológicos. A construção de uma cultura organizacional favorável e o papel ativo da liderança são fatores decisivos para o sucesso das iniciativas de uma boa </w:t>
      </w:r>
      <w:r>
        <w:rPr>
          <w:rFonts w:ascii="Times New Roman" w:eastAsia="Times New Roman" w:hAnsi="Times New Roman" w:cs="Times New Roman"/>
          <w:sz w:val="24"/>
          <w:szCs w:val="24"/>
        </w:rPr>
        <w:t>gestão do conhecimento</w:t>
      </w:r>
      <w:r w:rsidRPr="00B90D5F">
        <w:rPr>
          <w:rFonts w:ascii="Times New Roman" w:eastAsia="Times New Roman" w:hAnsi="Times New Roman" w:cs="Times New Roman"/>
          <w:sz w:val="24"/>
          <w:szCs w:val="24"/>
        </w:rPr>
        <w:t xml:space="preserve">. Ademais, programas de mentoria, gestão de sucessão e plataformas digitais despontam como instrumentos fundamentais para a transferência e preservação do conhecimento. </w:t>
      </w:r>
      <w:r w:rsidRPr="00000735">
        <w:rPr>
          <w:rFonts w:ascii="Times New Roman" w:eastAsia="Times New Roman" w:hAnsi="Times New Roman" w:cs="Times New Roman"/>
          <w:sz w:val="24"/>
          <w:szCs w:val="24"/>
        </w:rPr>
        <w:t>A fragmentação das práticas no setor público reforça a necessidade de estratégias mais integradas e adaptadas aos contextos institucionais.</w:t>
      </w:r>
      <w:r>
        <w:rPr>
          <w:rFonts w:ascii="Times New Roman" w:eastAsia="Times New Roman" w:hAnsi="Times New Roman" w:cs="Times New Roman"/>
          <w:sz w:val="24"/>
          <w:szCs w:val="24"/>
        </w:rPr>
        <w:t xml:space="preserve"> </w:t>
      </w:r>
      <w:r w:rsidRPr="00000735">
        <w:rPr>
          <w:rFonts w:ascii="Times New Roman" w:eastAsia="Times New Roman" w:hAnsi="Times New Roman" w:cs="Times New Roman"/>
          <w:sz w:val="24"/>
          <w:szCs w:val="24"/>
        </w:rPr>
        <w:t>Este estudo contribui para o avanço da gestão do capital intelectual, oferecendo subsídios para políticas públicas sustentáveis e indicando caminhos para pesquisas futuras, especialmente em contextos emergentes.</w:t>
      </w:r>
    </w:p>
    <w:p w14:paraId="6DF09880" w14:textId="4EC219A3"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4957F6" w:rsidRPr="00B90D5F">
        <w:rPr>
          <w:rFonts w:ascii="Times New Roman" w:eastAsia="Times New Roman" w:hAnsi="Times New Roman" w:cs="Times New Roman"/>
          <w:sz w:val="24"/>
          <w:szCs w:val="24"/>
        </w:rPr>
        <w:t>Capital Intelectual, Gestão do Conhecimento, Rotatividade no Setor Público</w:t>
      </w:r>
      <w:r w:rsidR="004957F6">
        <w:rPr>
          <w:rFonts w:ascii="Times New Roman" w:eastAsia="Times New Roman" w:hAnsi="Times New Roman" w:cs="Times New Roman"/>
          <w:sz w:val="24"/>
          <w:szCs w:val="24"/>
        </w:rPr>
        <w:t xml:space="preserve">, </w:t>
      </w:r>
      <w:r w:rsidR="004957F6" w:rsidRPr="009C67C4">
        <w:rPr>
          <w:rFonts w:ascii="Times New Roman" w:eastAsia="Times New Roman" w:hAnsi="Times New Roman" w:cs="Times New Roman"/>
          <w:sz w:val="24"/>
          <w:szCs w:val="24"/>
        </w:rPr>
        <w:t>Retenção de Conhecimentos.</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6B12CBB5"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ABSTRACT </w:t>
      </w:r>
    </w:p>
    <w:p w14:paraId="4E294BE6" w14:textId="77777777" w:rsidR="00A36A84" w:rsidRDefault="004957F6" w:rsidP="00A36A84">
      <w:pPr>
        <w:spacing w:before="240" w:after="240"/>
        <w:jc w:val="both"/>
        <w:rPr>
          <w:rFonts w:ascii="Times New Roman" w:eastAsia="Times New Roman" w:hAnsi="Times New Roman" w:cs="Times New Roman"/>
          <w:sz w:val="24"/>
          <w:szCs w:val="24"/>
        </w:rPr>
      </w:pPr>
      <w:r w:rsidRPr="009C67C4">
        <w:rPr>
          <w:rFonts w:ascii="Times New Roman" w:eastAsia="Times New Roman" w:hAnsi="Times New Roman" w:cs="Times New Roman"/>
          <w:sz w:val="24"/>
          <w:szCs w:val="24"/>
        </w:rPr>
        <w:lastRenderedPageBreak/>
        <w:t>Intellectual capital management in the public sector plays a strategic role in addressing staff turnover and bureaucratic processes, which can undermine both innovation and the retention of institutional knowledge. This article presents a systematic literature review examining the main strategies adopted by public organizations in Brazil and abroad to mitigate the effects of turnover and rigid bureaucracy while fostering knowledge retention. The study is based on research published in recognized scientific databases, focusing on knowledge management practices, digital technologies, organizational culture, and leadership in the public sector, and applies the PRISMA method as a framework. A total of 74 studies were identified, of which 20 met the inclusion criteria and were analyzed in depth. The findings reveal that, although various approaches exist, their effectiveness depends largely on the alignment of managerial and cultural factors, complemented by technological support. A strong organizational culture and active leadership emerge as decisive elements for the success of knowledge management initiatives. In addition, mentoring programs, succession planning, and digital platforms prove to be essential tools for the transfer and preservation of knowledge. The fragmented nature of current practices underscores the need for more integrated and context-sensitive strategies. This study advances the understanding of intellectual capital management by providing insights for sustainable public policies and suggesting avenues for future research, particularly in emerging contexts.</w:t>
      </w:r>
    </w:p>
    <w:p w14:paraId="47B30801" w14:textId="2F2C363B" w:rsidR="00D8471E" w:rsidRDefault="00000000" w:rsidP="00A36A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sidR="004957F6" w:rsidRPr="009C67C4">
        <w:rPr>
          <w:rFonts w:ascii="Times New Roman" w:eastAsia="Times New Roman" w:hAnsi="Times New Roman" w:cs="Times New Roman"/>
          <w:i/>
          <w:iCs/>
          <w:sz w:val="24"/>
          <w:szCs w:val="24"/>
        </w:rPr>
        <w:t>Intellectual Capital</w:t>
      </w:r>
      <w:r w:rsidR="004957F6">
        <w:rPr>
          <w:rFonts w:ascii="Times New Roman" w:eastAsia="Times New Roman" w:hAnsi="Times New Roman" w:cs="Times New Roman"/>
          <w:i/>
          <w:iCs/>
          <w:sz w:val="24"/>
          <w:szCs w:val="24"/>
        </w:rPr>
        <w:t>,</w:t>
      </w:r>
      <w:r w:rsidR="004957F6" w:rsidRPr="009C67C4">
        <w:rPr>
          <w:rFonts w:ascii="Times New Roman" w:eastAsia="Times New Roman" w:hAnsi="Times New Roman" w:cs="Times New Roman"/>
          <w:i/>
          <w:iCs/>
          <w:sz w:val="24"/>
          <w:szCs w:val="24"/>
        </w:rPr>
        <w:t xml:space="preserve"> Knowledge Management</w:t>
      </w:r>
      <w:r w:rsidR="004957F6">
        <w:rPr>
          <w:rFonts w:ascii="Times New Roman" w:eastAsia="Times New Roman" w:hAnsi="Times New Roman" w:cs="Times New Roman"/>
          <w:i/>
          <w:iCs/>
          <w:sz w:val="24"/>
          <w:szCs w:val="24"/>
        </w:rPr>
        <w:t>,</w:t>
      </w:r>
      <w:r w:rsidR="004957F6" w:rsidRPr="009C67C4">
        <w:rPr>
          <w:rFonts w:ascii="Times New Roman" w:eastAsia="Times New Roman" w:hAnsi="Times New Roman" w:cs="Times New Roman"/>
          <w:i/>
          <w:iCs/>
          <w:sz w:val="24"/>
          <w:szCs w:val="24"/>
        </w:rPr>
        <w:t xml:space="preserve"> Public Sector Turnover</w:t>
      </w:r>
      <w:r w:rsidR="004957F6">
        <w:rPr>
          <w:rFonts w:ascii="Times New Roman" w:eastAsia="Times New Roman" w:hAnsi="Times New Roman" w:cs="Times New Roman"/>
          <w:i/>
          <w:iCs/>
          <w:sz w:val="24"/>
          <w:szCs w:val="24"/>
        </w:rPr>
        <w:t>,</w:t>
      </w:r>
      <w:r w:rsidR="004957F6" w:rsidRPr="009C67C4">
        <w:rPr>
          <w:rFonts w:ascii="Times New Roman" w:eastAsia="Times New Roman" w:hAnsi="Times New Roman" w:cs="Times New Roman"/>
          <w:i/>
          <w:iCs/>
          <w:sz w:val="24"/>
          <w:szCs w:val="24"/>
        </w:rPr>
        <w:t xml:space="preserve"> Knowledge Retention</w:t>
      </w:r>
      <w:r w:rsidR="004957F6">
        <w:rPr>
          <w:rFonts w:ascii="Times New Roman" w:eastAsia="Times New Roman" w:hAnsi="Times New Roman" w:cs="Times New Roman"/>
          <w:i/>
          <w:iCs/>
          <w:sz w:val="24"/>
          <w:szCs w:val="24"/>
        </w:rPr>
        <w:t>.</w:t>
      </w:r>
    </w:p>
    <w:p w14:paraId="3A46D71F" w14:textId="77777777" w:rsidR="00D8471E" w:rsidRDefault="00D8471E" w:rsidP="004957F6">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000000" w:rsidP="004957F6">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6B0C548C" w14:textId="3117B98C" w:rsidR="004957F6" w:rsidRDefault="004957F6" w:rsidP="004957F6">
      <w:pPr>
        <w:pBdr>
          <w:top w:val="nil"/>
          <w:left w:val="nil"/>
          <w:bottom w:val="nil"/>
          <w:right w:val="nil"/>
          <w:between w:val="nil"/>
        </w:pBdr>
        <w:spacing w:before="282" w:line="360" w:lineRule="auto"/>
        <w:ind w:left="142" w:right="138"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 século XXI, ao se consolidar como a era da informação e do conhecimento, subverteu paradigmas tradicionais acerca do valor dos recursos organizacionais. Se antes o capital físico e financeiro determinava a robustez institucional, hoje, o ativo mais estratégico e volátil é o capital intelectual</w:t>
      </w:r>
      <w:r>
        <w:rPr>
          <w:rFonts w:ascii="Times New Roman" w:eastAsia="Times New Roman" w:hAnsi="Times New Roman" w:cs="Times New Roman"/>
          <w:sz w:val="24"/>
          <w:szCs w:val="24"/>
        </w:rPr>
        <w:t xml:space="preserve"> (CI)</w:t>
      </w:r>
      <w:r w:rsidRPr="00B90D5F">
        <w:rPr>
          <w:rFonts w:ascii="Times New Roman" w:eastAsia="Times New Roman" w:hAnsi="Times New Roman" w:cs="Times New Roman"/>
          <w:sz w:val="24"/>
          <w:szCs w:val="24"/>
        </w:rPr>
        <w:t>. Este, entretanto, apresenta-se como um bem intangível, imensurável em métricas convencionais, mas absolutamente central para a sustentabilidade e inovação das instituições públicas (S</w:t>
      </w:r>
      <w:r w:rsidR="00615B2C">
        <w:rPr>
          <w:rFonts w:ascii="Times New Roman" w:eastAsia="Times New Roman" w:hAnsi="Times New Roman" w:cs="Times New Roman"/>
          <w:sz w:val="24"/>
          <w:szCs w:val="24"/>
        </w:rPr>
        <w:t>TEWART</w:t>
      </w:r>
      <w:r w:rsidRPr="00B90D5F">
        <w:rPr>
          <w:rFonts w:ascii="Times New Roman" w:eastAsia="Times New Roman" w:hAnsi="Times New Roman" w:cs="Times New Roman"/>
          <w:sz w:val="24"/>
          <w:szCs w:val="24"/>
        </w:rPr>
        <w:t>, 1998).</w:t>
      </w:r>
    </w:p>
    <w:p w14:paraId="53147791" w14:textId="77777777" w:rsidR="004957F6" w:rsidRPr="00B90D5F" w:rsidRDefault="004957F6" w:rsidP="004957F6">
      <w:pPr>
        <w:pBdr>
          <w:top w:val="nil"/>
          <w:left w:val="nil"/>
          <w:bottom w:val="nil"/>
          <w:right w:val="nil"/>
          <w:between w:val="nil"/>
        </w:pBdr>
        <w:spacing w:line="360" w:lineRule="auto"/>
        <w:ind w:left="142" w:right="138" w:firstLine="709"/>
        <w:jc w:val="both"/>
        <w:rPr>
          <w:rFonts w:ascii="Times New Roman" w:eastAsia="Times New Roman" w:hAnsi="Times New Roman" w:cs="Times New Roman"/>
          <w:sz w:val="24"/>
          <w:szCs w:val="24"/>
        </w:rPr>
      </w:pPr>
      <w:r w:rsidRPr="009C67C4">
        <w:rPr>
          <w:rFonts w:ascii="Times New Roman" w:eastAsia="Times New Roman" w:hAnsi="Times New Roman" w:cs="Times New Roman"/>
          <w:sz w:val="24"/>
          <w:szCs w:val="24"/>
        </w:rPr>
        <w:t xml:space="preserve">De acordo com Edvinsson </w:t>
      </w:r>
      <w:r>
        <w:rPr>
          <w:rFonts w:ascii="Times New Roman" w:eastAsia="Times New Roman" w:hAnsi="Times New Roman" w:cs="Times New Roman"/>
          <w:sz w:val="24"/>
          <w:szCs w:val="24"/>
        </w:rPr>
        <w:t>e</w:t>
      </w:r>
      <w:r w:rsidRPr="009C67C4">
        <w:rPr>
          <w:rFonts w:ascii="Times New Roman" w:eastAsia="Times New Roman" w:hAnsi="Times New Roman" w:cs="Times New Roman"/>
          <w:sz w:val="24"/>
          <w:szCs w:val="24"/>
        </w:rPr>
        <w:t xml:space="preserve"> Malone (1998), o </w:t>
      </w:r>
      <w:r>
        <w:rPr>
          <w:rFonts w:ascii="Times New Roman" w:eastAsia="Times New Roman" w:hAnsi="Times New Roman" w:cs="Times New Roman"/>
          <w:sz w:val="24"/>
          <w:szCs w:val="24"/>
        </w:rPr>
        <w:t>CI</w:t>
      </w:r>
      <w:r w:rsidRPr="009C67C4">
        <w:rPr>
          <w:rFonts w:ascii="Times New Roman" w:eastAsia="Times New Roman" w:hAnsi="Times New Roman" w:cs="Times New Roman"/>
          <w:sz w:val="24"/>
          <w:szCs w:val="24"/>
        </w:rPr>
        <w:t xml:space="preserve"> pode ser compreendido como uma mescla de conhecimentos, habilidades, experiências e relações que agregam valor às organizações e contribuem com sua capacidade de inovar e se desenvolver, sendo constantemente estabelecido como a soma dos ativos intangíveis capazes de gerar valor.</w:t>
      </w:r>
    </w:p>
    <w:p w14:paraId="533BE77E" w14:textId="102D8801" w:rsidR="004957F6" w:rsidRPr="00B90D5F" w:rsidRDefault="004957F6" w:rsidP="004957F6">
      <w:pPr>
        <w:pBdr>
          <w:top w:val="nil"/>
          <w:left w:val="nil"/>
          <w:bottom w:val="nil"/>
          <w:right w:val="nil"/>
          <w:between w:val="nil"/>
        </w:pBdr>
        <w:spacing w:line="360" w:lineRule="auto"/>
        <w:ind w:left="142" w:right="136"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administração pública, particularmente no Brasil, vive uma realidade paradoxal: ao mesmo tempo em que demanda níveis crescentes de eficiência, transparência e inovação, convive com uma estrutura burocrática rígida, marcada por altos índices de rotatividade de </w:t>
      </w:r>
      <w:r w:rsidRPr="00B90D5F">
        <w:rPr>
          <w:rFonts w:ascii="Times New Roman" w:eastAsia="Times New Roman" w:hAnsi="Times New Roman" w:cs="Times New Roman"/>
          <w:sz w:val="24"/>
          <w:szCs w:val="24"/>
        </w:rPr>
        <w:lastRenderedPageBreak/>
        <w:t>servidores. A equação entre conhecimento e rotatividade é, portanto, dramática: perde-se não apenas o capital humano, mas um repositório valioso de experiências, práticas e saberes específicos, acumulados ao longo do tempo e dificilmente replicáveis (</w:t>
      </w:r>
      <w:r w:rsidR="00615B2C" w:rsidRPr="009B0580">
        <w:rPr>
          <w:rFonts w:ascii="Times New Roman" w:eastAsia="Times New Roman" w:hAnsi="Times New Roman" w:cs="Times New Roman"/>
          <w:sz w:val="24"/>
          <w:szCs w:val="24"/>
        </w:rPr>
        <w:t>P</w:t>
      </w:r>
      <w:r w:rsidR="00615B2C">
        <w:rPr>
          <w:rFonts w:ascii="Times New Roman" w:eastAsia="Times New Roman" w:hAnsi="Times New Roman" w:cs="Times New Roman"/>
          <w:sz w:val="24"/>
          <w:szCs w:val="24"/>
        </w:rPr>
        <w:t>ASCHOIOTTO</w:t>
      </w:r>
      <w:r w:rsidR="00615B2C" w:rsidRPr="009B0580">
        <w:rPr>
          <w:rFonts w:ascii="Times New Roman" w:eastAsia="Times New Roman" w:hAnsi="Times New Roman" w:cs="Times New Roman"/>
          <w:sz w:val="24"/>
          <w:szCs w:val="24"/>
        </w:rPr>
        <w:t xml:space="preserve"> </w:t>
      </w:r>
      <w:r w:rsidRPr="009D5D28">
        <w:rPr>
          <w:rFonts w:ascii="Times New Roman" w:eastAsia="Times New Roman" w:hAnsi="Times New Roman" w:cs="Times New Roman"/>
          <w:i/>
          <w:iCs/>
          <w:sz w:val="24"/>
          <w:szCs w:val="24"/>
        </w:rPr>
        <w:t>et al</w:t>
      </w:r>
      <w:r w:rsidRPr="009B0580">
        <w:rPr>
          <w:rFonts w:ascii="Times New Roman" w:eastAsia="Times New Roman" w:hAnsi="Times New Roman" w:cs="Times New Roman"/>
          <w:sz w:val="24"/>
          <w:szCs w:val="24"/>
        </w:rPr>
        <w:t>., 2024;</w:t>
      </w:r>
      <w:r>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D</w:t>
      </w:r>
      <w:r w:rsidR="00615B2C">
        <w:rPr>
          <w:rFonts w:ascii="Times New Roman" w:eastAsia="Times New Roman" w:hAnsi="Times New Roman" w:cs="Times New Roman"/>
          <w:sz w:val="24"/>
          <w:szCs w:val="24"/>
        </w:rPr>
        <w:t xml:space="preserve">AVENPORT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P</w:t>
      </w:r>
      <w:r w:rsidR="00615B2C">
        <w:rPr>
          <w:rFonts w:ascii="Times New Roman" w:eastAsia="Times New Roman" w:hAnsi="Times New Roman" w:cs="Times New Roman"/>
          <w:sz w:val="24"/>
          <w:szCs w:val="24"/>
        </w:rPr>
        <w:t>RUSAK</w:t>
      </w:r>
      <w:r w:rsidRPr="00B90D5F">
        <w:rPr>
          <w:rFonts w:ascii="Times New Roman" w:eastAsia="Times New Roman" w:hAnsi="Times New Roman" w:cs="Times New Roman"/>
          <w:sz w:val="24"/>
          <w:szCs w:val="24"/>
        </w:rPr>
        <w:t>, 1998).</w:t>
      </w:r>
    </w:p>
    <w:p w14:paraId="3C2CA33E" w14:textId="79AC001D" w:rsidR="004957F6" w:rsidRPr="00B90D5F" w:rsidRDefault="004957F6" w:rsidP="004957F6">
      <w:pPr>
        <w:pBdr>
          <w:top w:val="nil"/>
          <w:left w:val="nil"/>
          <w:bottom w:val="nil"/>
          <w:right w:val="nil"/>
          <w:between w:val="nil"/>
        </w:pBdr>
        <w:spacing w:before="1" w:line="360" w:lineRule="auto"/>
        <w:ind w:left="142" w:right="147"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rotatividade no setor público não se limita à aposentadoria. Ela é atravessada por exonerações, transferências e até mesmo pela descontinuidade de projetos políticos a cada novo ciclo governamental, o que amplia ainda mais a fragilidade na preservação e transferência de conhecimento (</w:t>
      </w:r>
      <w:r w:rsidR="00615B2C" w:rsidRPr="00B90D5F">
        <w:rPr>
          <w:rFonts w:ascii="Times New Roman" w:eastAsia="Times New Roman" w:hAnsi="Times New Roman" w:cs="Times New Roman"/>
          <w:sz w:val="24"/>
          <w:szCs w:val="24"/>
        </w:rPr>
        <w:t>M</w:t>
      </w:r>
      <w:r w:rsidR="00615B2C">
        <w:rPr>
          <w:rFonts w:ascii="Times New Roman" w:eastAsia="Times New Roman" w:hAnsi="Times New Roman" w:cs="Times New Roman"/>
          <w:sz w:val="24"/>
          <w:szCs w:val="24"/>
        </w:rPr>
        <w:t>EIER</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H</w:t>
      </w:r>
      <w:r w:rsidR="00615B2C">
        <w:rPr>
          <w:rFonts w:ascii="Times New Roman" w:eastAsia="Times New Roman" w:hAnsi="Times New Roman" w:cs="Times New Roman"/>
          <w:sz w:val="24"/>
          <w:szCs w:val="24"/>
        </w:rPr>
        <w:t>ICKLIN</w:t>
      </w:r>
      <w:r w:rsidRPr="00B90D5F">
        <w:rPr>
          <w:rFonts w:ascii="Times New Roman" w:eastAsia="Times New Roman" w:hAnsi="Times New Roman" w:cs="Times New Roman"/>
          <w:i/>
          <w:sz w:val="24"/>
          <w:szCs w:val="24"/>
        </w:rPr>
        <w:t>,</w:t>
      </w:r>
      <w:r w:rsidRPr="00B90D5F">
        <w:rPr>
          <w:rFonts w:ascii="Times New Roman" w:eastAsia="Times New Roman" w:hAnsi="Times New Roman" w:cs="Times New Roman"/>
          <w:sz w:val="24"/>
          <w:szCs w:val="24"/>
        </w:rPr>
        <w:t xml:space="preserve"> 2007). Nesse cenário, 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emerge como uma estratégia imprescindível para a retenção do saber organizacional, especialmente diante do desafio de institucionalizar o conhecimento que, por natureza, é pessoal e contextual.</w:t>
      </w:r>
    </w:p>
    <w:p w14:paraId="177F4C88" w14:textId="150480CD" w:rsidR="004957F6" w:rsidRPr="00B90D5F" w:rsidRDefault="004957F6" w:rsidP="004957F6">
      <w:pPr>
        <w:pBdr>
          <w:top w:val="nil"/>
          <w:left w:val="nil"/>
          <w:bottom w:val="nil"/>
          <w:right w:val="nil"/>
          <w:between w:val="nil"/>
        </w:pBdr>
        <w:spacing w:line="360" w:lineRule="auto"/>
        <w:ind w:left="142" w:right="145"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Ao longo das últimas duas décadas, diversas políticas de gestão do conhecimento foram implementadas de maneira fragmentada em órgãos públicos, principalmente através de programas de capacitação, criação de repositórios digitais, mapeamento de competências e tentativas de sucessão planejada. Entretanto, esses esforços, por vezes bem-intencionados, carecem de articulação sistêmica e sofrem com a ausência de uma cultura organizacional orientada ao compartilhamento e à valorização do conhecimento coletivo (</w:t>
      </w:r>
      <w:r w:rsidR="00615B2C" w:rsidRPr="00B90D5F">
        <w:rPr>
          <w:rFonts w:ascii="Times New Roman" w:eastAsia="Times New Roman" w:hAnsi="Times New Roman" w:cs="Times New Roman"/>
          <w:sz w:val="24"/>
          <w:szCs w:val="24"/>
        </w:rPr>
        <w:t>K</w:t>
      </w:r>
      <w:r w:rsidR="00615B2C">
        <w:rPr>
          <w:rFonts w:ascii="Times New Roman" w:eastAsia="Times New Roman" w:hAnsi="Times New Roman" w:cs="Times New Roman"/>
          <w:sz w:val="24"/>
          <w:szCs w:val="24"/>
        </w:rPr>
        <w:t>ASSA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N</w:t>
      </w:r>
      <w:r w:rsidR="00615B2C">
        <w:rPr>
          <w:rFonts w:ascii="Times New Roman" w:eastAsia="Times New Roman" w:hAnsi="Times New Roman" w:cs="Times New Roman"/>
          <w:sz w:val="24"/>
          <w:szCs w:val="24"/>
        </w:rPr>
        <w:t>ING</w:t>
      </w:r>
      <w:r w:rsidRPr="00B90D5F">
        <w:rPr>
          <w:rFonts w:ascii="Times New Roman" w:eastAsia="Times New Roman" w:hAnsi="Times New Roman" w:cs="Times New Roman"/>
          <w:sz w:val="24"/>
          <w:szCs w:val="24"/>
        </w:rPr>
        <w:t>, 2023).</w:t>
      </w:r>
    </w:p>
    <w:p w14:paraId="09A7AA11" w14:textId="77777777" w:rsidR="004957F6" w:rsidRPr="00B90D5F" w:rsidRDefault="004957F6" w:rsidP="004957F6">
      <w:pPr>
        <w:pBdr>
          <w:top w:val="nil"/>
          <w:left w:val="nil"/>
          <w:bottom w:val="nil"/>
          <w:right w:val="nil"/>
          <w:between w:val="nil"/>
        </w:pBdr>
        <w:spacing w:before="2" w:line="360" w:lineRule="auto"/>
        <w:ind w:left="142" w:right="138"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Este trabalho propõe-se a realizar uma revisão sistemática da literatura científica sobre as estratégias de retenção do conhecimento institucional no setor público, com foco na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frente à rotatividade de servidores. A escolha pela revisão sistemática justifica-se não apenas pela necessidade de mapear e organizar o conhecimento já produzido sobre o tema, mas também por permitir identificar lacunas, padrões e tendências nas práticas adotadas pelas organizações públicas ao redor do mundo.</w:t>
      </w:r>
    </w:p>
    <w:p w14:paraId="00340B8C" w14:textId="77777777" w:rsidR="004957F6" w:rsidRPr="00B90D5F" w:rsidRDefault="004957F6" w:rsidP="004957F6">
      <w:pPr>
        <w:pBdr>
          <w:top w:val="nil"/>
          <w:left w:val="nil"/>
          <w:bottom w:val="nil"/>
          <w:right w:val="nil"/>
          <w:between w:val="nil"/>
        </w:pBdr>
        <w:spacing w:line="360" w:lineRule="auto"/>
        <w:ind w:left="142" w:right="139"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Assim, o problema de pesquisa que norteia este estudo é: Quais são as estratégias de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utilizadas por instituições públicas para mitigar os impactos da rotatividade de servidores e reter o conhecimento organizacional? </w:t>
      </w:r>
      <w:r w:rsidRPr="009C67C4">
        <w:rPr>
          <w:rFonts w:ascii="Times New Roman" w:eastAsia="Times New Roman" w:hAnsi="Times New Roman" w:cs="Times New Roman"/>
          <w:sz w:val="24"/>
          <w:szCs w:val="24"/>
        </w:rPr>
        <w:t>Considera-se</w:t>
      </w:r>
      <w:r w:rsidRPr="00B90D5F">
        <w:rPr>
          <w:rFonts w:ascii="Times New Roman" w:eastAsia="Times New Roman" w:hAnsi="Times New Roman" w:cs="Times New Roman"/>
          <w:sz w:val="24"/>
          <w:szCs w:val="24"/>
        </w:rPr>
        <w:t xml:space="preserve"> que exist</w:t>
      </w:r>
      <w:r>
        <w:rPr>
          <w:rFonts w:ascii="Times New Roman" w:eastAsia="Times New Roman" w:hAnsi="Times New Roman" w:cs="Times New Roman"/>
          <w:sz w:val="24"/>
          <w:szCs w:val="24"/>
        </w:rPr>
        <w:t>a</w:t>
      </w:r>
      <w:r w:rsidRPr="00B90D5F">
        <w:rPr>
          <w:rFonts w:ascii="Times New Roman" w:eastAsia="Times New Roman" w:hAnsi="Times New Roman" w:cs="Times New Roman"/>
          <w:sz w:val="24"/>
          <w:szCs w:val="24"/>
        </w:rPr>
        <w:t>m métodos consolidados e validados na literatura científica que ainda não foram plenamente internalizados pela realidade institucional brasileira.</w:t>
      </w:r>
    </w:p>
    <w:p w14:paraId="67ABA444" w14:textId="63D689A6" w:rsidR="004957F6" w:rsidRPr="00B90D5F" w:rsidRDefault="004957F6" w:rsidP="004957F6">
      <w:pPr>
        <w:pBdr>
          <w:top w:val="nil"/>
          <w:left w:val="nil"/>
          <w:bottom w:val="nil"/>
          <w:right w:val="nil"/>
          <w:between w:val="nil"/>
        </w:pBdr>
        <w:spacing w:line="360" w:lineRule="auto"/>
        <w:ind w:left="142" w:right="146"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relevância deste estudo reside na confluência de três dimensões: teórica, ao sistematizar a produção científica sobre o tema; prática, ao oferecer subsídios para a formulação de políticas de gestão do conhecimento mais eficazes; e política, ao contribuir </w:t>
      </w:r>
      <w:r w:rsidRPr="00B90D5F">
        <w:rPr>
          <w:rFonts w:ascii="Times New Roman" w:eastAsia="Times New Roman" w:hAnsi="Times New Roman" w:cs="Times New Roman"/>
          <w:sz w:val="24"/>
          <w:szCs w:val="24"/>
        </w:rPr>
        <w:lastRenderedPageBreak/>
        <w:t>para o aprimoramento da governança pública por meio da valorização do conhecimento como ativo estratégico (</w:t>
      </w:r>
      <w:r w:rsidR="00615B2C" w:rsidRPr="00B90D5F">
        <w:rPr>
          <w:rFonts w:ascii="Times New Roman" w:eastAsia="Times New Roman" w:hAnsi="Times New Roman" w:cs="Times New Roman"/>
          <w:sz w:val="24"/>
          <w:szCs w:val="24"/>
        </w:rPr>
        <w:t>N</w:t>
      </w:r>
      <w:r w:rsidR="00615B2C">
        <w:rPr>
          <w:rFonts w:ascii="Times New Roman" w:eastAsia="Times New Roman" w:hAnsi="Times New Roman" w:cs="Times New Roman"/>
          <w:sz w:val="24"/>
          <w:szCs w:val="24"/>
        </w:rPr>
        <w:t>ONAKA</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T</w:t>
      </w:r>
      <w:r w:rsidR="00615B2C">
        <w:rPr>
          <w:rFonts w:ascii="Times New Roman" w:eastAsia="Times New Roman" w:hAnsi="Times New Roman" w:cs="Times New Roman"/>
          <w:sz w:val="24"/>
          <w:szCs w:val="24"/>
        </w:rPr>
        <w:t>AKEUCHI</w:t>
      </w:r>
      <w:r w:rsidRPr="00B90D5F">
        <w:rPr>
          <w:rFonts w:ascii="Times New Roman" w:eastAsia="Times New Roman" w:hAnsi="Times New Roman" w:cs="Times New Roman"/>
          <w:sz w:val="24"/>
          <w:szCs w:val="24"/>
        </w:rPr>
        <w:t>, 2009).</w:t>
      </w:r>
    </w:p>
    <w:p w14:paraId="3EC9BD90" w14:textId="77777777" w:rsidR="004957F6" w:rsidRPr="00B90D5F" w:rsidRDefault="004957F6" w:rsidP="004957F6">
      <w:pPr>
        <w:pBdr>
          <w:top w:val="nil"/>
          <w:left w:val="nil"/>
          <w:bottom w:val="nil"/>
          <w:right w:val="nil"/>
          <w:between w:val="nil"/>
        </w:pBdr>
        <w:spacing w:before="1" w:line="360" w:lineRule="auto"/>
        <w:ind w:left="142" w:right="139"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estrutura deste artigo compreende, além desta introdução, um segundo capítulo dedicado ao referencial teórico, no qual serão abordados os principais conceitos de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gestão do conhecimento e rotatividade no setor público. O terceiro capítulo descreve a metodologia adotada para a revisão sistemática da literatura. Em seguida, os resultados obtidos serão analisados e discutidos, buscando identificar padrões e propor interpretações críticas. Por fim, nas considerações finais, serão destacadas as contribuições teóricas, práticas e gerenciais do trabalho, suas limitações e sugestões para pesquisas futuras.</w:t>
      </w:r>
    </w:p>
    <w:p w14:paraId="5C7A2503" w14:textId="77777777" w:rsidR="004957F6" w:rsidRDefault="004957F6" w:rsidP="004957F6">
      <w:pPr>
        <w:pBdr>
          <w:top w:val="nil"/>
          <w:left w:val="nil"/>
          <w:bottom w:val="nil"/>
          <w:right w:val="nil"/>
          <w:between w:val="nil"/>
        </w:pBdr>
        <w:spacing w:line="360" w:lineRule="auto"/>
        <w:ind w:left="142" w:right="138" w:firstLine="709"/>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Num tempo em que a velocidade da informação rivaliza com a lentidão estrutural do serviço público, compreender como o conhecimento pode ser retido, transferido e potencializado é mais do que um desafio técnico: é um imperativo estratégico. Afinal, o que se perde com a saída de um servidor experiente não é apenas um cargo vago, mas um universo inteiro de saberes, interações, histórias e soluções silenciosamente construídas ao longo do tempo.</w:t>
      </w:r>
    </w:p>
    <w:p w14:paraId="54EACCEA" w14:textId="77777777" w:rsidR="004957F6" w:rsidRPr="00B90D5F" w:rsidRDefault="004957F6" w:rsidP="004957F6">
      <w:pPr>
        <w:pBdr>
          <w:top w:val="nil"/>
          <w:left w:val="nil"/>
          <w:bottom w:val="nil"/>
          <w:right w:val="nil"/>
          <w:between w:val="nil"/>
        </w:pBdr>
        <w:spacing w:line="360" w:lineRule="auto"/>
        <w:ind w:left="142" w:right="13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contexto, </w:t>
      </w:r>
      <w:r w:rsidRPr="006E34EA">
        <w:rPr>
          <w:rFonts w:ascii="Times New Roman" w:eastAsia="Times New Roman" w:hAnsi="Times New Roman" w:cs="Times New Roman"/>
          <w:sz w:val="24"/>
          <w:szCs w:val="24"/>
        </w:rPr>
        <w:t>o objetivo deste estudo é identificar</w:t>
      </w:r>
      <w:r>
        <w:rPr>
          <w:rFonts w:ascii="Times New Roman" w:eastAsia="Times New Roman" w:hAnsi="Times New Roman" w:cs="Times New Roman"/>
          <w:sz w:val="24"/>
          <w:szCs w:val="24"/>
        </w:rPr>
        <w:t xml:space="preserve"> </w:t>
      </w:r>
      <w:r w:rsidRPr="006E34EA">
        <w:rPr>
          <w:rFonts w:ascii="Times New Roman" w:eastAsia="Times New Roman" w:hAnsi="Times New Roman" w:cs="Times New Roman"/>
          <w:sz w:val="24"/>
          <w:szCs w:val="24"/>
        </w:rPr>
        <w:t xml:space="preserve">as principais estratégias de gestão do </w:t>
      </w:r>
      <w:r>
        <w:rPr>
          <w:rFonts w:ascii="Times New Roman" w:eastAsia="Times New Roman" w:hAnsi="Times New Roman" w:cs="Times New Roman"/>
          <w:sz w:val="24"/>
          <w:szCs w:val="24"/>
        </w:rPr>
        <w:t>CI</w:t>
      </w:r>
      <w:r w:rsidRPr="006E34EA">
        <w:rPr>
          <w:rFonts w:ascii="Times New Roman" w:eastAsia="Times New Roman" w:hAnsi="Times New Roman" w:cs="Times New Roman"/>
          <w:sz w:val="24"/>
          <w:szCs w:val="24"/>
        </w:rPr>
        <w:t xml:space="preserve"> utilizadas por instituições públicas para mitigar os impactos da rotatividade de servidores e promover a retenção do conhecimento organizacional</w:t>
      </w:r>
      <w:r>
        <w:rPr>
          <w:rFonts w:ascii="Times New Roman" w:eastAsia="Times New Roman" w:hAnsi="Times New Roman" w:cs="Times New Roman"/>
          <w:sz w:val="24"/>
          <w:szCs w:val="24"/>
        </w:rPr>
        <w:t>, a partir de</w:t>
      </w:r>
      <w:r w:rsidRPr="006E34EA">
        <w:rPr>
          <w:rFonts w:ascii="Times New Roman" w:eastAsia="Times New Roman" w:hAnsi="Times New Roman" w:cs="Times New Roman"/>
          <w:sz w:val="24"/>
          <w:szCs w:val="24"/>
        </w:rPr>
        <w:t xml:space="preserve"> uma revisão sistemática da literatura</w:t>
      </w:r>
      <w:r>
        <w:rPr>
          <w:rFonts w:ascii="Times New Roman" w:eastAsia="Times New Roman" w:hAnsi="Times New Roman" w:cs="Times New Roman"/>
          <w:sz w:val="24"/>
          <w:szCs w:val="24"/>
        </w:rPr>
        <w:t>.</w:t>
      </w:r>
    </w:p>
    <w:p w14:paraId="54A3DBC1" w14:textId="77777777" w:rsidR="00A36A84" w:rsidRDefault="00A36A84" w:rsidP="00A36A8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789A92D6" w14:textId="76F2F828" w:rsidR="007B5401" w:rsidRPr="00A36A84" w:rsidRDefault="00000000" w:rsidP="00A36A8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52B36F4B" w14:textId="77777777" w:rsidR="00A36A84" w:rsidRPr="00A36A84" w:rsidRDefault="00A36A84" w:rsidP="00A36A84">
      <w:pPr>
        <w:pStyle w:val="PargrafodaLista"/>
        <w:keepNext/>
        <w:keepLines/>
        <w:numPr>
          <w:ilvl w:val="0"/>
          <w:numId w:val="4"/>
        </w:numPr>
        <w:tabs>
          <w:tab w:val="left" w:pos="606"/>
        </w:tabs>
        <w:spacing w:before="281" w:after="120"/>
        <w:contextualSpacing w:val="0"/>
        <w:outlineLvl w:val="1"/>
        <w:rPr>
          <w:rFonts w:ascii="Times New Roman" w:eastAsia="Times New Roman" w:hAnsi="Times New Roman" w:cs="Times New Roman"/>
          <w:bCs/>
          <w:vanish/>
          <w:sz w:val="24"/>
          <w:szCs w:val="24"/>
        </w:rPr>
      </w:pPr>
    </w:p>
    <w:p w14:paraId="3FFB550F" w14:textId="77777777" w:rsidR="00A36A84" w:rsidRPr="00A36A84" w:rsidRDefault="00A36A84" w:rsidP="00A36A84">
      <w:pPr>
        <w:pStyle w:val="PargrafodaLista"/>
        <w:keepNext/>
        <w:keepLines/>
        <w:numPr>
          <w:ilvl w:val="0"/>
          <w:numId w:val="4"/>
        </w:numPr>
        <w:tabs>
          <w:tab w:val="left" w:pos="606"/>
        </w:tabs>
        <w:spacing w:before="281" w:after="120"/>
        <w:contextualSpacing w:val="0"/>
        <w:outlineLvl w:val="1"/>
        <w:rPr>
          <w:rFonts w:ascii="Times New Roman" w:eastAsia="Times New Roman" w:hAnsi="Times New Roman" w:cs="Times New Roman"/>
          <w:bCs/>
          <w:vanish/>
          <w:sz w:val="24"/>
          <w:szCs w:val="24"/>
        </w:rPr>
      </w:pPr>
    </w:p>
    <w:p w14:paraId="24A17C70" w14:textId="48C1703B" w:rsidR="004957F6" w:rsidRPr="004957F6" w:rsidRDefault="004957F6" w:rsidP="00A36A84">
      <w:pPr>
        <w:pStyle w:val="Ttulo2"/>
        <w:numPr>
          <w:ilvl w:val="1"/>
          <w:numId w:val="4"/>
        </w:numPr>
        <w:tabs>
          <w:tab w:val="left" w:pos="606"/>
        </w:tabs>
        <w:spacing w:before="281"/>
        <w:ind w:left="608"/>
        <w:rPr>
          <w:rFonts w:ascii="Times New Roman" w:eastAsia="Times New Roman" w:hAnsi="Times New Roman" w:cs="Times New Roman"/>
          <w:b/>
          <w:bCs/>
          <w:sz w:val="24"/>
          <w:szCs w:val="24"/>
        </w:rPr>
      </w:pPr>
      <w:r w:rsidRPr="004957F6">
        <w:rPr>
          <w:rFonts w:ascii="Times New Roman" w:eastAsia="Times New Roman" w:hAnsi="Times New Roman" w:cs="Times New Roman"/>
          <w:bCs/>
          <w:sz w:val="24"/>
          <w:szCs w:val="24"/>
        </w:rPr>
        <w:t>O CONCEITO DE CAPITAL INTELECTUAL</w:t>
      </w:r>
    </w:p>
    <w:p w14:paraId="622F8DDB" w14:textId="7152DBDC" w:rsidR="004957F6" w:rsidRPr="00B90D5F" w:rsidRDefault="004957F6" w:rsidP="004957F6">
      <w:pPr>
        <w:pBdr>
          <w:top w:val="nil"/>
          <w:left w:val="nil"/>
          <w:bottom w:val="nil"/>
          <w:right w:val="nil"/>
          <w:between w:val="nil"/>
        </w:pBdr>
        <w:spacing w:before="282" w:line="360" w:lineRule="auto"/>
        <w:ind w:left="140" w:right="13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expressão “capital intelectual” evoca, de imediato, uma ruptura epistemológica com os modelos clássicos de análise organizacional. Não mais se trata de avaliar apenas bens tangíveis, mas de capturar, mensurar e valorizar o invisível: saberes, competências, experiências, relações e inovações que, juntos, formam a espinha dorsal do conhecimento organizacional (</w:t>
      </w:r>
      <w:r w:rsidR="00615B2C" w:rsidRPr="00B90D5F">
        <w:rPr>
          <w:rFonts w:ascii="Times New Roman" w:eastAsia="Times New Roman" w:hAnsi="Times New Roman" w:cs="Times New Roman"/>
          <w:sz w:val="24"/>
          <w:szCs w:val="24"/>
        </w:rPr>
        <w:t>E</w:t>
      </w:r>
      <w:r w:rsidR="00615B2C">
        <w:rPr>
          <w:rFonts w:ascii="Times New Roman" w:eastAsia="Times New Roman" w:hAnsi="Times New Roman" w:cs="Times New Roman"/>
          <w:sz w:val="24"/>
          <w:szCs w:val="24"/>
        </w:rPr>
        <w:t>DVINSSON</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M</w:t>
      </w:r>
      <w:r w:rsidR="00615B2C">
        <w:rPr>
          <w:rFonts w:ascii="Times New Roman" w:eastAsia="Times New Roman" w:hAnsi="Times New Roman" w:cs="Times New Roman"/>
          <w:sz w:val="24"/>
          <w:szCs w:val="24"/>
        </w:rPr>
        <w:t>ALONE</w:t>
      </w:r>
      <w:r w:rsidRPr="00B90D5F">
        <w:rPr>
          <w:rFonts w:ascii="Times New Roman" w:eastAsia="Times New Roman" w:hAnsi="Times New Roman" w:cs="Times New Roman"/>
          <w:sz w:val="24"/>
          <w:szCs w:val="24"/>
        </w:rPr>
        <w:t xml:space="preserve">, 1998).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é, portanto, o conjunto de ativos intangíveis que não figuram nos balanços contábeis tradicionais, mas são determinantes na criação de valor e inovação contínua.</w:t>
      </w:r>
    </w:p>
    <w:p w14:paraId="5561FB1A" w14:textId="77777777" w:rsidR="004957F6" w:rsidRDefault="004957F6" w:rsidP="004957F6">
      <w:pPr>
        <w:pBdr>
          <w:top w:val="nil"/>
          <w:left w:val="nil"/>
          <w:bottom w:val="nil"/>
          <w:right w:val="nil"/>
          <w:between w:val="nil"/>
        </w:pBdr>
        <w:spacing w:before="2" w:line="360" w:lineRule="auto"/>
        <w:ind w:left="140" w:right="141"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Segundo Stewart (1998),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pode ser desdobrado em três dimensões: o capital humano, representado pelas habilidades, experiências e talentos dos colaboradores; o capital </w:t>
      </w:r>
      <w:r w:rsidRPr="00B90D5F">
        <w:rPr>
          <w:rFonts w:ascii="Times New Roman" w:eastAsia="Times New Roman" w:hAnsi="Times New Roman" w:cs="Times New Roman"/>
          <w:sz w:val="24"/>
          <w:szCs w:val="24"/>
        </w:rPr>
        <w:lastRenderedPageBreak/>
        <w:t>estrutural, que abarca os processos, sistemas, tecnologias e cultura institucional; e o capital relacional, que envolve o conjunto de relações internas e externas, incluindo parcerias, redes e clientes. Juntos, esses elementos operam como um ecossistema de inteligência coletiva.</w:t>
      </w:r>
    </w:p>
    <w:p w14:paraId="2AEAE78B" w14:textId="77777777" w:rsidR="004957F6" w:rsidRPr="00B90D5F" w:rsidRDefault="004957F6" w:rsidP="004957F6">
      <w:pPr>
        <w:pBdr>
          <w:top w:val="nil"/>
          <w:left w:val="nil"/>
          <w:bottom w:val="nil"/>
          <w:right w:val="nil"/>
          <w:between w:val="nil"/>
        </w:pBdr>
        <w:spacing w:before="2" w:line="360" w:lineRule="auto"/>
        <w:ind w:left="140" w:right="141" w:firstLine="708"/>
        <w:jc w:val="both"/>
        <w:rPr>
          <w:rFonts w:ascii="Times New Roman" w:eastAsia="Times New Roman" w:hAnsi="Times New Roman" w:cs="Times New Roman"/>
          <w:sz w:val="24"/>
          <w:szCs w:val="24"/>
        </w:rPr>
      </w:pPr>
      <w:r w:rsidRPr="009C67C4">
        <w:rPr>
          <w:rFonts w:ascii="Times New Roman" w:eastAsia="Times New Roman" w:hAnsi="Times New Roman" w:cs="Times New Roman"/>
          <w:sz w:val="24"/>
          <w:szCs w:val="24"/>
        </w:rPr>
        <w:t xml:space="preserve">Para Sveiby (1997), o </w:t>
      </w:r>
      <w:r>
        <w:rPr>
          <w:rFonts w:ascii="Times New Roman" w:eastAsia="Times New Roman" w:hAnsi="Times New Roman" w:cs="Times New Roman"/>
          <w:sz w:val="24"/>
          <w:szCs w:val="24"/>
        </w:rPr>
        <w:t>CI</w:t>
      </w:r>
      <w:r w:rsidRPr="009C67C4">
        <w:rPr>
          <w:rFonts w:ascii="Times New Roman" w:eastAsia="Times New Roman" w:hAnsi="Times New Roman" w:cs="Times New Roman"/>
          <w:sz w:val="24"/>
          <w:szCs w:val="24"/>
        </w:rPr>
        <w:t xml:space="preserve"> corresponde a um conjunto de ativos intangíveis baseados em conhecimento que permitem às organizações criar valor futuro. Esse entendimento amplia a visão contábil tradicional e insere as dimensões humanas, estruturais e relacionais como centrais para a sustentabilidade organizacional.</w:t>
      </w:r>
    </w:p>
    <w:p w14:paraId="10C183D5" w14:textId="4E633536" w:rsidR="004957F6" w:rsidRPr="00B90D5F" w:rsidRDefault="004957F6" w:rsidP="004957F6">
      <w:pPr>
        <w:pBdr>
          <w:top w:val="nil"/>
          <w:left w:val="nil"/>
          <w:bottom w:val="nil"/>
          <w:right w:val="nil"/>
          <w:between w:val="nil"/>
        </w:pBdr>
        <w:spacing w:line="360" w:lineRule="auto"/>
        <w:ind w:left="140" w:right="135"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No setor público, o conceito ganha contornos específicos. Aqui,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não visa a lucratividade, mas sim a prestação de serviços de interesse coletivo, a formulação de políticas públicas eficazes e a geração de valor público (</w:t>
      </w:r>
      <w:r w:rsidR="00615B2C" w:rsidRPr="00B90D5F">
        <w:rPr>
          <w:rFonts w:ascii="Times New Roman" w:eastAsia="Times New Roman" w:hAnsi="Times New Roman" w:cs="Times New Roman"/>
          <w:sz w:val="24"/>
          <w:szCs w:val="24"/>
        </w:rPr>
        <w:t>B</w:t>
      </w:r>
      <w:r w:rsidR="00615B2C">
        <w:rPr>
          <w:rFonts w:ascii="Times New Roman" w:eastAsia="Times New Roman" w:hAnsi="Times New Roman" w:cs="Times New Roman"/>
          <w:sz w:val="24"/>
          <w:szCs w:val="24"/>
        </w:rPr>
        <w:t>ONTIS</w:t>
      </w:r>
      <w:r w:rsidRPr="00B90D5F">
        <w:rPr>
          <w:rFonts w:ascii="Times New Roman" w:eastAsia="Times New Roman" w:hAnsi="Times New Roman" w:cs="Times New Roman"/>
          <w:sz w:val="24"/>
          <w:szCs w:val="24"/>
        </w:rPr>
        <w:t>, 2004). É nesse ambiente que o conhecimento tácito, aquele que reside na mente dos indivíduos, ganha protagonismo, pois muitas vezes não é formalizado nem transferido, permanecendo enclausurado nas práticas de poucos servidores experientes (</w:t>
      </w:r>
      <w:r w:rsidR="00615B2C" w:rsidRPr="00B90D5F">
        <w:rPr>
          <w:rFonts w:ascii="Times New Roman" w:eastAsia="Times New Roman" w:hAnsi="Times New Roman" w:cs="Times New Roman"/>
          <w:sz w:val="24"/>
          <w:szCs w:val="24"/>
        </w:rPr>
        <w:t>N</w:t>
      </w:r>
      <w:r w:rsidR="00615B2C">
        <w:rPr>
          <w:rFonts w:ascii="Times New Roman" w:eastAsia="Times New Roman" w:hAnsi="Times New Roman" w:cs="Times New Roman"/>
          <w:sz w:val="24"/>
          <w:szCs w:val="24"/>
        </w:rPr>
        <w:t>ONAKA</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T</w:t>
      </w:r>
      <w:r w:rsidR="00615B2C">
        <w:rPr>
          <w:rFonts w:ascii="Times New Roman" w:eastAsia="Times New Roman" w:hAnsi="Times New Roman" w:cs="Times New Roman"/>
          <w:sz w:val="24"/>
          <w:szCs w:val="24"/>
        </w:rPr>
        <w:t>AKEUCHI</w:t>
      </w:r>
      <w:r w:rsidR="00615B2C" w:rsidRPr="00B90D5F">
        <w:rPr>
          <w:rFonts w:ascii="Times New Roman" w:eastAsia="Times New Roman" w:hAnsi="Times New Roman" w:cs="Times New Roman"/>
          <w:sz w:val="24"/>
          <w:szCs w:val="24"/>
        </w:rPr>
        <w:t>,</w:t>
      </w:r>
      <w:r w:rsidRPr="00B90D5F">
        <w:rPr>
          <w:rFonts w:ascii="Times New Roman" w:eastAsia="Times New Roman" w:hAnsi="Times New Roman" w:cs="Times New Roman"/>
          <w:sz w:val="24"/>
          <w:szCs w:val="24"/>
        </w:rPr>
        <w:t xml:space="preserve"> 2009).</w:t>
      </w:r>
    </w:p>
    <w:p w14:paraId="6AEB4F07" w14:textId="77777777" w:rsidR="004957F6" w:rsidRPr="00B90D5F" w:rsidRDefault="004957F6" w:rsidP="004957F6">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Assim, compreender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como ativo estratégico em organizações públicas significa repensar as formas de produção, retenção e compartilhamento do conhecimento, especialmente diante de um cenário de mudanças constantes e saídas frequentes de profissionais-chave.</w:t>
      </w:r>
    </w:p>
    <w:p w14:paraId="6043B8C6" w14:textId="77777777" w:rsidR="004957F6" w:rsidRPr="007B5401" w:rsidRDefault="004957F6" w:rsidP="004957F6">
      <w:pPr>
        <w:pStyle w:val="Ttulo2"/>
        <w:numPr>
          <w:ilvl w:val="1"/>
          <w:numId w:val="4"/>
        </w:numPr>
        <w:tabs>
          <w:tab w:val="left" w:pos="606"/>
        </w:tabs>
        <w:spacing w:before="239"/>
        <w:ind w:left="606" w:hanging="466"/>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GESTÃO DO CONHECIMENTO NO SETOR PÚBLICO</w:t>
      </w:r>
    </w:p>
    <w:p w14:paraId="2114803D" w14:textId="18601555" w:rsidR="004957F6" w:rsidRDefault="004957F6" w:rsidP="004957F6">
      <w:pPr>
        <w:pBdr>
          <w:top w:val="nil"/>
          <w:left w:val="nil"/>
          <w:bottom w:val="nil"/>
          <w:right w:val="nil"/>
          <w:between w:val="nil"/>
        </w:pBdr>
        <w:spacing w:before="282" w:line="360" w:lineRule="auto"/>
        <w:ind w:left="140" w:right="144"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GC é uma resposta organizacional à volatilidade do saber. Trata-se de um campo teórico-prático que visa sistematizar, organizar, compartilhar e reutilizar o conhecimento de modo a gerar inovação e excelência organizacional (</w:t>
      </w:r>
      <w:r w:rsidR="00615B2C" w:rsidRPr="00B90D5F">
        <w:rPr>
          <w:rFonts w:ascii="Times New Roman" w:eastAsia="Times New Roman" w:hAnsi="Times New Roman" w:cs="Times New Roman"/>
          <w:sz w:val="24"/>
          <w:szCs w:val="24"/>
        </w:rPr>
        <w:t>D</w:t>
      </w:r>
      <w:r w:rsidR="00615B2C">
        <w:rPr>
          <w:rFonts w:ascii="Times New Roman" w:eastAsia="Times New Roman" w:hAnsi="Times New Roman" w:cs="Times New Roman"/>
          <w:sz w:val="24"/>
          <w:szCs w:val="24"/>
        </w:rPr>
        <w:t xml:space="preserve">AVENPORT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P</w:t>
      </w:r>
      <w:r w:rsidR="00615B2C">
        <w:rPr>
          <w:rFonts w:ascii="Times New Roman" w:eastAsia="Times New Roman" w:hAnsi="Times New Roman" w:cs="Times New Roman"/>
          <w:sz w:val="24"/>
          <w:szCs w:val="24"/>
        </w:rPr>
        <w:t>RUSAK</w:t>
      </w:r>
      <w:r w:rsidRPr="00B90D5F">
        <w:rPr>
          <w:rFonts w:ascii="Times New Roman" w:eastAsia="Times New Roman" w:hAnsi="Times New Roman" w:cs="Times New Roman"/>
          <w:sz w:val="24"/>
          <w:szCs w:val="24"/>
        </w:rPr>
        <w:t xml:space="preserve">, 1998). No setor público, a GC assume papel ainda mais relevante, pois lida com bens públicos, políticas sociais e demandas crescentes por eficiência e </w:t>
      </w:r>
      <w:r w:rsidRPr="00A36A84">
        <w:rPr>
          <w:rFonts w:ascii="Times New Roman" w:eastAsia="Times New Roman" w:hAnsi="Times New Roman" w:cs="Times New Roman"/>
          <w:i/>
          <w:iCs/>
          <w:sz w:val="24"/>
          <w:szCs w:val="24"/>
        </w:rPr>
        <w:t>accountability</w:t>
      </w:r>
      <w:r w:rsidRPr="00B90D5F">
        <w:rPr>
          <w:rFonts w:ascii="Times New Roman" w:eastAsia="Times New Roman" w:hAnsi="Times New Roman" w:cs="Times New Roman"/>
          <w:sz w:val="24"/>
          <w:szCs w:val="24"/>
        </w:rPr>
        <w:t>.</w:t>
      </w:r>
    </w:p>
    <w:p w14:paraId="2A8864C0" w14:textId="77777777" w:rsidR="004957F6" w:rsidRPr="00B90D5F" w:rsidRDefault="004957F6" w:rsidP="004957F6">
      <w:pPr>
        <w:pBdr>
          <w:top w:val="nil"/>
          <w:left w:val="nil"/>
          <w:bottom w:val="nil"/>
          <w:right w:val="nil"/>
          <w:between w:val="nil"/>
        </w:pBdr>
        <w:spacing w:line="360" w:lineRule="auto"/>
        <w:ind w:left="140" w:right="144" w:firstLine="708"/>
        <w:jc w:val="both"/>
        <w:rPr>
          <w:rFonts w:ascii="Times New Roman" w:eastAsia="Times New Roman" w:hAnsi="Times New Roman" w:cs="Times New Roman"/>
          <w:sz w:val="24"/>
          <w:szCs w:val="24"/>
        </w:rPr>
      </w:pPr>
      <w:r w:rsidRPr="009C67C4">
        <w:rPr>
          <w:rFonts w:ascii="Times New Roman" w:eastAsia="Times New Roman" w:hAnsi="Times New Roman" w:cs="Times New Roman"/>
          <w:sz w:val="24"/>
          <w:szCs w:val="24"/>
        </w:rPr>
        <w:t>Batista (2012) destaca que, no setor público brasileiro, a gestão do conhecimento não pode ser reduzida a técnicas de gestão privada, devendo incorporar princípios de transparência, participação social e criação de valor público, conforme discutido por Moore (199</w:t>
      </w:r>
      <w:r>
        <w:rPr>
          <w:rFonts w:ascii="Times New Roman" w:eastAsia="Times New Roman" w:hAnsi="Times New Roman" w:cs="Times New Roman"/>
          <w:sz w:val="24"/>
          <w:szCs w:val="24"/>
        </w:rPr>
        <w:t>7</w:t>
      </w:r>
      <w:r w:rsidRPr="009C67C4">
        <w:rPr>
          <w:rFonts w:ascii="Times New Roman" w:eastAsia="Times New Roman" w:hAnsi="Times New Roman" w:cs="Times New Roman"/>
          <w:sz w:val="24"/>
          <w:szCs w:val="24"/>
        </w:rPr>
        <w:t>).</w:t>
      </w:r>
    </w:p>
    <w:p w14:paraId="4D8DE341" w14:textId="683C0BB4" w:rsidR="004957F6" w:rsidRPr="00B90D5F" w:rsidRDefault="004957F6" w:rsidP="004957F6">
      <w:pPr>
        <w:pBdr>
          <w:top w:val="nil"/>
          <w:left w:val="nil"/>
          <w:bottom w:val="nil"/>
          <w:right w:val="nil"/>
          <w:between w:val="nil"/>
        </w:pBdr>
        <w:spacing w:line="360" w:lineRule="auto"/>
        <w:ind w:left="140" w:right="145"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Organizações governamentais, em especial, enfrentam obstáculos significativos para implantar práticas de GC. A rigidez burocrática, a fragmentação institucional, a resistência à mudança e a ausência de métricas eficazes dificultam o mapeamento e a valorização do conhecimento existente (</w:t>
      </w:r>
      <w:r w:rsidR="00615B2C" w:rsidRPr="00B90D5F">
        <w:rPr>
          <w:rFonts w:ascii="Times New Roman" w:eastAsia="Times New Roman" w:hAnsi="Times New Roman" w:cs="Times New Roman"/>
          <w:sz w:val="24"/>
          <w:szCs w:val="24"/>
        </w:rPr>
        <w:t>A</w:t>
      </w:r>
      <w:r w:rsidR="00615B2C">
        <w:rPr>
          <w:rFonts w:ascii="Times New Roman" w:eastAsia="Times New Roman" w:hAnsi="Times New Roman" w:cs="Times New Roman"/>
          <w:sz w:val="24"/>
          <w:szCs w:val="24"/>
        </w:rPr>
        <w:t>SHOK</w:t>
      </w:r>
      <w:r w:rsidRPr="00B90D5F">
        <w:rPr>
          <w:rFonts w:ascii="Times New Roman" w:eastAsia="Times New Roman" w:hAnsi="Times New Roman" w:cs="Times New Roman"/>
          <w:sz w:val="24"/>
          <w:szCs w:val="24"/>
        </w:rPr>
        <w:t xml:space="preserve"> </w:t>
      </w:r>
      <w:r w:rsidRPr="00B90D5F">
        <w:rPr>
          <w:rFonts w:ascii="Times New Roman" w:eastAsia="Times New Roman" w:hAnsi="Times New Roman" w:cs="Times New Roman"/>
          <w:i/>
          <w:sz w:val="24"/>
          <w:szCs w:val="24"/>
        </w:rPr>
        <w:t xml:space="preserve">et al., </w:t>
      </w:r>
      <w:r w:rsidRPr="00B90D5F">
        <w:rPr>
          <w:rFonts w:ascii="Times New Roman" w:eastAsia="Times New Roman" w:hAnsi="Times New Roman" w:cs="Times New Roman"/>
          <w:sz w:val="24"/>
          <w:szCs w:val="24"/>
        </w:rPr>
        <w:t xml:space="preserve">2021). Apesar disso, avanços são perceptíveis, </w:t>
      </w:r>
      <w:r w:rsidRPr="00B90D5F">
        <w:rPr>
          <w:rFonts w:ascii="Times New Roman" w:eastAsia="Times New Roman" w:hAnsi="Times New Roman" w:cs="Times New Roman"/>
          <w:sz w:val="24"/>
          <w:szCs w:val="24"/>
        </w:rPr>
        <w:lastRenderedPageBreak/>
        <w:t>como a criação de repositórios digitais, a sistematização de processos decisórios e a institucionalização de programas de capacitação.</w:t>
      </w:r>
    </w:p>
    <w:p w14:paraId="575415B8" w14:textId="470AD724" w:rsidR="004957F6" w:rsidRPr="00B90D5F" w:rsidRDefault="004957F6" w:rsidP="004957F6">
      <w:pPr>
        <w:pBdr>
          <w:top w:val="nil"/>
          <w:left w:val="nil"/>
          <w:bottom w:val="nil"/>
          <w:right w:val="nil"/>
          <w:between w:val="nil"/>
        </w:pBdr>
        <w:spacing w:line="360" w:lineRule="auto"/>
        <w:ind w:left="140" w:right="14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GC no setor público deve ir além do repositório documental: ela deve tornar o conhecimento disponível no momento certo, para as pessoas certas, no formato adequado. Trata-se de uma atuação estratégica, que envolve cultura organizacional, processos, liderança, tecnologias e sobretudo uma visão de longo prazo (</w:t>
      </w:r>
      <w:r w:rsidR="00615B2C" w:rsidRPr="00B90D5F">
        <w:rPr>
          <w:rFonts w:ascii="Times New Roman" w:eastAsia="Times New Roman" w:hAnsi="Times New Roman" w:cs="Times New Roman"/>
          <w:sz w:val="24"/>
          <w:szCs w:val="24"/>
        </w:rPr>
        <w:t>A</w:t>
      </w:r>
      <w:r w:rsidR="00615B2C">
        <w:rPr>
          <w:rFonts w:ascii="Times New Roman" w:eastAsia="Times New Roman" w:hAnsi="Times New Roman" w:cs="Times New Roman"/>
          <w:sz w:val="24"/>
          <w:szCs w:val="24"/>
        </w:rPr>
        <w:t>L-SURAIHI</w:t>
      </w:r>
      <w:r w:rsidR="00615B2C" w:rsidRPr="00B90D5F">
        <w:rPr>
          <w:rFonts w:ascii="Times New Roman" w:eastAsia="Times New Roman" w:hAnsi="Times New Roman" w:cs="Times New Roman"/>
          <w:sz w:val="24"/>
          <w:szCs w:val="24"/>
        </w:rPr>
        <w:t xml:space="preserve"> </w:t>
      </w:r>
      <w:r w:rsidRPr="00B90D5F">
        <w:rPr>
          <w:rFonts w:ascii="Times New Roman" w:eastAsia="Times New Roman" w:hAnsi="Times New Roman" w:cs="Times New Roman"/>
          <w:i/>
          <w:sz w:val="24"/>
          <w:szCs w:val="24"/>
        </w:rPr>
        <w:t xml:space="preserve">et al. </w:t>
      </w:r>
      <w:r w:rsidRPr="00B90D5F">
        <w:rPr>
          <w:rFonts w:ascii="Times New Roman" w:eastAsia="Times New Roman" w:hAnsi="Times New Roman" w:cs="Times New Roman"/>
          <w:sz w:val="24"/>
          <w:szCs w:val="24"/>
        </w:rPr>
        <w:t>2021).</w:t>
      </w:r>
    </w:p>
    <w:p w14:paraId="4FD21D44" w14:textId="77777777" w:rsidR="004957F6" w:rsidRPr="007B5401" w:rsidRDefault="004957F6" w:rsidP="004957F6">
      <w:pPr>
        <w:pStyle w:val="Ttulo2"/>
        <w:numPr>
          <w:ilvl w:val="1"/>
          <w:numId w:val="4"/>
        </w:numPr>
        <w:tabs>
          <w:tab w:val="left" w:pos="606"/>
        </w:tabs>
        <w:spacing w:before="239"/>
        <w:ind w:left="606" w:hanging="466"/>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IMPACTOS DA ROTATIVIDADE NO CONHECIMENTO ORGANIZACIONAL</w:t>
      </w:r>
    </w:p>
    <w:p w14:paraId="4AB9A959" w14:textId="268B88B3" w:rsidR="004957F6" w:rsidRDefault="004957F6" w:rsidP="004957F6">
      <w:pPr>
        <w:pBdr>
          <w:top w:val="nil"/>
          <w:left w:val="nil"/>
          <w:bottom w:val="nil"/>
          <w:right w:val="nil"/>
          <w:between w:val="nil"/>
        </w:pBdr>
        <w:spacing w:before="282" w:line="360" w:lineRule="auto"/>
        <w:ind w:left="140" w:right="14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rotatividade de servidores no setor público é um fenômeno multidimensional e recorrente. Envolve desde aposentadorias previstas até desligamentos imprevistos, transferências entre órgãos e, em muitos casos, perdas de profissionais estratégicos que acumulam conhecimento histórico de políticas e processos. Essa rotatividade é, ao mesmo tempo, um risco e uma oportunidade: pode abrir espaço à renovação, mas frequentemente representa erosão de conhecimento acumulado (</w:t>
      </w:r>
      <w:r w:rsidR="00615B2C" w:rsidRPr="00B90D5F">
        <w:rPr>
          <w:rFonts w:ascii="Times New Roman" w:eastAsia="Times New Roman" w:hAnsi="Times New Roman" w:cs="Times New Roman"/>
          <w:sz w:val="24"/>
          <w:szCs w:val="24"/>
        </w:rPr>
        <w:t>M</w:t>
      </w:r>
      <w:r w:rsidR="00615B2C">
        <w:rPr>
          <w:rFonts w:ascii="Times New Roman" w:eastAsia="Times New Roman" w:hAnsi="Times New Roman" w:cs="Times New Roman"/>
          <w:sz w:val="24"/>
          <w:szCs w:val="24"/>
        </w:rPr>
        <w:t>EIER</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H</w:t>
      </w:r>
      <w:r w:rsidR="00615B2C">
        <w:rPr>
          <w:rFonts w:ascii="Times New Roman" w:eastAsia="Times New Roman" w:hAnsi="Times New Roman" w:cs="Times New Roman"/>
          <w:sz w:val="24"/>
          <w:szCs w:val="24"/>
        </w:rPr>
        <w:t>ICKLIN</w:t>
      </w:r>
      <w:r>
        <w:rPr>
          <w:rFonts w:ascii="Times New Roman" w:eastAsia="Times New Roman" w:hAnsi="Times New Roman" w:cs="Times New Roman"/>
          <w:sz w:val="24"/>
          <w:szCs w:val="24"/>
        </w:rPr>
        <w:t>,</w:t>
      </w:r>
      <w:r w:rsidRPr="00B90D5F">
        <w:rPr>
          <w:rFonts w:ascii="Times New Roman" w:eastAsia="Times New Roman" w:hAnsi="Times New Roman" w:cs="Times New Roman"/>
          <w:sz w:val="24"/>
          <w:szCs w:val="24"/>
        </w:rPr>
        <w:t xml:space="preserve"> 2007).</w:t>
      </w:r>
    </w:p>
    <w:p w14:paraId="4FA28789" w14:textId="77777777" w:rsidR="004957F6" w:rsidRDefault="004957F6" w:rsidP="004957F6">
      <w:pPr>
        <w:pBdr>
          <w:top w:val="nil"/>
          <w:left w:val="nil"/>
          <w:bottom w:val="nil"/>
          <w:right w:val="nil"/>
          <w:between w:val="nil"/>
        </w:pBdr>
        <w:spacing w:line="360" w:lineRule="auto"/>
        <w:ind w:left="140" w:right="147" w:firstLine="708"/>
        <w:jc w:val="both"/>
        <w:rPr>
          <w:rFonts w:ascii="Times New Roman" w:eastAsia="Times New Roman" w:hAnsi="Times New Roman" w:cs="Times New Roman"/>
          <w:sz w:val="24"/>
          <w:szCs w:val="24"/>
        </w:rPr>
      </w:pPr>
      <w:r w:rsidRPr="00993D25">
        <w:rPr>
          <w:rFonts w:ascii="Times New Roman" w:eastAsia="Times New Roman" w:hAnsi="Times New Roman" w:cs="Times New Roman"/>
          <w:sz w:val="24"/>
          <w:szCs w:val="24"/>
        </w:rPr>
        <w:t xml:space="preserve">Segundo Walsh </w:t>
      </w:r>
      <w:r>
        <w:rPr>
          <w:rFonts w:ascii="Times New Roman" w:eastAsia="Times New Roman" w:hAnsi="Times New Roman" w:cs="Times New Roman"/>
          <w:sz w:val="24"/>
          <w:szCs w:val="24"/>
        </w:rPr>
        <w:t>e</w:t>
      </w:r>
      <w:r w:rsidRPr="00993D25">
        <w:rPr>
          <w:rFonts w:ascii="Times New Roman" w:eastAsia="Times New Roman" w:hAnsi="Times New Roman" w:cs="Times New Roman"/>
          <w:sz w:val="24"/>
          <w:szCs w:val="24"/>
        </w:rPr>
        <w:t xml:space="preserve"> Ungson (1991), a memória organizacional</w:t>
      </w:r>
      <w:r>
        <w:rPr>
          <w:rFonts w:ascii="Times New Roman" w:eastAsia="Times New Roman" w:hAnsi="Times New Roman" w:cs="Times New Roman"/>
          <w:sz w:val="24"/>
          <w:szCs w:val="24"/>
        </w:rPr>
        <w:t xml:space="preserve"> (MO)</w:t>
      </w:r>
      <w:r w:rsidRPr="00993D25">
        <w:rPr>
          <w:rFonts w:ascii="Times New Roman" w:eastAsia="Times New Roman" w:hAnsi="Times New Roman" w:cs="Times New Roman"/>
          <w:sz w:val="24"/>
          <w:szCs w:val="24"/>
        </w:rPr>
        <w:t xml:space="preserve"> constitui-se como um repositório coletivo de experiências e práticas que orientam decisões futuras.</w:t>
      </w:r>
      <w:r>
        <w:rPr>
          <w:rFonts w:ascii="Times New Roman" w:eastAsia="Times New Roman" w:hAnsi="Times New Roman" w:cs="Times New Roman"/>
          <w:sz w:val="24"/>
          <w:szCs w:val="24"/>
        </w:rPr>
        <w:t xml:space="preserve"> </w:t>
      </w:r>
      <w:r w:rsidRPr="00993D25">
        <w:rPr>
          <w:rFonts w:ascii="Times New Roman" w:eastAsia="Times New Roman" w:hAnsi="Times New Roman" w:cs="Times New Roman"/>
          <w:sz w:val="24"/>
          <w:szCs w:val="24"/>
        </w:rPr>
        <w:t>Quando a rotatividade não é acompanhada de mecanismos de preservação dessa memória, as organizações sofrem descontinuidades e perda de eficiência.</w:t>
      </w:r>
    </w:p>
    <w:p w14:paraId="29366232" w14:textId="36575D59" w:rsidR="004957F6" w:rsidRPr="00D068DE" w:rsidRDefault="004957F6" w:rsidP="004957F6">
      <w:pPr>
        <w:pBdr>
          <w:top w:val="nil"/>
          <w:left w:val="nil"/>
          <w:bottom w:val="nil"/>
          <w:right w:val="nil"/>
          <w:between w:val="nil"/>
        </w:pBdr>
        <w:spacing w:line="360" w:lineRule="auto"/>
        <w:ind w:left="140" w:right="14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 conhecimento organizacional, sobretudo o tácito, é o primeiro a ser impactado. Ao sair, um servidor leva consigo não apenas suas tarefas, mas toda a rede de significados, atalhos informais, padrões de resolução de problemas e saberes práticos não documentados. Essa perda não é apenas técnica, é principalmente institucional e histórica (</w:t>
      </w:r>
      <w:r w:rsidR="00615B2C" w:rsidRPr="00B90D5F">
        <w:rPr>
          <w:rFonts w:ascii="Times New Roman" w:eastAsia="Times New Roman" w:hAnsi="Times New Roman" w:cs="Times New Roman"/>
          <w:sz w:val="24"/>
          <w:szCs w:val="24"/>
        </w:rPr>
        <w:t>N</w:t>
      </w:r>
      <w:r w:rsidR="00615B2C">
        <w:rPr>
          <w:rFonts w:ascii="Times New Roman" w:eastAsia="Times New Roman" w:hAnsi="Times New Roman" w:cs="Times New Roman"/>
          <w:sz w:val="24"/>
          <w:szCs w:val="24"/>
        </w:rPr>
        <w:t>ONAKA</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T</w:t>
      </w:r>
      <w:r w:rsidR="00615B2C">
        <w:rPr>
          <w:rFonts w:ascii="Times New Roman" w:eastAsia="Times New Roman" w:hAnsi="Times New Roman" w:cs="Times New Roman"/>
          <w:sz w:val="24"/>
          <w:szCs w:val="24"/>
        </w:rPr>
        <w:t>AKEUCHI</w:t>
      </w:r>
      <w:r w:rsidR="00615B2C" w:rsidRPr="00B90D5F">
        <w:rPr>
          <w:rFonts w:ascii="Times New Roman" w:eastAsia="Times New Roman" w:hAnsi="Times New Roman" w:cs="Times New Roman"/>
          <w:sz w:val="24"/>
          <w:szCs w:val="24"/>
        </w:rPr>
        <w:t>,</w:t>
      </w:r>
      <w:r w:rsidRPr="00B90D5F">
        <w:rPr>
          <w:rFonts w:ascii="Times New Roman" w:eastAsia="Times New Roman" w:hAnsi="Times New Roman" w:cs="Times New Roman"/>
          <w:sz w:val="24"/>
          <w:szCs w:val="24"/>
        </w:rPr>
        <w:t xml:space="preserve"> 2009).</w:t>
      </w:r>
    </w:p>
    <w:p w14:paraId="2661E052" w14:textId="0523CDBD" w:rsidR="004957F6" w:rsidRPr="00B90D5F" w:rsidRDefault="004957F6" w:rsidP="004957F6">
      <w:pPr>
        <w:pBdr>
          <w:top w:val="nil"/>
          <w:left w:val="nil"/>
          <w:bottom w:val="nil"/>
          <w:right w:val="nil"/>
          <w:between w:val="nil"/>
        </w:pBdr>
        <w:spacing w:line="360" w:lineRule="auto"/>
        <w:ind w:left="140" w:right="13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Além disso, a rotatividade afeta a memória institucional. Quando descontinuidades ocorrem sem que haja planejamento sucessório ou mecanismos de retenção do conhecimento, a organização se torna refém da improvisação e da descontinuidade</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especialmente em áreas estratégicas, como planejamento, jurídico, orçamento e políticas públicas (</w:t>
      </w:r>
      <w:r w:rsidR="00615B2C" w:rsidRPr="00B90D5F">
        <w:rPr>
          <w:rFonts w:ascii="Times New Roman" w:eastAsia="Times New Roman" w:hAnsi="Times New Roman" w:cs="Times New Roman"/>
          <w:sz w:val="24"/>
          <w:szCs w:val="24"/>
        </w:rPr>
        <w:t>A</w:t>
      </w:r>
      <w:r w:rsidR="00615B2C">
        <w:rPr>
          <w:rFonts w:ascii="Times New Roman" w:eastAsia="Times New Roman" w:hAnsi="Times New Roman" w:cs="Times New Roman"/>
          <w:sz w:val="24"/>
          <w:szCs w:val="24"/>
        </w:rPr>
        <w:t>KHTARI</w:t>
      </w:r>
      <w:r>
        <w:rPr>
          <w:rFonts w:ascii="Times New Roman" w:eastAsia="Times New Roman" w:hAnsi="Times New Roman" w:cs="Times New Roman"/>
          <w:sz w:val="24"/>
          <w:szCs w:val="24"/>
        </w:rPr>
        <w:t xml:space="preserve"> </w:t>
      </w:r>
      <w:r w:rsidRPr="00993D25">
        <w:rPr>
          <w:rFonts w:ascii="Times New Roman" w:eastAsia="Times New Roman" w:hAnsi="Times New Roman" w:cs="Times New Roman"/>
          <w:i/>
          <w:iCs/>
          <w:sz w:val="24"/>
          <w:szCs w:val="24"/>
        </w:rPr>
        <w:t>et al.</w:t>
      </w:r>
      <w:r w:rsidRPr="00B90D5F">
        <w:rPr>
          <w:rFonts w:ascii="Times New Roman" w:eastAsia="Times New Roman" w:hAnsi="Times New Roman" w:cs="Times New Roman"/>
          <w:sz w:val="24"/>
          <w:szCs w:val="24"/>
        </w:rPr>
        <w:t xml:space="preserve"> 2017).</w:t>
      </w:r>
    </w:p>
    <w:p w14:paraId="13E7808F" w14:textId="77777777" w:rsidR="004957F6" w:rsidRPr="00B90D5F" w:rsidRDefault="004957F6" w:rsidP="004957F6">
      <w:pPr>
        <w:pBdr>
          <w:top w:val="nil"/>
          <w:left w:val="nil"/>
          <w:bottom w:val="nil"/>
          <w:right w:val="nil"/>
          <w:between w:val="nil"/>
        </w:pBdr>
        <w:spacing w:line="360" w:lineRule="auto"/>
        <w:ind w:left="140" w:right="136" w:firstLine="708"/>
        <w:jc w:val="both"/>
        <w:rPr>
          <w:rFonts w:ascii="Times New Roman" w:eastAsia="Times New Roman" w:hAnsi="Times New Roman" w:cs="Times New Roman"/>
          <w:sz w:val="24"/>
          <w:szCs w:val="24"/>
        </w:rPr>
      </w:pPr>
    </w:p>
    <w:p w14:paraId="333BAE77" w14:textId="77777777" w:rsidR="004957F6" w:rsidRPr="007B5401" w:rsidRDefault="004957F6" w:rsidP="004957F6">
      <w:pPr>
        <w:pStyle w:val="Ttulo2"/>
        <w:numPr>
          <w:ilvl w:val="1"/>
          <w:numId w:val="4"/>
        </w:numPr>
        <w:tabs>
          <w:tab w:val="left" w:pos="606"/>
        </w:tabs>
        <w:ind w:left="606" w:hanging="466"/>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lastRenderedPageBreak/>
        <w:t>ESTRATÉGIAS DE RETENÇÃO DO CONHECIMENTO</w:t>
      </w:r>
    </w:p>
    <w:p w14:paraId="13A0CDC5" w14:textId="547CBE66" w:rsidR="004957F6" w:rsidRDefault="004957F6" w:rsidP="004957F6">
      <w:pPr>
        <w:pBdr>
          <w:top w:val="nil"/>
          <w:left w:val="nil"/>
          <w:bottom w:val="nil"/>
          <w:right w:val="nil"/>
          <w:between w:val="nil"/>
        </w:pBdr>
        <w:spacing w:before="282" w:line="360" w:lineRule="auto"/>
        <w:ind w:left="140" w:right="139"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Diversas estratégias são apontadas na literatura para enfrentar os desafios da perda de conhecimento decorrente da rotatividade. Entre elas, destacam-se: programas de mentoria e tutoria, bancos de talentos, mapeamento de competências, entrevistas de saída, gestão de sucessão, comunidades de prática, </w:t>
      </w:r>
      <w:r w:rsidRPr="00A36A84">
        <w:rPr>
          <w:rFonts w:ascii="Times New Roman" w:eastAsia="Times New Roman" w:hAnsi="Times New Roman" w:cs="Times New Roman"/>
          <w:i/>
          <w:iCs/>
          <w:sz w:val="24"/>
          <w:szCs w:val="24"/>
        </w:rPr>
        <w:t>storytelling</w:t>
      </w:r>
      <w:r w:rsidRPr="00B90D5F">
        <w:rPr>
          <w:rFonts w:ascii="Times New Roman" w:eastAsia="Times New Roman" w:hAnsi="Times New Roman" w:cs="Times New Roman"/>
          <w:sz w:val="24"/>
          <w:szCs w:val="24"/>
        </w:rPr>
        <w:t xml:space="preserve"> organizacional, registros de lições aprendidas e uso de tecnologias sociais e colaborativas (</w:t>
      </w:r>
      <w:r w:rsidR="00615B2C" w:rsidRPr="00B90D5F">
        <w:rPr>
          <w:rFonts w:ascii="Times New Roman" w:eastAsia="Times New Roman" w:hAnsi="Times New Roman" w:cs="Times New Roman"/>
          <w:sz w:val="24"/>
          <w:szCs w:val="24"/>
        </w:rPr>
        <w:t>R</w:t>
      </w:r>
      <w:r w:rsidR="00615B2C">
        <w:rPr>
          <w:rFonts w:ascii="Times New Roman" w:eastAsia="Times New Roman" w:hAnsi="Times New Roman" w:cs="Times New Roman"/>
          <w:sz w:val="24"/>
          <w:szCs w:val="24"/>
        </w:rPr>
        <w:t>OBILLARD</w:t>
      </w:r>
      <w:r w:rsidRPr="00B90D5F">
        <w:rPr>
          <w:rFonts w:ascii="Times New Roman" w:eastAsia="Times New Roman" w:hAnsi="Times New Roman" w:cs="Times New Roman"/>
          <w:sz w:val="24"/>
          <w:szCs w:val="24"/>
        </w:rPr>
        <w:t>, 2021).</w:t>
      </w:r>
    </w:p>
    <w:p w14:paraId="1B02BD6F" w14:textId="54A46897" w:rsidR="004957F6" w:rsidRPr="00B90D5F" w:rsidRDefault="004957F6" w:rsidP="004957F6">
      <w:pPr>
        <w:pBdr>
          <w:top w:val="nil"/>
          <w:left w:val="nil"/>
          <w:bottom w:val="nil"/>
          <w:right w:val="nil"/>
          <w:between w:val="nil"/>
        </w:pBdr>
        <w:spacing w:line="360" w:lineRule="auto"/>
        <w:ind w:left="140" w:right="139" w:firstLine="708"/>
        <w:jc w:val="both"/>
        <w:rPr>
          <w:rFonts w:ascii="Times New Roman" w:eastAsia="Times New Roman" w:hAnsi="Times New Roman" w:cs="Times New Roman"/>
          <w:sz w:val="24"/>
          <w:szCs w:val="24"/>
        </w:rPr>
      </w:pPr>
      <w:r w:rsidRPr="001D133B">
        <w:rPr>
          <w:rFonts w:ascii="Times New Roman" w:eastAsia="Times New Roman" w:hAnsi="Times New Roman" w:cs="Times New Roman"/>
          <w:sz w:val="24"/>
          <w:szCs w:val="24"/>
        </w:rPr>
        <w:t>A OECD (20</w:t>
      </w:r>
      <w:r>
        <w:rPr>
          <w:rFonts w:ascii="Times New Roman" w:eastAsia="Times New Roman" w:hAnsi="Times New Roman" w:cs="Times New Roman"/>
          <w:sz w:val="24"/>
          <w:szCs w:val="24"/>
        </w:rPr>
        <w:t>10</w:t>
      </w:r>
      <w:r w:rsidRPr="001D133B">
        <w:rPr>
          <w:rFonts w:ascii="Times New Roman" w:eastAsia="Times New Roman" w:hAnsi="Times New Roman" w:cs="Times New Roman"/>
          <w:sz w:val="24"/>
          <w:szCs w:val="24"/>
        </w:rPr>
        <w:t>) enfatiza que governos devem adotar estratégias de gestão de sucessão e comunidades de prática (</w:t>
      </w:r>
      <w:r w:rsidR="00615B2C" w:rsidRPr="001D133B">
        <w:rPr>
          <w:rFonts w:ascii="Times New Roman" w:eastAsia="Times New Roman" w:hAnsi="Times New Roman" w:cs="Times New Roman"/>
          <w:sz w:val="24"/>
          <w:szCs w:val="24"/>
        </w:rPr>
        <w:t>WENGER</w:t>
      </w:r>
      <w:r w:rsidRPr="001D133B">
        <w:rPr>
          <w:rFonts w:ascii="Times New Roman" w:eastAsia="Times New Roman" w:hAnsi="Times New Roman" w:cs="Times New Roman"/>
          <w:sz w:val="24"/>
          <w:szCs w:val="24"/>
        </w:rPr>
        <w:t>, 1998) como instrumentos centrais para assegurar a continuidade da expertise e a transmissão do conhecimento tácito entre gerações de servidores.</w:t>
      </w:r>
    </w:p>
    <w:p w14:paraId="532A0E02" w14:textId="4634EE7A" w:rsidR="004957F6" w:rsidRPr="00B90D5F" w:rsidRDefault="004957F6" w:rsidP="004957F6">
      <w:pPr>
        <w:pBdr>
          <w:top w:val="nil"/>
          <w:left w:val="nil"/>
          <w:bottom w:val="nil"/>
          <w:right w:val="nil"/>
          <w:between w:val="nil"/>
        </w:pBdr>
        <w:spacing w:line="360" w:lineRule="auto"/>
        <w:ind w:left="140" w:right="144"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eficácia dessas estratégias, no entanto, depende da sua inserção em uma cultura de compartilhamento e valorização do saber. É necessário que as lideranças assumam o papel de facilitadoras da circulação do conhecimento e que os servidores sejam reconhecidos como agentes produtores e difusores desse ativo estratégico (</w:t>
      </w:r>
      <w:r w:rsidR="00615B2C" w:rsidRPr="00B90D5F">
        <w:rPr>
          <w:rFonts w:ascii="Times New Roman" w:eastAsia="Times New Roman" w:hAnsi="Times New Roman" w:cs="Times New Roman"/>
          <w:sz w:val="24"/>
          <w:szCs w:val="24"/>
        </w:rPr>
        <w:t>P</w:t>
      </w:r>
      <w:r w:rsidR="00615B2C">
        <w:rPr>
          <w:rFonts w:ascii="Times New Roman" w:eastAsia="Times New Roman" w:hAnsi="Times New Roman" w:cs="Times New Roman"/>
          <w:sz w:val="24"/>
          <w:szCs w:val="24"/>
        </w:rPr>
        <w:t>ARK</w:t>
      </w:r>
      <w:r>
        <w:rPr>
          <w:rFonts w:ascii="Times New Roman" w:eastAsia="Times New Roman" w:hAnsi="Times New Roman" w:cs="Times New Roman"/>
          <w:sz w:val="24"/>
          <w:szCs w:val="24"/>
        </w:rPr>
        <w:t xml:space="preserve"> e</w:t>
      </w:r>
      <w:r w:rsidRPr="00B90D5F">
        <w:rPr>
          <w:rFonts w:ascii="Times New Roman" w:eastAsia="Times New Roman" w:hAnsi="Times New Roman" w:cs="Times New Roman"/>
          <w:sz w:val="24"/>
          <w:szCs w:val="24"/>
        </w:rPr>
        <w:t xml:space="preserve"> </w:t>
      </w:r>
      <w:r w:rsidR="00615B2C" w:rsidRPr="00B90D5F">
        <w:rPr>
          <w:rFonts w:ascii="Times New Roman" w:eastAsia="Times New Roman" w:hAnsi="Times New Roman" w:cs="Times New Roman"/>
          <w:sz w:val="24"/>
          <w:szCs w:val="24"/>
        </w:rPr>
        <w:t>K</w:t>
      </w:r>
      <w:r w:rsidR="00615B2C">
        <w:rPr>
          <w:rFonts w:ascii="Times New Roman" w:eastAsia="Times New Roman" w:hAnsi="Times New Roman" w:cs="Times New Roman"/>
          <w:sz w:val="24"/>
          <w:szCs w:val="24"/>
        </w:rPr>
        <w:t>IM</w:t>
      </w:r>
      <w:r w:rsidRPr="00B90D5F">
        <w:rPr>
          <w:rFonts w:ascii="Times New Roman" w:eastAsia="Times New Roman" w:hAnsi="Times New Roman" w:cs="Times New Roman"/>
          <w:sz w:val="24"/>
          <w:szCs w:val="24"/>
        </w:rPr>
        <w:t>, 2018).</w:t>
      </w:r>
    </w:p>
    <w:p w14:paraId="0F6855E5" w14:textId="77777777" w:rsidR="004957F6" w:rsidRPr="00B90D5F" w:rsidRDefault="004957F6" w:rsidP="004957F6">
      <w:pPr>
        <w:pBdr>
          <w:top w:val="nil"/>
          <w:left w:val="nil"/>
          <w:bottom w:val="nil"/>
          <w:right w:val="nil"/>
          <w:between w:val="nil"/>
        </w:pBdr>
        <w:spacing w:line="360" w:lineRule="auto"/>
        <w:ind w:left="140" w:right="13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Além disso, o uso de plataformas digitais, como </w:t>
      </w:r>
      <w:r w:rsidRPr="00F26737">
        <w:rPr>
          <w:rFonts w:ascii="Times New Roman" w:eastAsia="Times New Roman" w:hAnsi="Times New Roman" w:cs="Times New Roman"/>
          <w:i/>
          <w:iCs/>
          <w:sz w:val="24"/>
          <w:szCs w:val="24"/>
        </w:rPr>
        <w:t>wikis</w:t>
      </w:r>
      <w:r w:rsidRPr="00B90D5F">
        <w:rPr>
          <w:rFonts w:ascii="Times New Roman" w:eastAsia="Times New Roman" w:hAnsi="Times New Roman" w:cs="Times New Roman"/>
          <w:sz w:val="24"/>
          <w:szCs w:val="24"/>
        </w:rPr>
        <w:t xml:space="preserve"> corporativas, redes internas e</w:t>
      </w:r>
      <w:r>
        <w:rPr>
          <w:rFonts w:ascii="Times New Roman" w:eastAsia="Times New Roman" w:hAnsi="Times New Roman" w:cs="Times New Roman"/>
          <w:sz w:val="24"/>
          <w:szCs w:val="24"/>
        </w:rPr>
        <w:t xml:space="preserve"> e sistemas de Gestão do conhecimento (SGCs)</w:t>
      </w:r>
      <w:r w:rsidRPr="00B90D5F">
        <w:rPr>
          <w:rFonts w:ascii="Times New Roman" w:eastAsia="Times New Roman" w:hAnsi="Times New Roman" w:cs="Times New Roman"/>
          <w:sz w:val="24"/>
          <w:szCs w:val="24"/>
        </w:rPr>
        <w:t>, tem sido uma tendência crescente, especialmente em tempos de virtualização do trabalho e transformação digital. Contudo, sem uma política institucional clara, essas ferramentas tornam-se meros depósitos de informações sem uso efetivo.</w:t>
      </w:r>
    </w:p>
    <w:p w14:paraId="6FCB8679" w14:textId="234AFCA9" w:rsidR="00D8471E" w:rsidRDefault="004957F6" w:rsidP="004957F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 desafio, portanto, não está apenas em reter conhecimento, mas em transformá-lo em inteligência organizacional acessível, transmissível e reutilizável (</w:t>
      </w:r>
      <w:r w:rsidR="00615B2C" w:rsidRPr="00B90D5F">
        <w:rPr>
          <w:rFonts w:ascii="Times New Roman" w:eastAsia="Times New Roman" w:hAnsi="Times New Roman" w:cs="Times New Roman"/>
          <w:sz w:val="24"/>
          <w:szCs w:val="24"/>
        </w:rPr>
        <w:t>R</w:t>
      </w:r>
      <w:r w:rsidR="00615B2C">
        <w:rPr>
          <w:rFonts w:ascii="Times New Roman" w:eastAsia="Times New Roman" w:hAnsi="Times New Roman" w:cs="Times New Roman"/>
          <w:sz w:val="24"/>
          <w:szCs w:val="24"/>
        </w:rPr>
        <w:t>OBILLARD</w:t>
      </w:r>
      <w:r w:rsidRPr="00B90D5F">
        <w:rPr>
          <w:rFonts w:ascii="Times New Roman" w:eastAsia="Times New Roman" w:hAnsi="Times New Roman" w:cs="Times New Roman"/>
          <w:sz w:val="24"/>
          <w:szCs w:val="24"/>
        </w:rPr>
        <w:t>, 2021).</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1EAFA3EC" w14:textId="17518F99" w:rsidR="007B5401" w:rsidRPr="00B90D5F" w:rsidRDefault="007B5401" w:rsidP="007B5401">
      <w:pPr>
        <w:pBdr>
          <w:top w:val="nil"/>
          <w:left w:val="nil"/>
          <w:bottom w:val="nil"/>
          <w:right w:val="nil"/>
          <w:between w:val="nil"/>
        </w:pBdr>
        <w:spacing w:before="282" w:line="360" w:lineRule="auto"/>
        <w:ind w:left="140" w:right="140"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metodologia adotada neste estudo ancora-se na estratégia da revisão sistemática da literatura, cuja finalidade primordial é identificar, analisar e sintetizar, de maneira objetiva, transparente e reprodutível, as evidências existentes na produção científica acerca de um problema delimitado. Essa abordagem, distinta da revisão narrativa tradicional, estrutura-se por critérios metodológicos rigorosos, assegurando robustez científica, minimização de vieses e abrangência do mapeamento teórico (</w:t>
      </w:r>
      <w:r w:rsidR="00615B2C" w:rsidRPr="00B90D5F">
        <w:rPr>
          <w:rFonts w:ascii="Times New Roman" w:eastAsia="Times New Roman" w:hAnsi="Times New Roman" w:cs="Times New Roman"/>
          <w:sz w:val="24"/>
          <w:szCs w:val="24"/>
        </w:rPr>
        <w:t>T</w:t>
      </w:r>
      <w:r w:rsidR="00615B2C">
        <w:rPr>
          <w:rFonts w:ascii="Times New Roman" w:eastAsia="Times New Roman" w:hAnsi="Times New Roman" w:cs="Times New Roman"/>
          <w:sz w:val="24"/>
          <w:szCs w:val="24"/>
        </w:rPr>
        <w:t>RANFIELD</w:t>
      </w:r>
      <w:r>
        <w:rPr>
          <w:rFonts w:ascii="Times New Roman" w:eastAsia="Times New Roman" w:hAnsi="Times New Roman" w:cs="Times New Roman"/>
          <w:sz w:val="24"/>
          <w:szCs w:val="24"/>
        </w:rPr>
        <w:t xml:space="preserve"> </w:t>
      </w:r>
      <w:r w:rsidRPr="00EA575C">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w:t>
      </w:r>
      <w:r w:rsidRPr="00B90D5F">
        <w:rPr>
          <w:rFonts w:ascii="Times New Roman" w:eastAsia="Times New Roman" w:hAnsi="Times New Roman" w:cs="Times New Roman"/>
          <w:sz w:val="24"/>
          <w:szCs w:val="24"/>
        </w:rPr>
        <w:t xml:space="preserve">, 2003). </w:t>
      </w:r>
    </w:p>
    <w:p w14:paraId="53304A02" w14:textId="77777777" w:rsidR="007B5401" w:rsidRPr="00B90D5F" w:rsidRDefault="007B5401" w:rsidP="007B5401">
      <w:pPr>
        <w:pBdr>
          <w:top w:val="nil"/>
          <w:left w:val="nil"/>
          <w:bottom w:val="nil"/>
          <w:right w:val="nil"/>
          <w:between w:val="nil"/>
        </w:pBdr>
        <w:spacing w:before="1" w:after="240" w:line="360" w:lineRule="auto"/>
        <w:ind w:left="140" w:right="13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escolha pela revisão sistemática justifica-se pela natureza investigativa que norteia a questão central deste trabalho: compreender as estratégias de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no setor público </w:t>
      </w:r>
      <w:r w:rsidRPr="00B90D5F">
        <w:rPr>
          <w:rFonts w:ascii="Times New Roman" w:eastAsia="Times New Roman" w:hAnsi="Times New Roman" w:cs="Times New Roman"/>
          <w:sz w:val="24"/>
          <w:szCs w:val="24"/>
        </w:rPr>
        <w:lastRenderedPageBreak/>
        <w:t>para retenção do conhecimento diante da rotatividade de servidores. Trata-se de um campo de investigação em expansão, fragmentado em múltiplos estudos, dispersos entre distintas abordagens teóricas e contextos institucionais. A revisão sistemática, portanto, permite construir uma visão panorâmica, crítica e analítica sobre o estado da arte do tema.</w:t>
      </w:r>
    </w:p>
    <w:p w14:paraId="1DACD4C2" w14:textId="77777777" w:rsidR="007B5401" w:rsidRPr="007B5401" w:rsidRDefault="007B5401" w:rsidP="007B5401">
      <w:pPr>
        <w:pStyle w:val="PargrafodaLista"/>
        <w:keepNext/>
        <w:keepLines/>
        <w:numPr>
          <w:ilvl w:val="0"/>
          <w:numId w:val="4"/>
        </w:numPr>
        <w:tabs>
          <w:tab w:val="left" w:pos="606"/>
        </w:tabs>
        <w:spacing w:before="360" w:after="120"/>
        <w:contextualSpacing w:val="0"/>
        <w:outlineLvl w:val="1"/>
        <w:rPr>
          <w:rFonts w:ascii="Times New Roman" w:eastAsia="Times New Roman" w:hAnsi="Times New Roman" w:cs="Times New Roman"/>
          <w:bCs/>
          <w:vanish/>
          <w:sz w:val="24"/>
          <w:szCs w:val="24"/>
        </w:rPr>
      </w:pPr>
    </w:p>
    <w:p w14:paraId="7E940E2F" w14:textId="2037F488" w:rsidR="007B5401" w:rsidRPr="007B5401" w:rsidRDefault="007B5401" w:rsidP="007B5401">
      <w:pPr>
        <w:pStyle w:val="Ttulo2"/>
        <w:numPr>
          <w:ilvl w:val="1"/>
          <w:numId w:val="4"/>
        </w:numPr>
        <w:tabs>
          <w:tab w:val="left" w:pos="606"/>
        </w:tabs>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DELINEAMENTO E PROTOCOLOS DE PESQUISA</w:t>
      </w:r>
    </w:p>
    <w:p w14:paraId="10F10AA7" w14:textId="77777777" w:rsidR="007B5401" w:rsidRPr="004D094F" w:rsidRDefault="007B5401" w:rsidP="007B5401">
      <w:pPr>
        <w:pBdr>
          <w:top w:val="nil"/>
          <w:left w:val="nil"/>
          <w:bottom w:val="nil"/>
          <w:right w:val="nil"/>
          <w:between w:val="nil"/>
        </w:pBdr>
        <w:spacing w:before="282"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Para garantir transparência e reprodutibilidade, foi elaborado um protocolo metodológico contendo: (a) a formulação da questão de pesquisa; (b) a definição dos critérios de inclusão e exclusão; (c) a seleção das bases de dados e descritores; (d) o processo de extração, análise e categorização dos dados.</w:t>
      </w:r>
      <w:r>
        <w:rPr>
          <w:rFonts w:ascii="Times New Roman" w:eastAsia="Times New Roman" w:hAnsi="Times New Roman" w:cs="Times New Roman"/>
          <w:sz w:val="24"/>
          <w:szCs w:val="24"/>
        </w:rPr>
        <w:t xml:space="preserve"> </w:t>
      </w:r>
      <w:r w:rsidRPr="004D094F">
        <w:rPr>
          <w:rFonts w:ascii="Times New Roman" w:eastAsia="Times New Roman" w:hAnsi="Times New Roman" w:cs="Times New Roman"/>
          <w:sz w:val="24"/>
          <w:szCs w:val="24"/>
        </w:rPr>
        <w:t>Os critérios de inclusão abrangeram artigos publicados entre 2009 e 2025, em periódicos revisados por pares, redigidos em português e inglês.</w:t>
      </w:r>
    </w:p>
    <w:p w14:paraId="0A32599A" w14:textId="77777777" w:rsidR="007B5401" w:rsidRPr="00B90D5F" w:rsidRDefault="007B5401" w:rsidP="007B5401">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 O delineamento seguiu os princípios do modelo </w:t>
      </w:r>
      <w:r>
        <w:rPr>
          <w:rFonts w:ascii="Times New Roman" w:eastAsia="Times New Roman" w:hAnsi="Times New Roman" w:cs="Times New Roman"/>
          <w:sz w:val="24"/>
          <w:szCs w:val="24"/>
        </w:rPr>
        <w:t xml:space="preserve">The </w:t>
      </w:r>
      <w:r w:rsidRPr="00B90D5F">
        <w:rPr>
          <w:rFonts w:ascii="Times New Roman" w:eastAsia="Times New Roman" w:hAnsi="Times New Roman" w:cs="Times New Roman"/>
          <w:sz w:val="24"/>
          <w:szCs w:val="24"/>
        </w:rPr>
        <w:t>PRISMA</w:t>
      </w:r>
      <w:r>
        <w:rPr>
          <w:rFonts w:ascii="Times New Roman" w:eastAsia="Times New Roman" w:hAnsi="Times New Roman" w:cs="Times New Roman"/>
          <w:sz w:val="24"/>
          <w:szCs w:val="24"/>
        </w:rPr>
        <w:t xml:space="preserve"> 2020 s</w:t>
      </w:r>
      <w:r w:rsidRPr="0028040C">
        <w:rPr>
          <w:rFonts w:ascii="Times New Roman" w:eastAsia="Times New Roman" w:hAnsi="Times New Roman" w:cs="Times New Roman"/>
          <w:sz w:val="24"/>
          <w:szCs w:val="24"/>
        </w:rPr>
        <w:t>tatement: an updated guideline for reporting systematic reviews</w:t>
      </w:r>
      <w:r>
        <w:rPr>
          <w:rFonts w:ascii="Times New Roman" w:eastAsia="Times New Roman" w:hAnsi="Times New Roman" w:cs="Times New Roman"/>
          <w:sz w:val="24"/>
          <w:szCs w:val="24"/>
        </w:rPr>
        <w:t xml:space="preserve">, </w:t>
      </w:r>
      <w:r w:rsidRPr="0028040C">
        <w:rPr>
          <w:rFonts w:ascii="Times New Roman" w:eastAsia="Times New Roman" w:hAnsi="Times New Roman" w:cs="Times New Roman"/>
          <w:sz w:val="24"/>
          <w:szCs w:val="24"/>
        </w:rPr>
        <w:t xml:space="preserve">Page </w:t>
      </w:r>
      <w:r w:rsidRPr="0028040C">
        <w:rPr>
          <w:rFonts w:ascii="Times New Roman" w:eastAsia="Times New Roman" w:hAnsi="Times New Roman" w:cs="Times New Roman"/>
          <w:i/>
          <w:iCs/>
          <w:sz w:val="24"/>
          <w:szCs w:val="24"/>
        </w:rPr>
        <w:t>et al</w:t>
      </w:r>
      <w:r w:rsidRPr="0028040C">
        <w:rPr>
          <w:rFonts w:ascii="Times New Roman" w:eastAsia="Times New Roman" w:hAnsi="Times New Roman" w:cs="Times New Roman"/>
          <w:sz w:val="24"/>
          <w:szCs w:val="24"/>
        </w:rPr>
        <w:t>. (2022)</w:t>
      </w:r>
      <w:r w:rsidRPr="00B90D5F">
        <w:rPr>
          <w:rFonts w:ascii="Times New Roman" w:eastAsia="Times New Roman" w:hAnsi="Times New Roman" w:cs="Times New Roman"/>
          <w:sz w:val="24"/>
          <w:szCs w:val="24"/>
        </w:rPr>
        <w:t>, adaptado à realidade das Ciências Sociais Aplicadas. A questão de pesquisa foi formulada com base na lógica PICo (Population, Interest, Context):</w:t>
      </w:r>
    </w:p>
    <w:p w14:paraId="48A40D83" w14:textId="77777777" w:rsidR="007B5401" w:rsidRPr="00B90D5F" w:rsidRDefault="007B5401" w:rsidP="007B5401">
      <w:pPr>
        <w:widowControl w:val="0"/>
        <w:numPr>
          <w:ilvl w:val="2"/>
          <w:numId w:val="4"/>
        </w:numPr>
        <w:pBdr>
          <w:top w:val="nil"/>
          <w:left w:val="nil"/>
          <w:bottom w:val="nil"/>
          <w:right w:val="nil"/>
          <w:between w:val="nil"/>
        </w:pBdr>
        <w:tabs>
          <w:tab w:val="left" w:pos="819"/>
        </w:tabs>
        <w:spacing w:before="260" w:line="240" w:lineRule="auto"/>
        <w:ind w:left="819" w:hanging="337"/>
        <w:jc w:val="both"/>
        <w:rPr>
          <w:rFonts w:ascii="Times New Roman" w:eastAsia="Times New Roman" w:hAnsi="Times New Roman" w:cs="Times New Roman"/>
          <w:bCs/>
          <w:sz w:val="24"/>
          <w:szCs w:val="24"/>
        </w:rPr>
      </w:pPr>
      <w:r w:rsidRPr="00B90D5F">
        <w:rPr>
          <w:rFonts w:ascii="Times New Roman" w:eastAsia="Times New Roman" w:hAnsi="Times New Roman" w:cs="Times New Roman"/>
          <w:bCs/>
          <w:sz w:val="24"/>
          <w:szCs w:val="24"/>
        </w:rPr>
        <w:t>População</w:t>
      </w:r>
      <w:r>
        <w:rPr>
          <w:rFonts w:ascii="Times New Roman" w:eastAsia="Times New Roman" w:hAnsi="Times New Roman" w:cs="Times New Roman"/>
          <w:bCs/>
          <w:sz w:val="24"/>
          <w:szCs w:val="24"/>
        </w:rPr>
        <w:t xml:space="preserve"> </w:t>
      </w:r>
      <w:r w:rsidRPr="009B0580">
        <w:rPr>
          <w:rFonts w:ascii="Times New Roman" w:eastAsia="Times New Roman" w:hAnsi="Times New Roman" w:cs="Times New Roman"/>
          <w:bCs/>
          <w:sz w:val="24"/>
          <w:szCs w:val="24"/>
        </w:rPr>
        <w:t>(</w:t>
      </w:r>
      <w:r w:rsidRPr="009B0580">
        <w:rPr>
          <w:rFonts w:ascii="Times New Roman" w:eastAsia="Times New Roman" w:hAnsi="Times New Roman" w:cs="Times New Roman"/>
          <w:bCs/>
          <w:i/>
          <w:iCs/>
          <w:sz w:val="24"/>
          <w:szCs w:val="24"/>
        </w:rPr>
        <w:t>Population</w:t>
      </w:r>
      <w:r w:rsidRPr="009B0580">
        <w:rPr>
          <w:rFonts w:ascii="Times New Roman" w:eastAsia="Times New Roman" w:hAnsi="Times New Roman" w:cs="Times New Roman"/>
          <w:bCs/>
          <w:sz w:val="24"/>
          <w:szCs w:val="24"/>
        </w:rPr>
        <w:t>)</w:t>
      </w:r>
      <w:r w:rsidRPr="00B90D5F">
        <w:rPr>
          <w:rFonts w:ascii="Times New Roman" w:eastAsia="Times New Roman" w:hAnsi="Times New Roman" w:cs="Times New Roman"/>
          <w:bCs/>
          <w:sz w:val="24"/>
          <w:szCs w:val="24"/>
        </w:rPr>
        <w:t>: organizações públicas;</w:t>
      </w:r>
    </w:p>
    <w:p w14:paraId="58A726A4" w14:textId="77777777" w:rsidR="007B5401" w:rsidRPr="00B90D5F" w:rsidRDefault="007B5401" w:rsidP="007B5401">
      <w:pPr>
        <w:widowControl w:val="0"/>
        <w:numPr>
          <w:ilvl w:val="2"/>
          <w:numId w:val="4"/>
        </w:numPr>
        <w:pBdr>
          <w:top w:val="nil"/>
          <w:left w:val="nil"/>
          <w:bottom w:val="nil"/>
          <w:right w:val="nil"/>
          <w:between w:val="nil"/>
        </w:pBdr>
        <w:tabs>
          <w:tab w:val="left" w:pos="819"/>
        </w:tabs>
        <w:spacing w:before="256" w:line="240" w:lineRule="auto"/>
        <w:ind w:left="819" w:hanging="337"/>
        <w:jc w:val="both"/>
        <w:rPr>
          <w:rFonts w:ascii="Times New Roman" w:eastAsia="Times New Roman" w:hAnsi="Times New Roman" w:cs="Times New Roman"/>
          <w:bCs/>
          <w:sz w:val="24"/>
          <w:szCs w:val="24"/>
        </w:rPr>
      </w:pPr>
      <w:r w:rsidRPr="00B90D5F">
        <w:rPr>
          <w:rFonts w:ascii="Times New Roman" w:eastAsia="Times New Roman" w:hAnsi="Times New Roman" w:cs="Times New Roman"/>
          <w:bCs/>
          <w:sz w:val="24"/>
          <w:szCs w:val="24"/>
        </w:rPr>
        <w:t>Interesse</w:t>
      </w:r>
      <w:r>
        <w:rPr>
          <w:rFonts w:ascii="Times New Roman" w:eastAsia="Times New Roman" w:hAnsi="Times New Roman" w:cs="Times New Roman"/>
          <w:bCs/>
          <w:sz w:val="24"/>
          <w:szCs w:val="24"/>
        </w:rPr>
        <w:t xml:space="preserve"> </w:t>
      </w:r>
      <w:r w:rsidRPr="009B0580">
        <w:rPr>
          <w:rFonts w:ascii="Times New Roman" w:eastAsia="Times New Roman" w:hAnsi="Times New Roman" w:cs="Times New Roman"/>
          <w:bCs/>
          <w:sz w:val="24"/>
          <w:szCs w:val="24"/>
        </w:rPr>
        <w:t>(</w:t>
      </w:r>
      <w:r w:rsidRPr="009B0580">
        <w:rPr>
          <w:rFonts w:ascii="Times New Roman" w:eastAsia="Times New Roman" w:hAnsi="Times New Roman" w:cs="Times New Roman"/>
          <w:bCs/>
          <w:i/>
          <w:iCs/>
          <w:sz w:val="24"/>
          <w:szCs w:val="24"/>
        </w:rPr>
        <w:t>Interest</w:t>
      </w:r>
      <w:r w:rsidRPr="009B0580">
        <w:rPr>
          <w:rFonts w:ascii="Times New Roman" w:eastAsia="Times New Roman" w:hAnsi="Times New Roman" w:cs="Times New Roman"/>
          <w:bCs/>
          <w:sz w:val="24"/>
          <w:szCs w:val="24"/>
        </w:rPr>
        <w:t>)</w:t>
      </w:r>
      <w:r w:rsidRPr="00B90D5F">
        <w:rPr>
          <w:rFonts w:ascii="Times New Roman" w:eastAsia="Times New Roman" w:hAnsi="Times New Roman" w:cs="Times New Roman"/>
          <w:bCs/>
          <w:sz w:val="24"/>
          <w:szCs w:val="24"/>
        </w:rPr>
        <w:t xml:space="preserve">: estratégias de retenção do conhecimento 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bCs/>
          <w:sz w:val="24"/>
          <w:szCs w:val="24"/>
        </w:rPr>
        <w:t>;</w:t>
      </w:r>
    </w:p>
    <w:p w14:paraId="1F82496E" w14:textId="77777777" w:rsidR="007B5401" w:rsidRPr="00B90D5F" w:rsidRDefault="007B5401" w:rsidP="007B5401">
      <w:pPr>
        <w:widowControl w:val="0"/>
        <w:numPr>
          <w:ilvl w:val="2"/>
          <w:numId w:val="4"/>
        </w:numPr>
        <w:pBdr>
          <w:top w:val="nil"/>
          <w:left w:val="nil"/>
          <w:bottom w:val="nil"/>
          <w:right w:val="nil"/>
          <w:between w:val="nil"/>
        </w:pBdr>
        <w:tabs>
          <w:tab w:val="left" w:pos="819"/>
        </w:tabs>
        <w:spacing w:before="260" w:line="240" w:lineRule="auto"/>
        <w:ind w:left="819" w:hanging="337"/>
        <w:jc w:val="both"/>
        <w:rPr>
          <w:rFonts w:ascii="Times New Roman" w:eastAsia="Times New Roman" w:hAnsi="Times New Roman" w:cs="Times New Roman"/>
          <w:sz w:val="24"/>
          <w:szCs w:val="24"/>
        </w:rPr>
      </w:pPr>
      <w:r w:rsidRPr="00B90D5F">
        <w:rPr>
          <w:rFonts w:ascii="Times New Roman" w:eastAsia="Times New Roman" w:hAnsi="Times New Roman" w:cs="Times New Roman"/>
          <w:bCs/>
          <w:sz w:val="24"/>
          <w:szCs w:val="24"/>
        </w:rPr>
        <w:t>Contexto</w:t>
      </w:r>
      <w:r>
        <w:rPr>
          <w:rFonts w:ascii="Times New Roman" w:eastAsia="Times New Roman" w:hAnsi="Times New Roman" w:cs="Times New Roman"/>
          <w:bCs/>
          <w:sz w:val="24"/>
          <w:szCs w:val="24"/>
        </w:rPr>
        <w:t xml:space="preserve"> </w:t>
      </w:r>
      <w:r w:rsidRPr="00DA5491">
        <w:rPr>
          <w:rFonts w:ascii="Times New Roman" w:eastAsia="Times New Roman" w:hAnsi="Times New Roman" w:cs="Times New Roman"/>
          <w:bCs/>
          <w:sz w:val="24"/>
          <w:szCs w:val="24"/>
        </w:rPr>
        <w:t>(</w:t>
      </w:r>
      <w:r w:rsidRPr="00DA5491">
        <w:rPr>
          <w:rFonts w:ascii="Times New Roman" w:eastAsia="Times New Roman" w:hAnsi="Times New Roman" w:cs="Times New Roman"/>
          <w:bCs/>
          <w:i/>
          <w:iCs/>
          <w:sz w:val="24"/>
          <w:szCs w:val="24"/>
        </w:rPr>
        <w:t>Context</w:t>
      </w:r>
      <w:r>
        <w:rPr>
          <w:rFonts w:ascii="Times New Roman" w:eastAsia="Times New Roman" w:hAnsi="Times New Roman" w:cs="Times New Roman"/>
          <w:bCs/>
          <w:sz w:val="24"/>
          <w:szCs w:val="24"/>
        </w:rPr>
        <w:t>)</w:t>
      </w:r>
      <w:r w:rsidRPr="00B90D5F">
        <w:rPr>
          <w:rFonts w:ascii="Times New Roman" w:eastAsia="Times New Roman" w:hAnsi="Times New Roman" w:cs="Times New Roman"/>
          <w:bCs/>
          <w:sz w:val="24"/>
          <w:szCs w:val="24"/>
        </w:rPr>
        <w:t>: rotatividade de</w:t>
      </w:r>
      <w:r w:rsidRPr="00B90D5F">
        <w:rPr>
          <w:rFonts w:ascii="Times New Roman" w:eastAsia="Times New Roman" w:hAnsi="Times New Roman" w:cs="Times New Roman"/>
          <w:sz w:val="24"/>
          <w:szCs w:val="24"/>
        </w:rPr>
        <w:t xml:space="preserve"> servidores.</w:t>
      </w:r>
    </w:p>
    <w:p w14:paraId="6447D15B" w14:textId="77777777" w:rsidR="007B5401" w:rsidRPr="00B90D5F" w:rsidRDefault="007B5401" w:rsidP="007B5401">
      <w:pPr>
        <w:pBdr>
          <w:top w:val="nil"/>
          <w:left w:val="nil"/>
          <w:bottom w:val="nil"/>
          <w:right w:val="nil"/>
          <w:between w:val="nil"/>
        </w:pBdr>
        <w:spacing w:before="256" w:line="360" w:lineRule="auto"/>
        <w:ind w:left="140" w:right="142"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pergunta norteadora foi: Quais estratégias de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vêm sendo adotadas por organizações públicas para enfrentar os impactos da rotatividade e reter o conhecimento institucional?</w:t>
      </w:r>
    </w:p>
    <w:p w14:paraId="32378C71" w14:textId="77777777" w:rsidR="007B5401" w:rsidRPr="007B5401" w:rsidRDefault="007B5401" w:rsidP="007B5401">
      <w:pPr>
        <w:pStyle w:val="Ttulo2"/>
        <w:numPr>
          <w:ilvl w:val="1"/>
          <w:numId w:val="4"/>
        </w:numPr>
        <w:tabs>
          <w:tab w:val="left" w:pos="609"/>
        </w:tabs>
        <w:spacing w:before="241"/>
        <w:ind w:left="609" w:hanging="469"/>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FONTES DE DADOS E ESTRATÉGIA DE BUSCA</w:t>
      </w:r>
    </w:p>
    <w:p w14:paraId="26A35316" w14:textId="62B72A4A" w:rsidR="007B5401" w:rsidRPr="00B90D5F" w:rsidRDefault="007B5401" w:rsidP="007B5401">
      <w:pPr>
        <w:pBdr>
          <w:top w:val="nil"/>
          <w:left w:val="nil"/>
          <w:bottom w:val="nil"/>
          <w:right w:val="nil"/>
          <w:between w:val="nil"/>
        </w:pBdr>
        <w:spacing w:before="282"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coleta de dados ocorreu entre maio e julho de 2025, na base indexadora Web of Science. Foram utilizados os seguintes descritores em português e inglês:</w:t>
      </w:r>
    </w:p>
    <w:p w14:paraId="41EC300E" w14:textId="49885DDF" w:rsidR="007B5401" w:rsidRPr="007B5401" w:rsidRDefault="007B5401" w:rsidP="007B5401">
      <w:pPr>
        <w:pStyle w:val="Ttulo3"/>
        <w:numPr>
          <w:ilvl w:val="2"/>
          <w:numId w:val="4"/>
        </w:numPr>
        <w:spacing w:before="0" w:after="240"/>
        <w:ind w:left="993" w:hanging="284"/>
        <w:rPr>
          <w:rFonts w:ascii="Times New Roman" w:eastAsia="Times New Roman" w:hAnsi="Times New Roman" w:cs="Times New Roman"/>
          <w:b/>
          <w:color w:val="auto"/>
          <w:sz w:val="24"/>
          <w:szCs w:val="24"/>
        </w:rPr>
      </w:pPr>
      <w:r w:rsidRPr="007B5401">
        <w:rPr>
          <w:rFonts w:ascii="Times New Roman" w:eastAsia="Times New Roman" w:hAnsi="Times New Roman" w:cs="Times New Roman"/>
          <w:color w:val="auto"/>
          <w:sz w:val="24"/>
          <w:szCs w:val="24"/>
        </w:rPr>
        <w:t xml:space="preserve">“Gestão do conhecimento” </w:t>
      </w:r>
      <w:r w:rsidRPr="00615B2C">
        <w:rPr>
          <w:rFonts w:ascii="Times New Roman" w:eastAsia="Times New Roman" w:hAnsi="Times New Roman" w:cs="Times New Roman"/>
          <w:i/>
          <w:iCs/>
          <w:color w:val="auto"/>
          <w:sz w:val="24"/>
          <w:szCs w:val="24"/>
        </w:rPr>
        <w:t>AND</w:t>
      </w:r>
      <w:r w:rsidRPr="007B5401">
        <w:rPr>
          <w:rFonts w:ascii="Times New Roman" w:eastAsia="Times New Roman" w:hAnsi="Times New Roman" w:cs="Times New Roman"/>
          <w:color w:val="auto"/>
          <w:sz w:val="24"/>
          <w:szCs w:val="24"/>
        </w:rPr>
        <w:t xml:space="preserve"> “setor público”, identificado um estudo.</w:t>
      </w:r>
    </w:p>
    <w:p w14:paraId="1CFC6A92" w14:textId="77777777" w:rsidR="007B5401" w:rsidRPr="00B90D5F" w:rsidRDefault="007B5401" w:rsidP="007B5401">
      <w:pPr>
        <w:widowControl w:val="0"/>
        <w:numPr>
          <w:ilvl w:val="2"/>
          <w:numId w:val="4"/>
        </w:numPr>
        <w:pBdr>
          <w:top w:val="nil"/>
          <w:left w:val="nil"/>
          <w:bottom w:val="nil"/>
          <w:right w:val="nil"/>
          <w:between w:val="nil"/>
        </w:pBdr>
        <w:tabs>
          <w:tab w:val="left" w:pos="818"/>
          <w:tab w:val="left" w:pos="820"/>
        </w:tabs>
        <w:spacing w:before="120" w:line="360" w:lineRule="auto"/>
        <w:ind w:right="145"/>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w:t>
      </w:r>
      <w:r w:rsidRPr="00615B2C">
        <w:rPr>
          <w:rFonts w:ascii="Times New Roman" w:eastAsia="Times New Roman" w:hAnsi="Times New Roman" w:cs="Times New Roman"/>
          <w:i/>
          <w:iCs/>
          <w:sz w:val="24"/>
          <w:szCs w:val="24"/>
        </w:rPr>
        <w:t>Knowledge management</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AND</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public sector</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AND</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Intellectual capital</w:t>
      </w:r>
      <w:r w:rsidRPr="00B90D5F">
        <w:rPr>
          <w:rFonts w:ascii="Times New Roman" w:eastAsia="Times New Roman" w:hAnsi="Times New Roman" w:cs="Times New Roman"/>
          <w:sz w:val="24"/>
          <w:szCs w:val="24"/>
        </w:rPr>
        <w:t>”: identificados 58 estudos.</w:t>
      </w:r>
    </w:p>
    <w:p w14:paraId="1A912295" w14:textId="77777777" w:rsidR="007B5401" w:rsidRPr="00B90D5F" w:rsidRDefault="007B5401" w:rsidP="007B5401">
      <w:pPr>
        <w:widowControl w:val="0"/>
        <w:numPr>
          <w:ilvl w:val="2"/>
          <w:numId w:val="4"/>
        </w:numPr>
        <w:pBdr>
          <w:top w:val="nil"/>
          <w:left w:val="nil"/>
          <w:bottom w:val="nil"/>
          <w:right w:val="nil"/>
          <w:between w:val="nil"/>
        </w:pBdr>
        <w:tabs>
          <w:tab w:val="left" w:pos="818"/>
          <w:tab w:val="left" w:pos="820"/>
        </w:tabs>
        <w:spacing w:before="120" w:line="360" w:lineRule="auto"/>
        <w:ind w:right="145"/>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“Gestão do conhecimento” </w:t>
      </w:r>
      <w:r w:rsidRPr="00615B2C">
        <w:rPr>
          <w:rFonts w:ascii="Times New Roman" w:eastAsia="Times New Roman" w:hAnsi="Times New Roman" w:cs="Times New Roman"/>
          <w:i/>
          <w:iCs/>
          <w:sz w:val="24"/>
          <w:szCs w:val="24"/>
        </w:rPr>
        <w:t>AND</w:t>
      </w:r>
      <w:r w:rsidRPr="00B90D5F">
        <w:rPr>
          <w:rFonts w:ascii="Times New Roman" w:eastAsia="Times New Roman" w:hAnsi="Times New Roman" w:cs="Times New Roman"/>
          <w:sz w:val="24"/>
          <w:szCs w:val="24"/>
        </w:rPr>
        <w:t xml:space="preserve"> “servidores públicos”: nenhum estudo </w:t>
      </w:r>
      <w:r w:rsidRPr="00B90D5F">
        <w:rPr>
          <w:rFonts w:ascii="Times New Roman" w:eastAsia="Times New Roman" w:hAnsi="Times New Roman" w:cs="Times New Roman"/>
          <w:sz w:val="24"/>
          <w:szCs w:val="24"/>
        </w:rPr>
        <w:lastRenderedPageBreak/>
        <w:t>encontrado.</w:t>
      </w:r>
    </w:p>
    <w:p w14:paraId="4CE862CE" w14:textId="77777777" w:rsidR="007B5401" w:rsidRPr="00B90D5F" w:rsidRDefault="007B5401" w:rsidP="007B5401">
      <w:pPr>
        <w:widowControl w:val="0"/>
        <w:numPr>
          <w:ilvl w:val="2"/>
          <w:numId w:val="4"/>
        </w:numPr>
        <w:pBdr>
          <w:top w:val="nil"/>
          <w:left w:val="nil"/>
          <w:bottom w:val="nil"/>
          <w:right w:val="nil"/>
          <w:between w:val="nil"/>
        </w:pBdr>
        <w:tabs>
          <w:tab w:val="left" w:pos="818"/>
          <w:tab w:val="left" w:pos="820"/>
        </w:tabs>
        <w:spacing w:before="120" w:line="360" w:lineRule="auto"/>
        <w:ind w:right="145"/>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w:t>
      </w:r>
      <w:r w:rsidRPr="00615B2C">
        <w:rPr>
          <w:rFonts w:ascii="Times New Roman" w:eastAsia="Times New Roman" w:hAnsi="Times New Roman" w:cs="Times New Roman"/>
          <w:i/>
          <w:iCs/>
          <w:sz w:val="24"/>
          <w:szCs w:val="24"/>
        </w:rPr>
        <w:t>Knowledge management</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AND</w:t>
      </w:r>
      <w:r w:rsidRPr="00B90D5F">
        <w:rPr>
          <w:rFonts w:ascii="Times New Roman" w:eastAsia="Times New Roman" w:hAnsi="Times New Roman" w:cs="Times New Roman"/>
          <w:sz w:val="24"/>
          <w:szCs w:val="24"/>
        </w:rPr>
        <w:t xml:space="preserve"> “</w:t>
      </w:r>
      <w:r w:rsidRPr="00615B2C">
        <w:rPr>
          <w:rFonts w:ascii="Times New Roman" w:eastAsia="Times New Roman" w:hAnsi="Times New Roman" w:cs="Times New Roman"/>
          <w:i/>
          <w:iCs/>
          <w:sz w:val="24"/>
          <w:szCs w:val="24"/>
        </w:rPr>
        <w:t>public servants</w:t>
      </w:r>
      <w:r w:rsidRPr="00B90D5F">
        <w:rPr>
          <w:rFonts w:ascii="Times New Roman" w:eastAsia="Times New Roman" w:hAnsi="Times New Roman" w:cs="Times New Roman"/>
          <w:sz w:val="24"/>
          <w:szCs w:val="24"/>
        </w:rPr>
        <w:t>”: Identificados 15 estudos.</w:t>
      </w:r>
    </w:p>
    <w:p w14:paraId="0A2346EA" w14:textId="77777777" w:rsidR="007B5401" w:rsidRPr="00B90D5F" w:rsidRDefault="007B5401" w:rsidP="007B5401">
      <w:pPr>
        <w:pBdr>
          <w:top w:val="nil"/>
          <w:left w:val="nil"/>
          <w:bottom w:val="nil"/>
          <w:right w:val="nil"/>
          <w:between w:val="nil"/>
        </w:pBdr>
        <w:spacing w:before="282" w:after="240" w:line="360" w:lineRule="auto"/>
        <w:ind w:left="849"/>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Ao to</w:t>
      </w:r>
      <w:r>
        <w:rPr>
          <w:rFonts w:ascii="Times New Roman" w:eastAsia="Times New Roman" w:hAnsi="Times New Roman" w:cs="Times New Roman"/>
          <w:sz w:val="24"/>
          <w:szCs w:val="24"/>
        </w:rPr>
        <w:t>do</w:t>
      </w:r>
      <w:r w:rsidRPr="00B90D5F">
        <w:rPr>
          <w:rFonts w:ascii="Times New Roman" w:eastAsia="Times New Roman" w:hAnsi="Times New Roman" w:cs="Times New Roman"/>
          <w:sz w:val="24"/>
          <w:szCs w:val="24"/>
        </w:rPr>
        <w:t xml:space="preserve">, foram encontrados 74 estudos a serem analisados. </w:t>
      </w:r>
    </w:p>
    <w:p w14:paraId="06643CD4" w14:textId="77777777" w:rsidR="007B5401" w:rsidRPr="007B5401" w:rsidRDefault="007B5401" w:rsidP="007B5401">
      <w:pPr>
        <w:pStyle w:val="Ttulo2"/>
        <w:numPr>
          <w:ilvl w:val="1"/>
          <w:numId w:val="4"/>
        </w:numPr>
        <w:tabs>
          <w:tab w:val="left" w:pos="609"/>
        </w:tabs>
        <w:spacing w:before="237"/>
        <w:ind w:left="609" w:hanging="469"/>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CRITÉRIOS DE EXCLUSÃO</w:t>
      </w:r>
    </w:p>
    <w:p w14:paraId="4E7E3EDF" w14:textId="67D7ADFA" w:rsidR="007B5401" w:rsidRPr="00B90D5F" w:rsidRDefault="007B5401" w:rsidP="007B5401">
      <w:pPr>
        <w:pBdr>
          <w:top w:val="nil"/>
          <w:left w:val="nil"/>
          <w:bottom w:val="nil"/>
          <w:right w:val="nil"/>
          <w:between w:val="nil"/>
        </w:pBdr>
        <w:spacing w:before="282"/>
        <w:ind w:left="849"/>
        <w:jc w:val="both"/>
        <w:rPr>
          <w:rFonts w:ascii="Times New Roman" w:eastAsia="Times New Roman" w:hAnsi="Times New Roman" w:cs="Times New Roman"/>
          <w:sz w:val="24"/>
          <w:szCs w:val="24"/>
        </w:rPr>
      </w:pPr>
      <w:r w:rsidRPr="009B5266">
        <w:rPr>
          <w:rFonts w:ascii="Times New Roman" w:eastAsia="Times New Roman" w:hAnsi="Times New Roman" w:cs="Times New Roman"/>
          <w:sz w:val="24"/>
          <w:szCs w:val="24"/>
        </w:rPr>
        <w:t xml:space="preserve">Foram definidos os seguintes critérios de exclusão, </w:t>
      </w:r>
      <w:r>
        <w:rPr>
          <w:rFonts w:ascii="Times New Roman" w:eastAsia="Times New Roman" w:hAnsi="Times New Roman" w:cs="Times New Roman"/>
          <w:sz w:val="24"/>
          <w:szCs w:val="24"/>
        </w:rPr>
        <w:t xml:space="preserve">conforme </w:t>
      </w:r>
      <w:r w:rsidRPr="009B5266">
        <w:rPr>
          <w:rFonts w:ascii="Times New Roman" w:eastAsia="Times New Roman" w:hAnsi="Times New Roman" w:cs="Times New Roman"/>
          <w:sz w:val="24"/>
          <w:szCs w:val="24"/>
        </w:rPr>
        <w:t>recomendações metodológicas para revisões sistemáticas da literatura</w:t>
      </w:r>
      <w:r>
        <w:rPr>
          <w:rFonts w:ascii="Times New Roman" w:eastAsia="Times New Roman" w:hAnsi="Times New Roman" w:cs="Times New Roman"/>
          <w:sz w:val="24"/>
          <w:szCs w:val="24"/>
        </w:rPr>
        <w:t>, (</w:t>
      </w:r>
      <w:r w:rsidR="00615B2C" w:rsidRPr="009B5266">
        <w:rPr>
          <w:rFonts w:ascii="Times New Roman" w:eastAsia="Times New Roman" w:hAnsi="Times New Roman" w:cs="Times New Roman"/>
          <w:sz w:val="24"/>
          <w:szCs w:val="24"/>
        </w:rPr>
        <w:t>L</w:t>
      </w:r>
      <w:r w:rsidR="00615B2C">
        <w:rPr>
          <w:rFonts w:ascii="Times New Roman" w:eastAsia="Times New Roman" w:hAnsi="Times New Roman" w:cs="Times New Roman"/>
          <w:sz w:val="24"/>
          <w:szCs w:val="24"/>
        </w:rPr>
        <w:t>IAO</w:t>
      </w:r>
      <w:r w:rsidR="00615B2C" w:rsidRPr="009B5266">
        <w:rPr>
          <w:rFonts w:ascii="Times New Roman" w:eastAsia="Times New Roman" w:hAnsi="Times New Roman" w:cs="Times New Roman"/>
          <w:sz w:val="24"/>
          <w:szCs w:val="24"/>
        </w:rPr>
        <w:t xml:space="preserve"> </w:t>
      </w:r>
      <w:r w:rsidRPr="009B5266">
        <w:rPr>
          <w:rFonts w:ascii="Times New Roman" w:eastAsia="Times New Roman" w:hAnsi="Times New Roman" w:cs="Times New Roman"/>
          <w:i/>
          <w:iCs/>
          <w:sz w:val="24"/>
          <w:szCs w:val="24"/>
        </w:rPr>
        <w:t>et al</w:t>
      </w:r>
      <w:r w:rsidRPr="009B52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B5266">
        <w:rPr>
          <w:rFonts w:ascii="Times New Roman" w:eastAsia="Times New Roman" w:hAnsi="Times New Roman" w:cs="Times New Roman"/>
          <w:sz w:val="24"/>
          <w:szCs w:val="24"/>
        </w:rPr>
        <w:t>2017)</w:t>
      </w:r>
      <w:r w:rsidRPr="00B90D5F">
        <w:rPr>
          <w:rFonts w:ascii="Times New Roman" w:eastAsia="Times New Roman" w:hAnsi="Times New Roman" w:cs="Times New Roman"/>
          <w:sz w:val="24"/>
          <w:szCs w:val="24"/>
        </w:rPr>
        <w:t>:</w:t>
      </w:r>
    </w:p>
    <w:p w14:paraId="5C3ED125" w14:textId="77777777" w:rsidR="007B5401" w:rsidRPr="00B90D5F" w:rsidRDefault="007B5401" w:rsidP="007B5401">
      <w:pPr>
        <w:widowControl w:val="0"/>
        <w:numPr>
          <w:ilvl w:val="2"/>
          <w:numId w:val="4"/>
        </w:numPr>
        <w:pBdr>
          <w:top w:val="nil"/>
          <w:left w:val="nil"/>
          <w:bottom w:val="nil"/>
          <w:right w:val="nil"/>
          <w:between w:val="nil"/>
        </w:pBdr>
        <w:tabs>
          <w:tab w:val="left" w:pos="1557"/>
        </w:tabs>
        <w:spacing w:before="257" w:line="240" w:lineRule="auto"/>
        <w:ind w:left="1557" w:hanging="737"/>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Artigos duplicados; foi excluído 1 artigo.</w:t>
      </w:r>
    </w:p>
    <w:p w14:paraId="70EA5400" w14:textId="77777777" w:rsidR="007B5401" w:rsidRPr="00B90D5F" w:rsidRDefault="007B5401" w:rsidP="007B5401">
      <w:pPr>
        <w:widowControl w:val="0"/>
        <w:numPr>
          <w:ilvl w:val="2"/>
          <w:numId w:val="4"/>
        </w:numPr>
        <w:pBdr>
          <w:top w:val="nil"/>
          <w:left w:val="nil"/>
          <w:bottom w:val="nil"/>
          <w:right w:val="nil"/>
          <w:between w:val="nil"/>
        </w:pBdr>
        <w:tabs>
          <w:tab w:val="left" w:pos="1557"/>
        </w:tabs>
        <w:spacing w:before="257" w:line="240" w:lineRule="auto"/>
        <w:ind w:left="1557" w:hanging="737"/>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Trabalhos não publicados em revistas científicas, mas apresentado</w:t>
      </w:r>
      <w:r>
        <w:rPr>
          <w:rFonts w:ascii="Times New Roman" w:eastAsia="Times New Roman" w:hAnsi="Times New Roman" w:cs="Times New Roman"/>
          <w:sz w:val="24"/>
          <w:szCs w:val="24"/>
        </w:rPr>
        <w:t>s</w:t>
      </w:r>
      <w:r w:rsidRPr="00B90D5F">
        <w:rPr>
          <w:rFonts w:ascii="Times New Roman" w:eastAsia="Times New Roman" w:hAnsi="Times New Roman" w:cs="Times New Roman"/>
          <w:sz w:val="24"/>
          <w:szCs w:val="24"/>
        </w:rPr>
        <w:t xml:space="preserve"> em congressos e conferências específicas; nesta etapa foram excluídos 44 estudos.</w:t>
      </w:r>
    </w:p>
    <w:p w14:paraId="68A582DA" w14:textId="77777777" w:rsidR="007B5401" w:rsidRPr="00B90D5F" w:rsidRDefault="007B5401" w:rsidP="007B5401">
      <w:pPr>
        <w:widowControl w:val="0"/>
        <w:numPr>
          <w:ilvl w:val="2"/>
          <w:numId w:val="4"/>
        </w:numPr>
        <w:pBdr>
          <w:top w:val="nil"/>
          <w:left w:val="nil"/>
          <w:bottom w:val="nil"/>
          <w:right w:val="nil"/>
          <w:between w:val="nil"/>
        </w:pBdr>
        <w:tabs>
          <w:tab w:val="left" w:pos="1557"/>
        </w:tabs>
        <w:spacing w:before="257" w:line="240" w:lineRule="auto"/>
        <w:ind w:left="1557" w:hanging="737"/>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Estudos sem interface com o setor público; 9 estudos.</w:t>
      </w:r>
    </w:p>
    <w:p w14:paraId="3099D2F7" w14:textId="77777777" w:rsidR="007B5401" w:rsidRPr="00B90D5F" w:rsidRDefault="007B5401" w:rsidP="007B5401">
      <w:pPr>
        <w:pBdr>
          <w:top w:val="nil"/>
          <w:left w:val="nil"/>
          <w:bottom w:val="nil"/>
          <w:right w:val="nil"/>
          <w:between w:val="nil"/>
        </w:pBdr>
        <w:spacing w:before="102"/>
        <w:rPr>
          <w:rFonts w:ascii="Times New Roman" w:eastAsia="Times New Roman" w:hAnsi="Times New Roman" w:cs="Times New Roman"/>
          <w:sz w:val="24"/>
          <w:szCs w:val="24"/>
        </w:rPr>
      </w:pPr>
    </w:p>
    <w:p w14:paraId="183F2B8B" w14:textId="77777777" w:rsidR="007B5401" w:rsidRPr="007B5401" w:rsidRDefault="007B5401" w:rsidP="007B5401">
      <w:pPr>
        <w:pStyle w:val="Ttulo2"/>
        <w:numPr>
          <w:ilvl w:val="1"/>
          <w:numId w:val="4"/>
        </w:numPr>
        <w:tabs>
          <w:tab w:val="left" w:pos="606"/>
        </w:tabs>
        <w:spacing w:before="0"/>
        <w:ind w:left="606" w:hanging="466"/>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ETAPAS DE SELEÇÃO E ANÁLISE</w:t>
      </w:r>
    </w:p>
    <w:p w14:paraId="4A7636DB" w14:textId="77777777" w:rsidR="007B5401" w:rsidRPr="00B90D5F" w:rsidRDefault="007B5401" w:rsidP="007B5401">
      <w:pPr>
        <w:pBdr>
          <w:top w:val="nil"/>
          <w:left w:val="nil"/>
          <w:bottom w:val="nil"/>
          <w:right w:val="nil"/>
          <w:between w:val="nil"/>
        </w:pBdr>
        <w:spacing w:before="282"/>
        <w:ind w:left="849"/>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 processo de seleção compreendeu três fases sucessivas:</w:t>
      </w:r>
    </w:p>
    <w:p w14:paraId="342354B6" w14:textId="77777777" w:rsidR="007B5401" w:rsidRPr="00B90D5F" w:rsidRDefault="007B5401" w:rsidP="007B5401">
      <w:pPr>
        <w:widowControl w:val="0"/>
        <w:numPr>
          <w:ilvl w:val="0"/>
          <w:numId w:val="5"/>
        </w:numPr>
        <w:pBdr>
          <w:top w:val="nil"/>
          <w:left w:val="nil"/>
          <w:bottom w:val="nil"/>
          <w:right w:val="nil"/>
          <w:between w:val="nil"/>
        </w:pBdr>
        <w:tabs>
          <w:tab w:val="left" w:pos="819"/>
        </w:tabs>
        <w:spacing w:before="257" w:line="240" w:lineRule="auto"/>
        <w:ind w:left="819" w:hanging="337"/>
        <w:rPr>
          <w:rFonts w:ascii="Times New Roman" w:eastAsia="Times New Roman" w:hAnsi="Times New Roman" w:cs="Times New Roman"/>
          <w:bCs/>
          <w:sz w:val="24"/>
          <w:szCs w:val="24"/>
        </w:rPr>
      </w:pPr>
      <w:r w:rsidRPr="00B90D5F">
        <w:rPr>
          <w:rFonts w:ascii="Times New Roman" w:eastAsia="Times New Roman" w:hAnsi="Times New Roman" w:cs="Times New Roman"/>
          <w:bCs/>
          <w:sz w:val="24"/>
          <w:szCs w:val="24"/>
        </w:rPr>
        <w:t>Leitura dos títulos e resumos, a fim de verificar alinhamento com o tema proposto;</w:t>
      </w:r>
    </w:p>
    <w:p w14:paraId="4A75AC33" w14:textId="77777777" w:rsidR="007B5401" w:rsidRPr="00B90D5F" w:rsidRDefault="007B5401" w:rsidP="007B5401">
      <w:pPr>
        <w:widowControl w:val="0"/>
        <w:numPr>
          <w:ilvl w:val="0"/>
          <w:numId w:val="5"/>
        </w:numPr>
        <w:pBdr>
          <w:top w:val="nil"/>
          <w:left w:val="nil"/>
          <w:bottom w:val="nil"/>
          <w:right w:val="nil"/>
          <w:between w:val="nil"/>
        </w:pBdr>
        <w:tabs>
          <w:tab w:val="left" w:pos="818"/>
          <w:tab w:val="left" w:pos="820"/>
        </w:tabs>
        <w:spacing w:before="259" w:line="360" w:lineRule="auto"/>
        <w:ind w:right="141"/>
        <w:rPr>
          <w:rFonts w:ascii="Times New Roman" w:eastAsia="Times New Roman" w:hAnsi="Times New Roman" w:cs="Times New Roman"/>
          <w:bCs/>
          <w:sz w:val="24"/>
          <w:szCs w:val="24"/>
        </w:rPr>
      </w:pPr>
      <w:r w:rsidRPr="00B90D5F">
        <w:rPr>
          <w:rFonts w:ascii="Times New Roman" w:eastAsia="Times New Roman" w:hAnsi="Times New Roman" w:cs="Times New Roman"/>
          <w:bCs/>
          <w:sz w:val="24"/>
          <w:szCs w:val="24"/>
        </w:rPr>
        <w:t>Leitura integral dos textos selecionados, com aplicação dos critérios de elegibilidade;</w:t>
      </w:r>
    </w:p>
    <w:p w14:paraId="1F5BF174" w14:textId="77777777" w:rsidR="007B5401" w:rsidRPr="00B90D5F" w:rsidRDefault="007B5401" w:rsidP="007B5401">
      <w:pPr>
        <w:widowControl w:val="0"/>
        <w:numPr>
          <w:ilvl w:val="0"/>
          <w:numId w:val="5"/>
        </w:numPr>
        <w:pBdr>
          <w:top w:val="nil"/>
          <w:left w:val="nil"/>
          <w:bottom w:val="nil"/>
          <w:right w:val="nil"/>
          <w:between w:val="nil"/>
        </w:pBdr>
        <w:tabs>
          <w:tab w:val="left" w:pos="818"/>
          <w:tab w:val="left" w:pos="820"/>
          <w:tab w:val="left" w:pos="1877"/>
          <w:tab w:val="left" w:pos="2215"/>
          <w:tab w:val="left" w:pos="4021"/>
          <w:tab w:val="left" w:pos="5270"/>
          <w:tab w:val="left" w:pos="6459"/>
          <w:tab w:val="left" w:pos="7171"/>
          <w:tab w:val="left" w:pos="7641"/>
          <w:tab w:val="left" w:pos="8498"/>
        </w:tabs>
        <w:spacing w:before="121" w:line="360" w:lineRule="auto"/>
        <w:ind w:right="142"/>
        <w:jc w:val="both"/>
        <w:rPr>
          <w:rFonts w:ascii="Times New Roman" w:eastAsia="Times New Roman" w:hAnsi="Times New Roman" w:cs="Times New Roman"/>
          <w:sz w:val="24"/>
          <w:szCs w:val="24"/>
        </w:rPr>
      </w:pPr>
      <w:r w:rsidRPr="00B90D5F">
        <w:rPr>
          <w:rFonts w:ascii="Times New Roman" w:eastAsia="Times New Roman" w:hAnsi="Times New Roman" w:cs="Times New Roman"/>
          <w:bCs/>
          <w:sz w:val="24"/>
          <w:szCs w:val="24"/>
        </w:rPr>
        <w:t>Análise</w:t>
      </w:r>
      <w:r w:rsidRPr="00B90D5F">
        <w:rPr>
          <w:rFonts w:ascii="Times New Roman" w:eastAsia="Times New Roman" w:hAnsi="Times New Roman" w:cs="Times New Roman"/>
          <w:bCs/>
          <w:sz w:val="24"/>
          <w:szCs w:val="24"/>
        </w:rPr>
        <w:tab/>
        <w:t>e</w:t>
      </w:r>
      <w:r w:rsidRPr="00B90D5F">
        <w:rPr>
          <w:rFonts w:ascii="Times New Roman" w:eastAsia="Times New Roman" w:hAnsi="Times New Roman" w:cs="Times New Roman"/>
          <w:bCs/>
          <w:sz w:val="24"/>
          <w:szCs w:val="24"/>
        </w:rPr>
        <w:tab/>
        <w:t>categorização</w:t>
      </w:r>
      <w:r w:rsidRPr="00B90D5F">
        <w:rPr>
          <w:rFonts w:ascii="Times New Roman" w:eastAsia="Times New Roman" w:hAnsi="Times New Roman" w:cs="Times New Roman"/>
          <w:bCs/>
          <w:sz w:val="24"/>
          <w:szCs w:val="24"/>
        </w:rPr>
        <w:tab/>
        <w:t>temática,</w:t>
      </w:r>
      <w:r w:rsidRPr="00B90D5F">
        <w:rPr>
          <w:rFonts w:ascii="Times New Roman" w:eastAsia="Times New Roman" w:hAnsi="Times New Roman" w:cs="Times New Roman"/>
          <w:bCs/>
          <w:sz w:val="24"/>
          <w:szCs w:val="24"/>
        </w:rPr>
        <w:tab/>
        <w:t>mediante</w:t>
      </w:r>
      <w:r w:rsidRPr="00B90D5F">
        <w:rPr>
          <w:rFonts w:ascii="Times New Roman" w:eastAsia="Times New Roman" w:hAnsi="Times New Roman" w:cs="Times New Roman"/>
          <w:bCs/>
          <w:sz w:val="24"/>
          <w:szCs w:val="24"/>
        </w:rPr>
        <w:tab/>
        <w:t>ficha</w:t>
      </w:r>
      <w:r w:rsidRPr="00B90D5F">
        <w:rPr>
          <w:rFonts w:ascii="Times New Roman" w:eastAsia="Times New Roman" w:hAnsi="Times New Roman" w:cs="Times New Roman"/>
          <w:bCs/>
          <w:sz w:val="24"/>
          <w:szCs w:val="24"/>
        </w:rPr>
        <w:tab/>
        <w:t>de</w:t>
      </w:r>
      <w:r w:rsidRPr="00B90D5F">
        <w:rPr>
          <w:rFonts w:ascii="Times New Roman" w:eastAsia="Times New Roman" w:hAnsi="Times New Roman" w:cs="Times New Roman"/>
          <w:bCs/>
          <w:sz w:val="24"/>
          <w:szCs w:val="24"/>
        </w:rPr>
        <w:tab/>
        <w:t>leitura</w:t>
      </w:r>
      <w:r>
        <w:rPr>
          <w:rFonts w:ascii="Times New Roman" w:eastAsia="Times New Roman" w:hAnsi="Times New Roman" w:cs="Times New Roman"/>
          <w:bCs/>
          <w:sz w:val="24"/>
          <w:szCs w:val="24"/>
        </w:rPr>
        <w:t xml:space="preserve"> </w:t>
      </w:r>
      <w:r w:rsidRPr="00B90D5F">
        <w:rPr>
          <w:rFonts w:ascii="Times New Roman" w:eastAsia="Times New Roman" w:hAnsi="Times New Roman" w:cs="Times New Roman"/>
          <w:bCs/>
          <w:sz w:val="24"/>
          <w:szCs w:val="24"/>
        </w:rPr>
        <w:t>estruturada, contemplando</w:t>
      </w:r>
      <w:r w:rsidRPr="00B90D5F">
        <w:rPr>
          <w:rFonts w:ascii="Times New Roman" w:eastAsia="Times New Roman" w:hAnsi="Times New Roman" w:cs="Times New Roman"/>
          <w:sz w:val="24"/>
          <w:szCs w:val="24"/>
        </w:rPr>
        <w:t>: objetivos, métodos, principais resultados e estratégias abordadas.</w:t>
      </w:r>
    </w:p>
    <w:p w14:paraId="254AA936" w14:textId="77777777" w:rsidR="007B5401" w:rsidRPr="00B90D5F" w:rsidRDefault="007B5401" w:rsidP="007B5401">
      <w:pPr>
        <w:pBdr>
          <w:top w:val="nil"/>
          <w:left w:val="nil"/>
          <w:bottom w:val="nil"/>
          <w:right w:val="nil"/>
          <w:between w:val="nil"/>
        </w:pBdr>
        <w:spacing w:before="120" w:line="360" w:lineRule="auto"/>
        <w:ind w:left="140"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Dos 74 documentos inicialmente identificados, após aplicação dos filtros e exclusões, foram selecionados 20 artigos científicos que atenderam integralmente aos critérios. Esses estudos formaram o corpus analítico da revisão sistemática e foram organizados segundo </w:t>
      </w:r>
      <w:r>
        <w:rPr>
          <w:rFonts w:ascii="Times New Roman" w:eastAsia="Times New Roman" w:hAnsi="Times New Roman" w:cs="Times New Roman"/>
          <w:sz w:val="24"/>
          <w:szCs w:val="24"/>
        </w:rPr>
        <w:t>três</w:t>
      </w:r>
      <w:r w:rsidRPr="00B90D5F">
        <w:rPr>
          <w:rFonts w:ascii="Times New Roman" w:eastAsia="Times New Roman" w:hAnsi="Times New Roman" w:cs="Times New Roman"/>
          <w:sz w:val="24"/>
          <w:szCs w:val="24"/>
        </w:rPr>
        <w:t xml:space="preserve"> eixos temáticos emergentes:</w:t>
      </w:r>
    </w:p>
    <w:p w14:paraId="3C4A4DB1" w14:textId="77777777" w:rsidR="007B5401" w:rsidRPr="00B90D5F" w:rsidRDefault="007B5401" w:rsidP="007B5401">
      <w:pPr>
        <w:widowControl w:val="0"/>
        <w:numPr>
          <w:ilvl w:val="1"/>
          <w:numId w:val="5"/>
        </w:numPr>
        <w:pBdr>
          <w:top w:val="nil"/>
          <w:left w:val="nil"/>
          <w:bottom w:val="nil"/>
          <w:right w:val="nil"/>
          <w:between w:val="nil"/>
        </w:pBdr>
        <w:tabs>
          <w:tab w:val="left" w:pos="820"/>
        </w:tabs>
        <w:spacing w:before="120" w:line="240" w:lineRule="auto"/>
        <w:ind w:hanging="338"/>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 estratégias de retenção do conhecimento;</w:t>
      </w:r>
    </w:p>
    <w:p w14:paraId="0993474F" w14:textId="77777777" w:rsidR="007B5401" w:rsidRPr="00B90D5F" w:rsidRDefault="007B5401" w:rsidP="007B5401">
      <w:pPr>
        <w:widowControl w:val="0"/>
        <w:numPr>
          <w:ilvl w:val="1"/>
          <w:numId w:val="5"/>
        </w:numPr>
        <w:pBdr>
          <w:top w:val="nil"/>
          <w:left w:val="nil"/>
          <w:bottom w:val="nil"/>
          <w:right w:val="nil"/>
          <w:between w:val="nil"/>
        </w:pBdr>
        <w:tabs>
          <w:tab w:val="left" w:pos="820"/>
        </w:tabs>
        <w:spacing w:before="259" w:line="240" w:lineRule="auto"/>
        <w:ind w:hanging="338"/>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b) tecnologias de compartilhamento de conhecimento;</w:t>
      </w:r>
    </w:p>
    <w:p w14:paraId="72236A87" w14:textId="77777777" w:rsidR="007B5401" w:rsidRPr="00B90D5F" w:rsidRDefault="007B5401" w:rsidP="007B5401">
      <w:pPr>
        <w:widowControl w:val="0"/>
        <w:numPr>
          <w:ilvl w:val="1"/>
          <w:numId w:val="5"/>
        </w:numPr>
        <w:pBdr>
          <w:top w:val="nil"/>
          <w:left w:val="nil"/>
          <w:bottom w:val="nil"/>
          <w:right w:val="nil"/>
          <w:between w:val="nil"/>
        </w:pBdr>
        <w:tabs>
          <w:tab w:val="left" w:pos="820"/>
        </w:tabs>
        <w:spacing w:before="257" w:line="240" w:lineRule="auto"/>
        <w:ind w:hanging="338"/>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c) cultura organizacional e liderança;</w:t>
      </w:r>
    </w:p>
    <w:p w14:paraId="53BAAC29" w14:textId="77777777" w:rsidR="007B5401" w:rsidRPr="00B90D5F" w:rsidRDefault="007B5401" w:rsidP="007B5401">
      <w:pPr>
        <w:pBdr>
          <w:top w:val="nil"/>
          <w:left w:val="nil"/>
          <w:bottom w:val="nil"/>
          <w:right w:val="nil"/>
          <w:between w:val="nil"/>
        </w:pBdr>
        <w:spacing w:before="257" w:line="360" w:lineRule="auto"/>
        <w:ind w:left="140" w:right="141"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lastRenderedPageBreak/>
        <w:t xml:space="preserve">A análise dos dados foi conduzida por meio da técnica de </w:t>
      </w:r>
      <w:r w:rsidRPr="00B90D5F">
        <w:rPr>
          <w:rFonts w:ascii="Times New Roman" w:eastAsia="Times New Roman" w:hAnsi="Times New Roman" w:cs="Times New Roman"/>
          <w:bCs/>
          <w:sz w:val="24"/>
          <w:szCs w:val="24"/>
        </w:rPr>
        <w:t>análise de conteúdo temática, conforme proposta por Bardin (2011), permitindo a identificaçã</w:t>
      </w:r>
      <w:r w:rsidRPr="00B90D5F">
        <w:rPr>
          <w:rFonts w:ascii="Times New Roman" w:eastAsia="Times New Roman" w:hAnsi="Times New Roman" w:cs="Times New Roman"/>
          <w:sz w:val="24"/>
          <w:szCs w:val="24"/>
        </w:rPr>
        <w:t>o de padrões, recorrências e lacunas. O cruzamento entre as categorias foi orientado por uma lógica hermenêutica-interpretativa, dada a natureza qualitativa da investigação.</w:t>
      </w:r>
    </w:p>
    <w:p w14:paraId="3B6B891F" w14:textId="77777777" w:rsidR="007B5401" w:rsidRPr="007B5401" w:rsidRDefault="007B5401" w:rsidP="007B5401">
      <w:pPr>
        <w:pStyle w:val="Ttulo2"/>
        <w:numPr>
          <w:ilvl w:val="1"/>
          <w:numId w:val="4"/>
        </w:numPr>
        <w:tabs>
          <w:tab w:val="left" w:pos="609"/>
        </w:tabs>
        <w:spacing w:before="239"/>
        <w:ind w:left="609" w:hanging="469"/>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LIMITAÇÕES METODOLÓGICAS</w:t>
      </w:r>
    </w:p>
    <w:p w14:paraId="27783724" w14:textId="77777777" w:rsidR="007B5401" w:rsidRPr="00B90D5F" w:rsidRDefault="007B5401" w:rsidP="007B5401">
      <w:pPr>
        <w:pBdr>
          <w:top w:val="nil"/>
          <w:left w:val="nil"/>
          <w:bottom w:val="nil"/>
          <w:right w:val="nil"/>
          <w:between w:val="nil"/>
        </w:pBdr>
        <w:spacing w:before="282" w:line="360" w:lineRule="auto"/>
        <w:ind w:left="140" w:right="134"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Uma importante limitação refere-se à possibilidade de viés de seleção, já que algumas pesquisas relevantes podem não estar indexadas na base escolhida. Além disso, limitações linguísticas restringiram a análise a textos em português e inglês, o que pode excluir produções oriundas de contextos relevantes em outras línguas. Finalmente, o caráter qualitativo da análise impede generalizações estatísticas, mas permite inferências robustas com base em padrões observados.</w:t>
      </w:r>
    </w:p>
    <w:p w14:paraId="705FC36E" w14:textId="77777777" w:rsidR="00D8471E" w:rsidRDefault="00D8471E" w:rsidP="00A36A84">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1FCCED6E" w14:textId="77777777" w:rsidR="007B5401" w:rsidRPr="00B90D5F" w:rsidRDefault="007B5401" w:rsidP="007B5401">
      <w:pPr>
        <w:pBdr>
          <w:top w:val="nil"/>
          <w:left w:val="nil"/>
          <w:bottom w:val="nil"/>
          <w:right w:val="nil"/>
          <w:between w:val="nil"/>
        </w:pBdr>
        <w:spacing w:after="240" w:line="360" w:lineRule="auto"/>
        <w:ind w:left="140" w:right="140"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partir da análise sistemática dos 20 estudos selecionados, emergiram evidências robustas que evidenciam a complexidade e a multiplicidade das estratégias adotadas para 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no setor público, especialmente diante do desafio imposto pela rotatividade de servidores. Este capítulo organiza a discussão em torno das cinco categorias temáticas emergentes, buscando estabelecer relações entre os achados e o referencial teórico.</w:t>
      </w:r>
      <w:r>
        <w:t xml:space="preserve"> </w:t>
      </w:r>
      <w:r w:rsidRPr="00025889">
        <w:rPr>
          <w:rFonts w:ascii="Times New Roman" w:eastAsia="Times New Roman" w:hAnsi="Times New Roman" w:cs="Times New Roman"/>
          <w:sz w:val="24"/>
          <w:szCs w:val="24"/>
        </w:rPr>
        <w:t>Além disso, o resumo dos principais resultados dos autores selecionados é apresentado no Quadro 1.</w:t>
      </w:r>
    </w:p>
    <w:p w14:paraId="13BD51CE" w14:textId="77777777" w:rsidR="007B5401" w:rsidRDefault="007B5401" w:rsidP="007B5401">
      <w:pPr>
        <w:pStyle w:val="PargrafodaLista"/>
        <w:pBdr>
          <w:top w:val="nil"/>
          <w:left w:val="nil"/>
          <w:bottom w:val="nil"/>
          <w:right w:val="nil"/>
          <w:between w:val="nil"/>
        </w:pBdr>
        <w:spacing w:line="360" w:lineRule="auto"/>
        <w:ind w:left="452"/>
        <w:rPr>
          <w:rFonts w:ascii="Times New Roman" w:eastAsia="Times New Roman" w:hAnsi="Times New Roman" w:cs="Times New Roman"/>
          <w:sz w:val="20"/>
          <w:szCs w:val="20"/>
        </w:rPr>
      </w:pPr>
    </w:p>
    <w:p w14:paraId="60F81231" w14:textId="77777777" w:rsidR="007B5401" w:rsidRPr="00025889" w:rsidRDefault="007B5401" w:rsidP="007B5401">
      <w:pPr>
        <w:pStyle w:val="PargrafodaLista"/>
        <w:pBdr>
          <w:top w:val="nil"/>
          <w:left w:val="nil"/>
          <w:bottom w:val="nil"/>
          <w:right w:val="nil"/>
          <w:between w:val="nil"/>
        </w:pBdr>
        <w:spacing w:line="360" w:lineRule="auto"/>
        <w:ind w:left="452"/>
        <w:jc w:val="center"/>
        <w:rPr>
          <w:rFonts w:ascii="Times New Roman" w:eastAsia="Times New Roman" w:hAnsi="Times New Roman" w:cs="Times New Roman"/>
          <w:sz w:val="20"/>
          <w:szCs w:val="20"/>
        </w:rPr>
      </w:pPr>
      <w:r w:rsidRPr="00025889">
        <w:rPr>
          <w:rFonts w:ascii="Times New Roman" w:eastAsia="Times New Roman" w:hAnsi="Times New Roman" w:cs="Times New Roman"/>
          <w:sz w:val="20"/>
          <w:szCs w:val="20"/>
        </w:rPr>
        <w:t xml:space="preserve">Quadro </w:t>
      </w:r>
      <w:r>
        <w:rPr>
          <w:rFonts w:ascii="Times New Roman" w:eastAsia="Times New Roman" w:hAnsi="Times New Roman" w:cs="Times New Roman"/>
          <w:sz w:val="20"/>
          <w:szCs w:val="20"/>
        </w:rPr>
        <w:t>1</w:t>
      </w:r>
      <w:r w:rsidRPr="00025889">
        <w:rPr>
          <w:rFonts w:ascii="Times New Roman" w:eastAsia="Times New Roman" w:hAnsi="Times New Roman" w:cs="Times New Roman"/>
          <w:sz w:val="20"/>
          <w:szCs w:val="20"/>
        </w:rPr>
        <w:t xml:space="preserve"> - Relação de artigos científicos selecionados na revisão sistemática</w:t>
      </w:r>
    </w:p>
    <w:tbl>
      <w:tblPr>
        <w:tblStyle w:val="Tabelacomgrade"/>
        <w:tblW w:w="0" w:type="auto"/>
        <w:tblLook w:val="04A0" w:firstRow="1" w:lastRow="0" w:firstColumn="1" w:lastColumn="0" w:noHBand="0" w:noVBand="1"/>
      </w:tblPr>
      <w:tblGrid>
        <w:gridCol w:w="1263"/>
        <w:gridCol w:w="1701"/>
        <w:gridCol w:w="2257"/>
        <w:gridCol w:w="3798"/>
      </w:tblGrid>
      <w:tr w:rsidR="007B5401" w14:paraId="5F7BEE7D" w14:textId="77777777" w:rsidTr="00AC4DA9">
        <w:tc>
          <w:tcPr>
            <w:tcW w:w="1265" w:type="dxa"/>
          </w:tcPr>
          <w:p w14:paraId="27DED125" w14:textId="77777777" w:rsidR="007B5401" w:rsidRPr="00025889" w:rsidRDefault="007B5401" w:rsidP="00AC4DA9">
            <w:pPr>
              <w:jc w:val="center"/>
              <w:rPr>
                <w:rFonts w:ascii="Times New Roman" w:hAnsi="Times New Roman" w:cs="Times New Roman"/>
                <w:b/>
                <w:bCs/>
                <w:sz w:val="20"/>
                <w:szCs w:val="20"/>
              </w:rPr>
            </w:pPr>
            <w:r w:rsidRPr="00025889">
              <w:rPr>
                <w:rFonts w:ascii="Times New Roman" w:hAnsi="Times New Roman" w:cs="Times New Roman"/>
                <w:b/>
                <w:bCs/>
                <w:sz w:val="20"/>
                <w:szCs w:val="20"/>
              </w:rPr>
              <w:t>Ano de Publicação</w:t>
            </w:r>
          </w:p>
        </w:tc>
        <w:tc>
          <w:tcPr>
            <w:tcW w:w="1707" w:type="dxa"/>
          </w:tcPr>
          <w:p w14:paraId="2A0A4F23" w14:textId="77777777" w:rsidR="007B5401" w:rsidRPr="00025889" w:rsidRDefault="007B5401" w:rsidP="00AC4DA9">
            <w:pPr>
              <w:jc w:val="center"/>
              <w:rPr>
                <w:rFonts w:ascii="Times New Roman" w:hAnsi="Times New Roman" w:cs="Times New Roman"/>
                <w:b/>
                <w:bCs/>
                <w:sz w:val="20"/>
                <w:szCs w:val="20"/>
              </w:rPr>
            </w:pPr>
            <w:r w:rsidRPr="00025889">
              <w:rPr>
                <w:rFonts w:ascii="Times New Roman" w:hAnsi="Times New Roman" w:cs="Times New Roman"/>
                <w:b/>
                <w:bCs/>
                <w:sz w:val="20"/>
                <w:szCs w:val="20"/>
              </w:rPr>
              <w:t>Autores</w:t>
            </w:r>
          </w:p>
        </w:tc>
        <w:tc>
          <w:tcPr>
            <w:tcW w:w="2268" w:type="dxa"/>
          </w:tcPr>
          <w:p w14:paraId="688AAB42" w14:textId="77777777" w:rsidR="007B5401" w:rsidRPr="00025889" w:rsidRDefault="007B5401" w:rsidP="00AC4DA9">
            <w:pPr>
              <w:jc w:val="center"/>
              <w:rPr>
                <w:rFonts w:ascii="Times New Roman" w:hAnsi="Times New Roman" w:cs="Times New Roman"/>
                <w:b/>
                <w:bCs/>
                <w:sz w:val="20"/>
                <w:szCs w:val="20"/>
              </w:rPr>
            </w:pPr>
            <w:r w:rsidRPr="00025889">
              <w:rPr>
                <w:rFonts w:ascii="Times New Roman" w:hAnsi="Times New Roman" w:cs="Times New Roman"/>
                <w:b/>
                <w:bCs/>
                <w:sz w:val="20"/>
                <w:szCs w:val="20"/>
              </w:rPr>
              <w:t>Título</w:t>
            </w:r>
          </w:p>
        </w:tc>
        <w:tc>
          <w:tcPr>
            <w:tcW w:w="3825" w:type="dxa"/>
          </w:tcPr>
          <w:p w14:paraId="2AD8F000" w14:textId="77777777" w:rsidR="007B5401" w:rsidRPr="00025889" w:rsidRDefault="007B5401" w:rsidP="00AC4DA9">
            <w:pPr>
              <w:jc w:val="center"/>
              <w:rPr>
                <w:rFonts w:ascii="Times New Roman" w:hAnsi="Times New Roman" w:cs="Times New Roman"/>
                <w:b/>
                <w:bCs/>
                <w:sz w:val="20"/>
                <w:szCs w:val="20"/>
              </w:rPr>
            </w:pPr>
            <w:r w:rsidRPr="00025889">
              <w:rPr>
                <w:rFonts w:ascii="Times New Roman" w:hAnsi="Times New Roman" w:cs="Times New Roman"/>
                <w:b/>
                <w:bCs/>
                <w:sz w:val="20"/>
                <w:szCs w:val="20"/>
              </w:rPr>
              <w:t>Principais resultados</w:t>
            </w:r>
          </w:p>
        </w:tc>
      </w:tr>
      <w:tr w:rsidR="007B5401" w14:paraId="67BF9032" w14:textId="77777777" w:rsidTr="00AC4DA9">
        <w:tc>
          <w:tcPr>
            <w:tcW w:w="1265" w:type="dxa"/>
          </w:tcPr>
          <w:p w14:paraId="30791DF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2009</w:t>
            </w:r>
          </w:p>
        </w:tc>
        <w:tc>
          <w:tcPr>
            <w:tcW w:w="1707" w:type="dxa"/>
          </w:tcPr>
          <w:p w14:paraId="31800797"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Da Silva, JP; Monteiro; da Costa; da Costa</w:t>
            </w:r>
          </w:p>
        </w:tc>
        <w:tc>
          <w:tcPr>
            <w:tcW w:w="2268" w:type="dxa"/>
          </w:tcPr>
          <w:p w14:paraId="17B00AC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Knowledge: a study of learning in a public sector institution of water supply and sanitation</w:t>
            </w:r>
          </w:p>
        </w:tc>
        <w:tc>
          <w:tcPr>
            <w:tcW w:w="3825" w:type="dxa"/>
          </w:tcPr>
          <w:p w14:paraId="579AC68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mostram que a EMBASA promove gestão do conhecimento por meio da capacitação e do</w:t>
            </w:r>
            <w:r>
              <w:rPr>
                <w:rFonts w:ascii="Times New Roman" w:hAnsi="Times New Roman" w:cs="Times New Roman"/>
                <w:sz w:val="20"/>
                <w:szCs w:val="20"/>
              </w:rPr>
              <w:t xml:space="preserve"> </w:t>
            </w:r>
            <w:r w:rsidRPr="00DB41E0">
              <w:rPr>
                <w:rFonts w:ascii="Times New Roman" w:hAnsi="Times New Roman" w:cs="Times New Roman"/>
                <w:sz w:val="20"/>
                <w:szCs w:val="20"/>
              </w:rPr>
              <w:t>compartilhamento entre colaboradores. A gestão de pessoas é</w:t>
            </w:r>
            <w:r>
              <w:rPr>
                <w:rFonts w:ascii="Times New Roman" w:hAnsi="Times New Roman" w:cs="Times New Roman"/>
                <w:sz w:val="20"/>
                <w:szCs w:val="20"/>
              </w:rPr>
              <w:t xml:space="preserve"> </w:t>
            </w:r>
            <w:r w:rsidRPr="00DB41E0">
              <w:rPr>
                <w:rFonts w:ascii="Times New Roman" w:hAnsi="Times New Roman" w:cs="Times New Roman"/>
                <w:sz w:val="20"/>
                <w:szCs w:val="20"/>
              </w:rPr>
              <w:t>decisiva para a aprendizagem</w:t>
            </w:r>
            <w:r>
              <w:rPr>
                <w:rFonts w:ascii="Times New Roman" w:hAnsi="Times New Roman" w:cs="Times New Roman"/>
                <w:sz w:val="20"/>
                <w:szCs w:val="20"/>
              </w:rPr>
              <w:t xml:space="preserve"> </w:t>
            </w:r>
            <w:r w:rsidRPr="00DB41E0">
              <w:rPr>
                <w:rFonts w:ascii="Times New Roman" w:hAnsi="Times New Roman" w:cs="Times New Roman"/>
                <w:sz w:val="20"/>
                <w:szCs w:val="20"/>
              </w:rPr>
              <w:t>organizacional, caracterizando a empresa como uma organização que aprende e dissemina conhecimento.</w:t>
            </w:r>
          </w:p>
        </w:tc>
      </w:tr>
      <w:tr w:rsidR="007B5401" w14:paraId="5A1B939F" w14:textId="77777777" w:rsidTr="00AC4DA9">
        <w:tc>
          <w:tcPr>
            <w:tcW w:w="1265" w:type="dxa"/>
          </w:tcPr>
          <w:p w14:paraId="3B0BB5D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2010</w:t>
            </w:r>
          </w:p>
        </w:tc>
        <w:tc>
          <w:tcPr>
            <w:tcW w:w="1707" w:type="dxa"/>
          </w:tcPr>
          <w:p w14:paraId="4B4CC81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Sánchez </w:t>
            </w:r>
          </w:p>
          <w:p w14:paraId="5BA5B86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Gutiérrez; González Uribe; Ortiz Barrera</w:t>
            </w:r>
          </w:p>
        </w:tc>
        <w:tc>
          <w:tcPr>
            <w:tcW w:w="2268" w:type="dxa"/>
          </w:tcPr>
          <w:p w14:paraId="7FA1412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Knowledge Management Process as Development Policy in Public Sector. Cases in Guadalajara, Mexico</w:t>
            </w:r>
          </w:p>
        </w:tc>
        <w:tc>
          <w:tcPr>
            <w:tcW w:w="3825" w:type="dxa"/>
          </w:tcPr>
          <w:p w14:paraId="684C81C7"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indicam que a gestão do conhecimento, ao focar nos recursos humanos como insumo estratégico, melhorou o desempenho de agências públicas em Guadalajara. Essa abordagem contribuiu para resolver conflitos, otimizar </w:t>
            </w:r>
            <w:r w:rsidRPr="00DB41E0">
              <w:rPr>
                <w:rFonts w:ascii="Times New Roman" w:hAnsi="Times New Roman" w:cs="Times New Roman"/>
                <w:sz w:val="20"/>
                <w:szCs w:val="20"/>
              </w:rPr>
              <w:lastRenderedPageBreak/>
              <w:t>processos e ampliar a utilização dos recursos disponíveis.</w:t>
            </w:r>
          </w:p>
        </w:tc>
      </w:tr>
      <w:tr w:rsidR="007B5401" w14:paraId="5EDDE246" w14:textId="77777777" w:rsidTr="00AC4DA9">
        <w:tc>
          <w:tcPr>
            <w:tcW w:w="1265" w:type="dxa"/>
          </w:tcPr>
          <w:p w14:paraId="6EFB1CE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lastRenderedPageBreak/>
              <w:t>2011</w:t>
            </w:r>
          </w:p>
        </w:tc>
        <w:tc>
          <w:tcPr>
            <w:tcW w:w="1707" w:type="dxa"/>
          </w:tcPr>
          <w:p w14:paraId="32913B4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Chawla; Joshi</w:t>
            </w:r>
          </w:p>
        </w:tc>
        <w:tc>
          <w:tcPr>
            <w:tcW w:w="2268" w:type="dxa"/>
          </w:tcPr>
          <w:p w14:paraId="089B55B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Impact of Knowledge Management on Learning Organization in Indian Organizations-A Comparison</w:t>
            </w:r>
          </w:p>
        </w:tc>
        <w:tc>
          <w:tcPr>
            <w:tcW w:w="3825" w:type="dxa"/>
          </w:tcPr>
          <w:p w14:paraId="4A3498F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indicam que as dimensões da gestão do conhecimento impactam positivamente as </w:t>
            </w:r>
            <w:r>
              <w:rPr>
                <w:rFonts w:ascii="Times New Roman" w:hAnsi="Times New Roman" w:cs="Times New Roman"/>
                <w:sz w:val="20"/>
                <w:szCs w:val="20"/>
              </w:rPr>
              <w:t>OAs</w:t>
            </w:r>
            <w:r w:rsidRPr="00DB41E0">
              <w:rPr>
                <w:rFonts w:ascii="Times New Roman" w:hAnsi="Times New Roman" w:cs="Times New Roman"/>
                <w:sz w:val="20"/>
                <w:szCs w:val="20"/>
              </w:rPr>
              <w:t xml:space="preserve">. Empresas privadas na Índia apresentaram melhor desempenho em todas as dimensões de LO em relação às públicas, embora ainda haja espaço para melhorias. O tipo de organização não foi estatisticamente significativo, reforçando que a GC é um fator decisivo para transformar instituições em </w:t>
            </w:r>
            <w:r>
              <w:rPr>
                <w:rFonts w:ascii="Times New Roman" w:hAnsi="Times New Roman" w:cs="Times New Roman"/>
                <w:sz w:val="20"/>
                <w:szCs w:val="20"/>
              </w:rPr>
              <w:t>OAs</w:t>
            </w:r>
            <w:r w:rsidRPr="00DB41E0">
              <w:rPr>
                <w:rFonts w:ascii="Times New Roman" w:hAnsi="Times New Roman" w:cs="Times New Roman"/>
                <w:sz w:val="20"/>
                <w:szCs w:val="20"/>
              </w:rPr>
              <w:t>.</w:t>
            </w:r>
          </w:p>
        </w:tc>
      </w:tr>
      <w:tr w:rsidR="007B5401" w14:paraId="6C25F5C7" w14:textId="77777777" w:rsidTr="00AC4DA9">
        <w:tc>
          <w:tcPr>
            <w:tcW w:w="1265" w:type="dxa"/>
          </w:tcPr>
          <w:p w14:paraId="013E7266"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2013</w:t>
            </w:r>
          </w:p>
        </w:tc>
        <w:tc>
          <w:tcPr>
            <w:tcW w:w="1707" w:type="dxa"/>
          </w:tcPr>
          <w:p w14:paraId="53B753C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Hickey; Forest; Sandall; Lalor; Keenan</w:t>
            </w:r>
          </w:p>
        </w:tc>
        <w:tc>
          <w:tcPr>
            <w:tcW w:w="2268" w:type="dxa"/>
          </w:tcPr>
          <w:p w14:paraId="3B16A169"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Managing the environmental science-policy nexus in government: Perspectives from public servants in Canada and Australia</w:t>
            </w:r>
          </w:p>
        </w:tc>
        <w:tc>
          <w:tcPr>
            <w:tcW w:w="3825" w:type="dxa"/>
          </w:tcPr>
          <w:p w14:paraId="6E3B187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mostram que fatores de capital social, como comunicação, confiança e colaboração, influenciam o uso do conhecimento científico em políticas ambientais no Canadá e na Austrália. A integração do conhecimento permanece um grande desafio, exigindo maior coordenação entre agências. Destaca-se ainda a necessidade de uma ciência ambiental mais interdisciplinar e socialmente robusta, capaz de apoiar a legitimidade e relevância das decisões governamentais.</w:t>
            </w:r>
          </w:p>
        </w:tc>
      </w:tr>
      <w:tr w:rsidR="007B5401" w14:paraId="3EC895B4" w14:textId="77777777" w:rsidTr="00AC4DA9">
        <w:tc>
          <w:tcPr>
            <w:tcW w:w="1265" w:type="dxa"/>
          </w:tcPr>
          <w:p w14:paraId="0752B2D5"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2013</w:t>
            </w:r>
          </w:p>
        </w:tc>
        <w:tc>
          <w:tcPr>
            <w:tcW w:w="1707" w:type="dxa"/>
          </w:tcPr>
          <w:p w14:paraId="0AA33946"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Esposito; De Nito; Iacono; Silvestri</w:t>
            </w:r>
          </w:p>
        </w:tc>
        <w:tc>
          <w:tcPr>
            <w:tcW w:w="2268" w:type="dxa"/>
          </w:tcPr>
          <w:p w14:paraId="32D8E622"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Dealing with knowledge in the Italian public universities The role of performance management systems</w:t>
            </w:r>
          </w:p>
        </w:tc>
        <w:tc>
          <w:tcPr>
            <w:tcW w:w="3825" w:type="dxa"/>
          </w:tcPr>
          <w:p w14:paraId="4601669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indicam que os </w:t>
            </w:r>
            <w:r>
              <w:rPr>
                <w:rFonts w:ascii="Times New Roman" w:hAnsi="Times New Roman" w:cs="Times New Roman"/>
                <w:sz w:val="20"/>
                <w:szCs w:val="20"/>
              </w:rPr>
              <w:t>SGCs</w:t>
            </w:r>
            <w:r w:rsidRPr="00DB41E0">
              <w:rPr>
                <w:rFonts w:ascii="Times New Roman" w:hAnsi="Times New Roman" w:cs="Times New Roman"/>
                <w:sz w:val="20"/>
                <w:szCs w:val="20"/>
              </w:rPr>
              <w:t xml:space="preserve"> de desempenho em universidades italianas podem atuar como ferramentas sociais para integrar conhecimento tácito e explícito. A pesquisa mostra que diferentes escolhas de </w:t>
            </w:r>
            <w:r>
              <w:rPr>
                <w:rFonts w:ascii="Times New Roman" w:hAnsi="Times New Roman" w:cs="Times New Roman"/>
                <w:sz w:val="20"/>
                <w:szCs w:val="20"/>
              </w:rPr>
              <w:t>SGD</w:t>
            </w:r>
            <w:r w:rsidRPr="00DB41E0">
              <w:rPr>
                <w:rFonts w:ascii="Times New Roman" w:hAnsi="Times New Roman" w:cs="Times New Roman"/>
                <w:sz w:val="20"/>
                <w:szCs w:val="20"/>
              </w:rPr>
              <w:t xml:space="preserve"> influenciam a gestão do conhecimento organizacional, abrindo espaço para discutir suas interconexões no setor público.</w:t>
            </w:r>
          </w:p>
        </w:tc>
      </w:tr>
      <w:tr w:rsidR="007B5401" w14:paraId="71DF8813" w14:textId="77777777" w:rsidTr="00AC4DA9">
        <w:tc>
          <w:tcPr>
            <w:tcW w:w="1265" w:type="dxa"/>
          </w:tcPr>
          <w:p w14:paraId="3023E9B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2015</w:t>
            </w:r>
          </w:p>
        </w:tc>
        <w:tc>
          <w:tcPr>
            <w:tcW w:w="1707" w:type="dxa"/>
          </w:tcPr>
          <w:p w14:paraId="6CCADF35"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Chiu</w:t>
            </w:r>
            <w:r>
              <w:rPr>
                <w:rFonts w:ascii="Times New Roman" w:hAnsi="Times New Roman" w:cs="Times New Roman"/>
                <w:sz w:val="20"/>
                <w:szCs w:val="20"/>
              </w:rPr>
              <w:t>c</w:t>
            </w:r>
            <w:r w:rsidRPr="00DB41E0">
              <w:rPr>
                <w:rFonts w:ascii="Times New Roman" w:hAnsi="Times New Roman" w:cs="Times New Roman"/>
                <w:sz w:val="20"/>
                <w:szCs w:val="20"/>
              </w:rPr>
              <w:t>chi; Dumay</w:t>
            </w:r>
          </w:p>
        </w:tc>
        <w:tc>
          <w:tcPr>
            <w:tcW w:w="2268" w:type="dxa"/>
          </w:tcPr>
          <w:p w14:paraId="3DE1F58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Unlocking intellectual capital</w:t>
            </w:r>
          </w:p>
        </w:tc>
        <w:tc>
          <w:tcPr>
            <w:tcW w:w="3825" w:type="dxa"/>
          </w:tcPr>
          <w:p w14:paraId="20943C7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mostram que a contabilidade do </w:t>
            </w:r>
            <w:r>
              <w:rPr>
                <w:rFonts w:ascii="Times New Roman" w:eastAsia="Times New Roman" w:hAnsi="Times New Roman" w:cs="Times New Roman"/>
                <w:sz w:val="24"/>
                <w:szCs w:val="24"/>
              </w:rPr>
              <w:t>CI</w:t>
            </w:r>
            <w:r w:rsidRPr="00DB41E0">
              <w:rPr>
                <w:rFonts w:ascii="Times New Roman" w:hAnsi="Times New Roman" w:cs="Times New Roman"/>
                <w:sz w:val="20"/>
                <w:szCs w:val="20"/>
              </w:rPr>
              <w:t xml:space="preserve"> pode inicialmente restringir sua gestão, mas também funciona como etapa necessária para introduzir o conceito em organizações públicas. O estudo de caso revela que o CI não é estático, mas uma jornada que combina mensuração e gestão estratégica, reforçando seu papel transformador no setor público.</w:t>
            </w:r>
          </w:p>
        </w:tc>
      </w:tr>
      <w:tr w:rsidR="007B5401" w14:paraId="38A5DB5C" w14:textId="77777777" w:rsidTr="00AC4DA9">
        <w:tc>
          <w:tcPr>
            <w:tcW w:w="1265" w:type="dxa"/>
          </w:tcPr>
          <w:p w14:paraId="2774369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2016</w:t>
            </w:r>
          </w:p>
        </w:tc>
        <w:tc>
          <w:tcPr>
            <w:tcW w:w="1707" w:type="dxa"/>
          </w:tcPr>
          <w:p w14:paraId="30600CA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Rossi; Citro; Bisogno</w:t>
            </w:r>
          </w:p>
        </w:tc>
        <w:tc>
          <w:tcPr>
            <w:tcW w:w="2268" w:type="dxa"/>
          </w:tcPr>
          <w:p w14:paraId="6FD29140"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Intellectual capital in action: evidence from Italian local governments</w:t>
            </w:r>
          </w:p>
        </w:tc>
        <w:tc>
          <w:tcPr>
            <w:tcW w:w="3825" w:type="dxa"/>
          </w:tcPr>
          <w:p w14:paraId="7C1B26A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mostram que, nos governos locais italianos, o capital humano é associado a desempenho, pertencimento e motivação; o capital relacional envolve valores, relações e ações; e o capital estrutural inclui rotinas e procedimentos que sustentam decisões e adaptação. Apesar das limitações do estudo, os achados abrem espaço para pesquisas futuras e apoiam a divulgação do CI em governos locais.</w:t>
            </w:r>
          </w:p>
        </w:tc>
      </w:tr>
      <w:tr w:rsidR="007B5401" w14:paraId="67235460" w14:textId="77777777" w:rsidTr="00AC4DA9">
        <w:tc>
          <w:tcPr>
            <w:tcW w:w="1265" w:type="dxa"/>
          </w:tcPr>
          <w:p w14:paraId="4DDD2F6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2017</w:t>
            </w:r>
          </w:p>
        </w:tc>
        <w:tc>
          <w:tcPr>
            <w:tcW w:w="1707" w:type="dxa"/>
          </w:tcPr>
          <w:p w14:paraId="3970CAED"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Farah; Abouzeid</w:t>
            </w:r>
          </w:p>
        </w:tc>
        <w:tc>
          <w:tcPr>
            <w:tcW w:w="2268" w:type="dxa"/>
          </w:tcPr>
          <w:p w14:paraId="3725C2A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The impact of intellectual capital on performance: Evidence from the public sector</w:t>
            </w:r>
          </w:p>
        </w:tc>
        <w:tc>
          <w:tcPr>
            <w:tcW w:w="3825" w:type="dxa"/>
          </w:tcPr>
          <w:p w14:paraId="3EA8A734"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indicam que o capital humano, social e organizacional têm papel decisivo na melhoria do desempenho no setor público da região do Conselho de Cooperação do Golfo (GCC). Além disso, essas formas de capital se mostram interconectadas, reforçando evidências </w:t>
            </w:r>
            <w:r w:rsidRPr="00DB41E0">
              <w:rPr>
                <w:rFonts w:ascii="Times New Roman" w:hAnsi="Times New Roman" w:cs="Times New Roman"/>
                <w:sz w:val="20"/>
                <w:szCs w:val="20"/>
              </w:rPr>
              <w:lastRenderedPageBreak/>
              <w:t xml:space="preserve">anteriores sobre o impacto positivo do </w:t>
            </w:r>
            <w:r>
              <w:rPr>
                <w:rFonts w:ascii="Times New Roman" w:eastAsia="Times New Roman" w:hAnsi="Times New Roman" w:cs="Times New Roman"/>
                <w:sz w:val="24"/>
                <w:szCs w:val="24"/>
              </w:rPr>
              <w:t>CI</w:t>
            </w:r>
            <w:r w:rsidRPr="00DB41E0">
              <w:rPr>
                <w:rFonts w:ascii="Times New Roman" w:hAnsi="Times New Roman" w:cs="Times New Roman"/>
                <w:sz w:val="20"/>
                <w:szCs w:val="20"/>
              </w:rPr>
              <w:t xml:space="preserve"> no desempenho organizacional.</w:t>
            </w:r>
          </w:p>
        </w:tc>
      </w:tr>
      <w:tr w:rsidR="007B5401" w14:paraId="7C784D52" w14:textId="77777777" w:rsidTr="00AC4DA9">
        <w:tc>
          <w:tcPr>
            <w:tcW w:w="1265" w:type="dxa"/>
          </w:tcPr>
          <w:p w14:paraId="5168C296"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lastRenderedPageBreak/>
              <w:t>2018</w:t>
            </w:r>
          </w:p>
        </w:tc>
        <w:tc>
          <w:tcPr>
            <w:tcW w:w="1707" w:type="dxa"/>
          </w:tcPr>
          <w:p w14:paraId="3AFDDAE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Mitrovic; Obradovic; Suknovic</w:t>
            </w:r>
          </w:p>
        </w:tc>
        <w:tc>
          <w:tcPr>
            <w:tcW w:w="2268" w:type="dxa"/>
          </w:tcPr>
          <w:p w14:paraId="37C44ED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Knowledge management in the public sector - the case of serbian local government</w:t>
            </w:r>
          </w:p>
        </w:tc>
        <w:tc>
          <w:tcPr>
            <w:tcW w:w="3825" w:type="dxa"/>
          </w:tcPr>
          <w:p w14:paraId="0110CC3F"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mostram que, nos governos locais da Sérvia, a gestão do conhecimento é bem recebida e apoiada por tecnologias, sendo vista como prioridade gerencial. Contudo, falta atribuição formal de responsabilidades e integração em planos estratégicos, revelando limitações que abrem espaço para pesquisas futuras e melhorias práticas.</w:t>
            </w:r>
          </w:p>
        </w:tc>
      </w:tr>
      <w:tr w:rsidR="007B5401" w14:paraId="30799D59" w14:textId="77777777" w:rsidTr="00AC4DA9">
        <w:tc>
          <w:tcPr>
            <w:tcW w:w="1265" w:type="dxa"/>
          </w:tcPr>
          <w:p w14:paraId="2E3B4B16"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2018</w:t>
            </w:r>
          </w:p>
        </w:tc>
        <w:tc>
          <w:tcPr>
            <w:tcW w:w="1707" w:type="dxa"/>
          </w:tcPr>
          <w:p w14:paraId="33BC5998"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Altukhova; Vasileva; Mirzoyan</w:t>
            </w:r>
          </w:p>
        </w:tc>
        <w:tc>
          <w:tcPr>
            <w:tcW w:w="2268" w:type="dxa"/>
          </w:tcPr>
          <w:p w14:paraId="5BC5E47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Competence-based approach to managing staff in public administration on the basis of ontologies</w:t>
            </w:r>
          </w:p>
        </w:tc>
        <w:tc>
          <w:tcPr>
            <w:tcW w:w="3825" w:type="dxa"/>
          </w:tcPr>
          <w:p w14:paraId="51D9ED8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apontam que as competências mais demandadas entre servidores públicos são habilidades profissionais gerais, competências regulatórias-legais e orientação para resultados, enquanto gestão de mudanças e autogestão aparecem como menos relevantes. Há alta necessidade de atualização profissional e desafios na troca de conhecimento, que permanece restrito ao uso individual. O estudo propõe o uso de abordagens ontológicas e informatização para alinhar competências às funções e apoiar a seleção eficiente de pessoal no setor público.</w:t>
            </w:r>
          </w:p>
        </w:tc>
      </w:tr>
      <w:tr w:rsidR="007B5401" w14:paraId="7F3840B4" w14:textId="77777777" w:rsidTr="00AC4DA9">
        <w:tc>
          <w:tcPr>
            <w:tcW w:w="1265" w:type="dxa"/>
          </w:tcPr>
          <w:p w14:paraId="4496223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2019</w:t>
            </w:r>
          </w:p>
        </w:tc>
        <w:tc>
          <w:tcPr>
            <w:tcW w:w="1707" w:type="dxa"/>
          </w:tcPr>
          <w:p w14:paraId="4EAC863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Adobor; Kudonoo; Daneshfar</w:t>
            </w:r>
          </w:p>
        </w:tc>
        <w:tc>
          <w:tcPr>
            <w:tcW w:w="2268" w:type="dxa"/>
          </w:tcPr>
          <w:p w14:paraId="4BA659E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Knowledge management capability and organizational memory: a study of public sector agencies</w:t>
            </w:r>
          </w:p>
        </w:tc>
        <w:tc>
          <w:tcPr>
            <w:tcW w:w="3825" w:type="dxa"/>
          </w:tcPr>
          <w:p w14:paraId="47D2DB6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mostram que a </w:t>
            </w:r>
            <w:r>
              <w:rPr>
                <w:rFonts w:ascii="Times New Roman" w:hAnsi="Times New Roman" w:cs="Times New Roman"/>
                <w:sz w:val="20"/>
                <w:szCs w:val="20"/>
              </w:rPr>
              <w:t>CGC</w:t>
            </w:r>
            <w:r w:rsidRPr="00DB41E0">
              <w:rPr>
                <w:rFonts w:ascii="Times New Roman" w:hAnsi="Times New Roman" w:cs="Times New Roman"/>
                <w:sz w:val="20"/>
                <w:szCs w:val="20"/>
              </w:rPr>
              <w:t xml:space="preserve"> impacta positivamente a </w:t>
            </w:r>
            <w:r>
              <w:rPr>
                <w:rFonts w:ascii="Times New Roman" w:hAnsi="Times New Roman" w:cs="Times New Roman"/>
                <w:sz w:val="20"/>
                <w:szCs w:val="20"/>
              </w:rPr>
              <w:t>MO</w:t>
            </w:r>
            <w:r w:rsidRPr="00DB41E0">
              <w:rPr>
                <w:rFonts w:ascii="Times New Roman" w:hAnsi="Times New Roman" w:cs="Times New Roman"/>
                <w:sz w:val="20"/>
                <w:szCs w:val="20"/>
              </w:rPr>
              <w:t xml:space="preserve"> em agências públicas de Gana. Aquisição e retenção de conhecimento foram identificadas como variáveis críticas nesse processo. O estudo reforça que investimentos em capacidades e infraestrutura de GC são essenciais para fortalecer a </w:t>
            </w:r>
            <w:r>
              <w:rPr>
                <w:rFonts w:ascii="Times New Roman" w:hAnsi="Times New Roman" w:cs="Times New Roman"/>
                <w:sz w:val="20"/>
                <w:szCs w:val="20"/>
              </w:rPr>
              <w:t>MO</w:t>
            </w:r>
            <w:r w:rsidRPr="00DB41E0">
              <w:rPr>
                <w:rFonts w:ascii="Times New Roman" w:hAnsi="Times New Roman" w:cs="Times New Roman"/>
                <w:sz w:val="20"/>
                <w:szCs w:val="20"/>
              </w:rPr>
              <w:t xml:space="preserve"> no setor público.</w:t>
            </w:r>
          </w:p>
        </w:tc>
      </w:tr>
      <w:tr w:rsidR="007B5401" w14:paraId="2293F5B0" w14:textId="77777777" w:rsidTr="00AC4DA9">
        <w:tc>
          <w:tcPr>
            <w:tcW w:w="1265" w:type="dxa"/>
          </w:tcPr>
          <w:p w14:paraId="2C17395F"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2019</w:t>
            </w:r>
          </w:p>
        </w:tc>
        <w:tc>
          <w:tcPr>
            <w:tcW w:w="1707" w:type="dxa"/>
          </w:tcPr>
          <w:p w14:paraId="1200AE48"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Lartey; Kong; Afriyie; Santosh; Bah</w:t>
            </w:r>
          </w:p>
        </w:tc>
        <w:tc>
          <w:tcPr>
            <w:tcW w:w="2268" w:type="dxa"/>
          </w:tcPr>
          <w:p w14:paraId="3F2ABF8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Knowledge Management Issues in India: A Public Sector Perspective</w:t>
            </w:r>
          </w:p>
        </w:tc>
        <w:tc>
          <w:tcPr>
            <w:tcW w:w="3825" w:type="dxa"/>
          </w:tcPr>
          <w:p w14:paraId="66032AF5"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mostram que aprendizagem organizacional, compartilhamento de conhecimento, inovação, identidade social e infraestrutura tecnológica são determinantes centrais da gestão do conhecimento na administração pública da Índia. Essas variáveis contribuem para melhorar o desempenho individual e organizacional, embora haja necessidade de fortalecer a aprendizagem e o compartilhamento para reduzir desigualdades de conhecimento no setor público.</w:t>
            </w:r>
          </w:p>
        </w:tc>
      </w:tr>
      <w:tr w:rsidR="007B5401" w14:paraId="179F2E57" w14:textId="77777777" w:rsidTr="00AC4DA9">
        <w:tc>
          <w:tcPr>
            <w:tcW w:w="1265" w:type="dxa"/>
          </w:tcPr>
          <w:p w14:paraId="21451E02"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2020</w:t>
            </w:r>
          </w:p>
        </w:tc>
        <w:tc>
          <w:tcPr>
            <w:tcW w:w="1707" w:type="dxa"/>
          </w:tcPr>
          <w:p w14:paraId="739CE7A0"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Bo</w:t>
            </w:r>
            <w:r>
              <w:rPr>
                <w:rFonts w:ascii="Times New Roman" w:hAnsi="Times New Roman" w:cs="Times New Roman"/>
                <w:sz w:val="20"/>
                <w:szCs w:val="20"/>
              </w:rPr>
              <w:t>h</w:t>
            </w:r>
            <w:r w:rsidRPr="00DB41E0">
              <w:rPr>
                <w:rFonts w:ascii="Times New Roman" w:hAnsi="Times New Roman" w:cs="Times New Roman"/>
                <w:sz w:val="20"/>
                <w:szCs w:val="20"/>
              </w:rPr>
              <w:t>orquez-Lopez</w:t>
            </w:r>
          </w:p>
        </w:tc>
        <w:tc>
          <w:tcPr>
            <w:tcW w:w="2268" w:type="dxa"/>
          </w:tcPr>
          <w:p w14:paraId="656EC81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Using knowledge management to improve inter-institutional collaboration in crisis events</w:t>
            </w:r>
          </w:p>
        </w:tc>
        <w:tc>
          <w:tcPr>
            <w:tcW w:w="3825" w:type="dxa"/>
          </w:tcPr>
          <w:p w14:paraId="65FF8BB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destacam que a gestão do conhecimento é essencial para enfrentar crises, e propõem um modelo de colaboração interinstitucional baseado em dados abertos. Validado por acadêmicos, servidores públicos e cidadãos, o modelo busca promover transparência, participação e cooperação, oferecendo diretrizes para melhorar a gestão de crises e apoiar a criação de uma plataforma de dados abertos.</w:t>
            </w:r>
          </w:p>
        </w:tc>
      </w:tr>
      <w:tr w:rsidR="007B5401" w14:paraId="24013971" w14:textId="77777777" w:rsidTr="00AC4DA9">
        <w:tc>
          <w:tcPr>
            <w:tcW w:w="1265" w:type="dxa"/>
          </w:tcPr>
          <w:p w14:paraId="50C1910D"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2021</w:t>
            </w:r>
          </w:p>
        </w:tc>
        <w:tc>
          <w:tcPr>
            <w:tcW w:w="1707" w:type="dxa"/>
          </w:tcPr>
          <w:p w14:paraId="2CE68A92"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Markopoulos; Hoxhallari; Vanharanta</w:t>
            </w:r>
          </w:p>
        </w:tc>
        <w:tc>
          <w:tcPr>
            <w:tcW w:w="2268" w:type="dxa"/>
          </w:tcPr>
          <w:p w14:paraId="235EDDA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Democratic Governmental Corporate Entrepreneurship for the </w:t>
            </w:r>
            <w:r w:rsidRPr="00DB41E0">
              <w:rPr>
                <w:rFonts w:ascii="Times New Roman" w:hAnsi="Times New Roman" w:cs="Times New Roman"/>
                <w:sz w:val="20"/>
                <w:szCs w:val="20"/>
              </w:rPr>
              <w:lastRenderedPageBreak/>
              <w:t>Transformation of the Public Sector in the Balkan Region</w:t>
            </w:r>
          </w:p>
        </w:tc>
        <w:tc>
          <w:tcPr>
            <w:tcW w:w="3825" w:type="dxa"/>
          </w:tcPr>
          <w:p w14:paraId="0969341F"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lastRenderedPageBreak/>
              <w:t xml:space="preserve">Os resultados indicam que a democratização no setor público pode impulsionar inovação e empreendedorismo governamental, ao </w:t>
            </w:r>
            <w:r w:rsidRPr="00DB41E0">
              <w:rPr>
                <w:rFonts w:ascii="Times New Roman" w:hAnsi="Times New Roman" w:cs="Times New Roman"/>
                <w:sz w:val="20"/>
                <w:szCs w:val="20"/>
              </w:rPr>
              <w:lastRenderedPageBreak/>
              <w:t>ampliar a autonomia dos servidores e seu acesso a informações. O estudo propõe um Modelo Holístico de Empreendedorismo Governamental, que integra gestão de mudanças, motivação e intraempreendedorismo democrático para fortalecer a gestão do conhecimento e a cultura organizacional.</w:t>
            </w:r>
          </w:p>
        </w:tc>
      </w:tr>
      <w:tr w:rsidR="007B5401" w14:paraId="6EFE7C17" w14:textId="77777777" w:rsidTr="00AC4DA9">
        <w:tc>
          <w:tcPr>
            <w:tcW w:w="1265" w:type="dxa"/>
          </w:tcPr>
          <w:p w14:paraId="5E057605"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lastRenderedPageBreak/>
              <w:t>2021</w:t>
            </w:r>
          </w:p>
        </w:tc>
        <w:tc>
          <w:tcPr>
            <w:tcW w:w="1707" w:type="dxa"/>
          </w:tcPr>
          <w:p w14:paraId="128D9315"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Akil; Soemaryani; Hilmiana; Joeliaty</w:t>
            </w:r>
          </w:p>
        </w:tc>
        <w:tc>
          <w:tcPr>
            <w:tcW w:w="2268" w:type="dxa"/>
          </w:tcPr>
          <w:p w14:paraId="5C504A5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Determinant Factors of Intellectual Capital for Improving Public Sector Innovation: An Empirical Study from Indonesia</w:t>
            </w:r>
          </w:p>
        </w:tc>
        <w:tc>
          <w:tcPr>
            <w:tcW w:w="3825" w:type="dxa"/>
          </w:tcPr>
          <w:p w14:paraId="0F41EBC4"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mostram que o </w:t>
            </w:r>
            <w:r>
              <w:rPr>
                <w:rFonts w:ascii="Times New Roman" w:eastAsia="Times New Roman" w:hAnsi="Times New Roman" w:cs="Times New Roman"/>
                <w:sz w:val="24"/>
                <w:szCs w:val="24"/>
              </w:rPr>
              <w:t>CI</w:t>
            </w:r>
            <w:r w:rsidRPr="00DB41E0">
              <w:rPr>
                <w:rFonts w:ascii="Times New Roman" w:hAnsi="Times New Roman" w:cs="Times New Roman"/>
                <w:sz w:val="20"/>
                <w:szCs w:val="20"/>
              </w:rPr>
              <w:t xml:space="preserve"> influencia fortemente a gestão do conhecimento, e ambos têm impacto significativo na inovação no setor público da Indonésia. A gestão do conhecimento atua como variável mediadora entre </w:t>
            </w:r>
            <w:r>
              <w:rPr>
                <w:rFonts w:ascii="Times New Roman" w:eastAsia="Times New Roman" w:hAnsi="Times New Roman" w:cs="Times New Roman"/>
                <w:sz w:val="24"/>
                <w:szCs w:val="24"/>
              </w:rPr>
              <w:t>CI</w:t>
            </w:r>
            <w:r w:rsidRPr="00DB41E0">
              <w:rPr>
                <w:rFonts w:ascii="Times New Roman" w:hAnsi="Times New Roman" w:cs="Times New Roman"/>
                <w:sz w:val="20"/>
                <w:szCs w:val="20"/>
              </w:rPr>
              <w:t xml:space="preserve"> e inovação, evidenciando que a combinação adequada desses fatores pode ampliar a capacidade inovadora das organizações públicas.</w:t>
            </w:r>
          </w:p>
        </w:tc>
      </w:tr>
      <w:tr w:rsidR="007B5401" w14:paraId="3F7D9F5D" w14:textId="77777777" w:rsidTr="00AC4DA9">
        <w:tc>
          <w:tcPr>
            <w:tcW w:w="1265" w:type="dxa"/>
          </w:tcPr>
          <w:p w14:paraId="33EB7FE8"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2022</w:t>
            </w:r>
          </w:p>
        </w:tc>
        <w:tc>
          <w:tcPr>
            <w:tcW w:w="1707" w:type="dxa"/>
          </w:tcPr>
          <w:p w14:paraId="6C96C35E"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Arif; A-Zahrani</w:t>
            </w:r>
          </w:p>
        </w:tc>
        <w:tc>
          <w:tcPr>
            <w:tcW w:w="2268" w:type="dxa"/>
          </w:tcPr>
          <w:p w14:paraId="6ED1D00D"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The Ingredients for the Success of Knowledge Management Application in Supporting Investment in Saudi Universities According to the Vision of the Kingdom of Saudi Arabia 2030</w:t>
            </w:r>
          </w:p>
        </w:tc>
        <w:tc>
          <w:tcPr>
            <w:tcW w:w="3825" w:type="dxa"/>
          </w:tcPr>
          <w:p w14:paraId="022779F0"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indicam que, para apoiar investimentos em universidades sauditas conforme a Visão 2030, a gestão do conhecimento deve ser acompanhada de elementos como inovação, experimentação e geração de ideias. A criação de experiências baseadas no conhecimento e o alinhamento aos usuários são essenciais para o sucesso da aplicação da GC no setor público do país.</w:t>
            </w:r>
          </w:p>
        </w:tc>
      </w:tr>
      <w:tr w:rsidR="007B5401" w14:paraId="6860C002" w14:textId="77777777" w:rsidTr="00AC4DA9">
        <w:tc>
          <w:tcPr>
            <w:tcW w:w="1265" w:type="dxa"/>
          </w:tcPr>
          <w:p w14:paraId="51578EF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2022</w:t>
            </w:r>
          </w:p>
        </w:tc>
        <w:tc>
          <w:tcPr>
            <w:tcW w:w="1707" w:type="dxa"/>
          </w:tcPr>
          <w:p w14:paraId="2713DAC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Paoloni; Modaffari; Ricci; Della Corte</w:t>
            </w:r>
          </w:p>
        </w:tc>
        <w:tc>
          <w:tcPr>
            <w:tcW w:w="2268" w:type="dxa"/>
          </w:tcPr>
          <w:p w14:paraId="3FBD6168"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Intellectual capital between measurement and reporting: a structured literature review</w:t>
            </w:r>
          </w:p>
        </w:tc>
        <w:tc>
          <w:tcPr>
            <w:tcW w:w="3825" w:type="dxa"/>
          </w:tcPr>
          <w:p w14:paraId="5F4EAD7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da revisão sistemática mostram que a mensuração e o reporte do </w:t>
            </w:r>
            <w:r w:rsidRPr="00025A69">
              <w:rPr>
                <w:rFonts w:ascii="Times New Roman" w:eastAsia="Times New Roman" w:hAnsi="Times New Roman" w:cs="Times New Roman"/>
                <w:sz w:val="20"/>
                <w:szCs w:val="20"/>
              </w:rPr>
              <w:t>CI</w:t>
            </w:r>
            <w:r w:rsidRPr="00DB41E0">
              <w:rPr>
                <w:rFonts w:ascii="Times New Roman" w:hAnsi="Times New Roman" w:cs="Times New Roman"/>
                <w:sz w:val="20"/>
                <w:szCs w:val="20"/>
              </w:rPr>
              <w:t xml:space="preserve"> concentram-se em sete áreas de pesquisa, incluindo setor público, universidades e métodos de avaliação. Apesar das limitações metodológicas, os achados reforçam a importância do CI como ferramenta estratégica para reduzir assimetrias de informação, engajar </w:t>
            </w:r>
            <w:r w:rsidRPr="00F26737">
              <w:rPr>
                <w:rFonts w:ascii="Times New Roman" w:hAnsi="Times New Roman" w:cs="Times New Roman"/>
                <w:i/>
                <w:iCs/>
                <w:sz w:val="20"/>
                <w:szCs w:val="20"/>
              </w:rPr>
              <w:t>stakeholders</w:t>
            </w:r>
            <w:r w:rsidRPr="00DB41E0">
              <w:rPr>
                <w:rFonts w:ascii="Times New Roman" w:hAnsi="Times New Roman" w:cs="Times New Roman"/>
                <w:sz w:val="20"/>
                <w:szCs w:val="20"/>
              </w:rPr>
              <w:t xml:space="preserve"> e melhorar a gestão organizacional, além de apontar caminhos para pesquisas futuras.</w:t>
            </w:r>
          </w:p>
        </w:tc>
      </w:tr>
      <w:tr w:rsidR="007B5401" w14:paraId="1342557A" w14:textId="77777777" w:rsidTr="00AC4DA9">
        <w:tc>
          <w:tcPr>
            <w:tcW w:w="1265" w:type="dxa"/>
          </w:tcPr>
          <w:p w14:paraId="62B30582"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2023</w:t>
            </w:r>
          </w:p>
        </w:tc>
        <w:tc>
          <w:tcPr>
            <w:tcW w:w="1707" w:type="dxa"/>
          </w:tcPr>
          <w:p w14:paraId="08E744F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Da Costa; Da Silva; Silva</w:t>
            </w:r>
          </w:p>
        </w:tc>
        <w:tc>
          <w:tcPr>
            <w:tcW w:w="2268" w:type="dxa"/>
          </w:tcPr>
          <w:p w14:paraId="2B4C769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Determinants of practices knowledge management: structure in the context of the Public University</w:t>
            </w:r>
          </w:p>
        </w:tc>
        <w:tc>
          <w:tcPr>
            <w:tcW w:w="3825" w:type="dxa"/>
          </w:tcPr>
          <w:p w14:paraId="2F6D682D"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Os resultados indicam que as práticas de gestão do conhecimento em uma universidade pública brasileira se estruturam em nove elementos, incluindo disseminação, criação, aprimoramento, documentação e socialização do conhecimento, além do foco na missão e no benefício social. O modelo contribui para a teoria e a prática da GC, oferecendo diretrizes que podem ser aplicadas em outros contextos institucionais.</w:t>
            </w:r>
          </w:p>
        </w:tc>
      </w:tr>
      <w:tr w:rsidR="007B5401" w14:paraId="6C7FB59A" w14:textId="77777777" w:rsidTr="00AC4DA9">
        <w:tc>
          <w:tcPr>
            <w:tcW w:w="1265" w:type="dxa"/>
          </w:tcPr>
          <w:p w14:paraId="72D5D59A"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2024</w:t>
            </w:r>
          </w:p>
        </w:tc>
        <w:tc>
          <w:tcPr>
            <w:tcW w:w="1707" w:type="dxa"/>
          </w:tcPr>
          <w:p w14:paraId="10705C3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Rupcic; Babsek</w:t>
            </w:r>
          </w:p>
        </w:tc>
        <w:tc>
          <w:tcPr>
            <w:tcW w:w="2268" w:type="dxa"/>
          </w:tcPr>
          <w:p w14:paraId="418DCFB1"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Stakeholder analysis as tool for organisational learning in social services: does internal social capital play a role?</w:t>
            </w:r>
          </w:p>
        </w:tc>
        <w:tc>
          <w:tcPr>
            <w:tcW w:w="3825" w:type="dxa"/>
          </w:tcPr>
          <w:p w14:paraId="786597DB"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Os resultados mostram que, embora a análise de </w:t>
            </w:r>
            <w:r w:rsidRPr="00F26737">
              <w:rPr>
                <w:rFonts w:ascii="Times New Roman" w:hAnsi="Times New Roman" w:cs="Times New Roman"/>
                <w:i/>
                <w:iCs/>
                <w:sz w:val="20"/>
                <w:szCs w:val="20"/>
              </w:rPr>
              <w:t>stakeholders</w:t>
            </w:r>
            <w:r w:rsidRPr="00DB41E0">
              <w:rPr>
                <w:rFonts w:ascii="Times New Roman" w:hAnsi="Times New Roman" w:cs="Times New Roman"/>
                <w:sz w:val="20"/>
                <w:szCs w:val="20"/>
              </w:rPr>
              <w:t>, a aprendizagem organizacional e o capital social interno estejam presentes em um serviço social esloveno, não foi encontrada relação significativa entre eles. A dependência das decisões do ministério aparece como fator externo que limita a aprendizagem e a mudança organizacional.</w:t>
            </w:r>
          </w:p>
        </w:tc>
      </w:tr>
      <w:tr w:rsidR="007B5401" w14:paraId="594E81F4" w14:textId="77777777" w:rsidTr="00AC4DA9">
        <w:tc>
          <w:tcPr>
            <w:tcW w:w="1265" w:type="dxa"/>
          </w:tcPr>
          <w:p w14:paraId="7A66B753"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2025</w:t>
            </w:r>
          </w:p>
        </w:tc>
        <w:tc>
          <w:tcPr>
            <w:tcW w:w="1707" w:type="dxa"/>
          </w:tcPr>
          <w:p w14:paraId="5193D806"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Garlatti; Fedele; </w:t>
            </w:r>
            <w:r>
              <w:rPr>
                <w:rFonts w:ascii="Times New Roman" w:hAnsi="Times New Roman" w:cs="Times New Roman"/>
                <w:sz w:val="20"/>
                <w:szCs w:val="20"/>
              </w:rPr>
              <w:t>I</w:t>
            </w:r>
            <w:r w:rsidRPr="00DB41E0">
              <w:rPr>
                <w:rFonts w:ascii="Times New Roman" w:hAnsi="Times New Roman" w:cs="Times New Roman"/>
                <w:sz w:val="20"/>
                <w:szCs w:val="20"/>
              </w:rPr>
              <w:t>acuzzi</w:t>
            </w:r>
          </w:p>
        </w:tc>
        <w:tc>
          <w:tcPr>
            <w:tcW w:w="2268" w:type="dxa"/>
          </w:tcPr>
          <w:p w14:paraId="2FD3352C"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t xml:space="preserve">Public sector digitalisation: not all </w:t>
            </w:r>
            <w:r w:rsidRPr="00DB41E0">
              <w:rPr>
                <w:rFonts w:ascii="Times New Roman" w:hAnsi="Times New Roman" w:cs="Times New Roman"/>
                <w:sz w:val="20"/>
                <w:szCs w:val="20"/>
              </w:rPr>
              <w:lastRenderedPageBreak/>
              <w:t>positive impacts for knowledge assets</w:t>
            </w:r>
          </w:p>
        </w:tc>
        <w:tc>
          <w:tcPr>
            <w:tcW w:w="3825" w:type="dxa"/>
          </w:tcPr>
          <w:p w14:paraId="54ABAE67" w14:textId="77777777" w:rsidR="007B5401" w:rsidRPr="00DB41E0" w:rsidRDefault="007B5401" w:rsidP="00AC4DA9">
            <w:pPr>
              <w:rPr>
                <w:rFonts w:ascii="Times New Roman" w:hAnsi="Times New Roman" w:cs="Times New Roman"/>
                <w:sz w:val="20"/>
                <w:szCs w:val="20"/>
              </w:rPr>
            </w:pPr>
            <w:r w:rsidRPr="00DB41E0">
              <w:rPr>
                <w:rFonts w:ascii="Times New Roman" w:hAnsi="Times New Roman" w:cs="Times New Roman"/>
                <w:sz w:val="20"/>
                <w:szCs w:val="20"/>
              </w:rPr>
              <w:lastRenderedPageBreak/>
              <w:t xml:space="preserve">Os resultados mostram que a digitalização pode fortalecer os ativos de conhecimento </w:t>
            </w:r>
            <w:r w:rsidRPr="00DB41E0">
              <w:rPr>
                <w:rFonts w:ascii="Times New Roman" w:hAnsi="Times New Roman" w:cs="Times New Roman"/>
                <w:sz w:val="20"/>
                <w:szCs w:val="20"/>
              </w:rPr>
              <w:lastRenderedPageBreak/>
              <w:t>na administração pública, mas também gera custos de aprendizado, conformidade e sobrecarga psicológica. O estudo de um serviço social na Itália evidencia a necessidade de monitorar esses efeitos para mitigar riscos e evitar impactos negativos no capital humano, estrutural e relacional.</w:t>
            </w:r>
          </w:p>
        </w:tc>
      </w:tr>
    </w:tbl>
    <w:p w14:paraId="33DC53FE" w14:textId="5EA28049" w:rsidR="007B5401" w:rsidRDefault="007B5401" w:rsidP="007B5401">
      <w:pPr>
        <w:jc w:val="center"/>
        <w:rPr>
          <w:rFonts w:ascii="Times New Roman" w:hAnsi="Times New Roman" w:cs="Times New Roman"/>
          <w:sz w:val="20"/>
          <w:szCs w:val="20"/>
        </w:rPr>
      </w:pPr>
      <w:r w:rsidRPr="000B5AFE">
        <w:rPr>
          <w:rFonts w:ascii="Times New Roman" w:hAnsi="Times New Roman" w:cs="Times New Roman"/>
          <w:sz w:val="20"/>
          <w:szCs w:val="20"/>
        </w:rPr>
        <w:lastRenderedPageBreak/>
        <w:t>Fonte: Dados da pesquisa</w:t>
      </w:r>
      <w:r>
        <w:rPr>
          <w:rFonts w:ascii="Times New Roman" w:hAnsi="Times New Roman" w:cs="Times New Roman"/>
          <w:sz w:val="20"/>
          <w:szCs w:val="20"/>
        </w:rPr>
        <w:t xml:space="preserve"> </w:t>
      </w:r>
      <w:r w:rsidRPr="000B5AFE">
        <w:rPr>
          <w:rFonts w:ascii="Times New Roman" w:hAnsi="Times New Roman" w:cs="Times New Roman"/>
          <w:sz w:val="20"/>
          <w:szCs w:val="20"/>
        </w:rPr>
        <w:t>(2025)</w:t>
      </w:r>
    </w:p>
    <w:p w14:paraId="268F15C3" w14:textId="77777777" w:rsidR="007B5401" w:rsidRPr="000B5AFE" w:rsidRDefault="007B5401" w:rsidP="007B5401">
      <w:pPr>
        <w:spacing w:before="240"/>
        <w:jc w:val="center"/>
        <w:rPr>
          <w:rFonts w:ascii="Times New Roman" w:hAnsi="Times New Roman" w:cs="Times New Roman"/>
          <w:sz w:val="20"/>
          <w:szCs w:val="20"/>
        </w:rPr>
      </w:pPr>
    </w:p>
    <w:p w14:paraId="0852F6D7" w14:textId="77777777" w:rsidR="007B5401" w:rsidRPr="007B5401" w:rsidRDefault="007B5401" w:rsidP="007B5401">
      <w:pPr>
        <w:pStyle w:val="PargrafodaLista"/>
        <w:keepNext/>
        <w:keepLines/>
        <w:numPr>
          <w:ilvl w:val="0"/>
          <w:numId w:val="6"/>
        </w:numPr>
        <w:tabs>
          <w:tab w:val="left" w:pos="606"/>
        </w:tabs>
        <w:spacing w:before="360" w:after="120"/>
        <w:contextualSpacing w:val="0"/>
        <w:outlineLvl w:val="1"/>
        <w:rPr>
          <w:rFonts w:ascii="Times New Roman" w:eastAsia="Times New Roman" w:hAnsi="Times New Roman" w:cs="Times New Roman"/>
          <w:bCs/>
          <w:vanish/>
          <w:sz w:val="24"/>
          <w:szCs w:val="24"/>
        </w:rPr>
      </w:pPr>
    </w:p>
    <w:p w14:paraId="78F220F8" w14:textId="77777777" w:rsidR="007B5401" w:rsidRPr="007B5401" w:rsidRDefault="007B5401" w:rsidP="007B5401">
      <w:pPr>
        <w:pStyle w:val="PargrafodaLista"/>
        <w:keepNext/>
        <w:keepLines/>
        <w:numPr>
          <w:ilvl w:val="0"/>
          <w:numId w:val="6"/>
        </w:numPr>
        <w:tabs>
          <w:tab w:val="left" w:pos="606"/>
        </w:tabs>
        <w:spacing w:before="360" w:after="120"/>
        <w:contextualSpacing w:val="0"/>
        <w:outlineLvl w:val="1"/>
        <w:rPr>
          <w:rFonts w:ascii="Times New Roman" w:eastAsia="Times New Roman" w:hAnsi="Times New Roman" w:cs="Times New Roman"/>
          <w:bCs/>
          <w:vanish/>
          <w:sz w:val="24"/>
          <w:szCs w:val="24"/>
        </w:rPr>
      </w:pPr>
    </w:p>
    <w:p w14:paraId="054BA2BE" w14:textId="77777777" w:rsidR="007B5401" w:rsidRPr="007B5401" w:rsidRDefault="007B5401" w:rsidP="007B5401">
      <w:pPr>
        <w:pStyle w:val="PargrafodaLista"/>
        <w:keepNext/>
        <w:keepLines/>
        <w:numPr>
          <w:ilvl w:val="0"/>
          <w:numId w:val="6"/>
        </w:numPr>
        <w:tabs>
          <w:tab w:val="left" w:pos="606"/>
        </w:tabs>
        <w:spacing w:before="360" w:after="120"/>
        <w:contextualSpacing w:val="0"/>
        <w:outlineLvl w:val="1"/>
        <w:rPr>
          <w:rFonts w:ascii="Times New Roman" w:eastAsia="Times New Roman" w:hAnsi="Times New Roman" w:cs="Times New Roman"/>
          <w:bCs/>
          <w:vanish/>
          <w:sz w:val="24"/>
          <w:szCs w:val="24"/>
        </w:rPr>
      </w:pPr>
    </w:p>
    <w:p w14:paraId="70714700" w14:textId="77777777" w:rsidR="007B5401" w:rsidRPr="007B5401" w:rsidRDefault="007B5401" w:rsidP="007B5401">
      <w:pPr>
        <w:pStyle w:val="PargrafodaLista"/>
        <w:keepNext/>
        <w:keepLines/>
        <w:numPr>
          <w:ilvl w:val="0"/>
          <w:numId w:val="6"/>
        </w:numPr>
        <w:tabs>
          <w:tab w:val="left" w:pos="606"/>
        </w:tabs>
        <w:spacing w:before="360" w:after="120"/>
        <w:contextualSpacing w:val="0"/>
        <w:outlineLvl w:val="1"/>
        <w:rPr>
          <w:rFonts w:ascii="Times New Roman" w:eastAsia="Times New Roman" w:hAnsi="Times New Roman" w:cs="Times New Roman"/>
          <w:bCs/>
          <w:vanish/>
          <w:sz w:val="24"/>
          <w:szCs w:val="24"/>
        </w:rPr>
      </w:pPr>
    </w:p>
    <w:p w14:paraId="5A428F30" w14:textId="41AEF81D" w:rsidR="007B5401" w:rsidRPr="007B5401" w:rsidRDefault="007B5401" w:rsidP="007B5401">
      <w:pPr>
        <w:pStyle w:val="Ttulo2"/>
        <w:numPr>
          <w:ilvl w:val="1"/>
          <w:numId w:val="6"/>
        </w:numPr>
        <w:tabs>
          <w:tab w:val="left" w:pos="606"/>
        </w:tabs>
        <w:rPr>
          <w:rFonts w:ascii="Times New Roman" w:eastAsia="Times New Roman" w:hAnsi="Times New Roman" w:cs="Times New Roman"/>
          <w:b/>
          <w:bCs/>
          <w:sz w:val="24"/>
          <w:szCs w:val="24"/>
        </w:rPr>
      </w:pPr>
      <w:r w:rsidRPr="007B5401">
        <w:rPr>
          <w:rFonts w:ascii="Times New Roman" w:eastAsia="Times New Roman" w:hAnsi="Times New Roman" w:cs="Times New Roman"/>
          <w:bCs/>
          <w:sz w:val="24"/>
          <w:szCs w:val="24"/>
        </w:rPr>
        <w:t>ESTRATÉGIAS DE RETENÇÃO DO CONHECIMENTO</w:t>
      </w:r>
    </w:p>
    <w:p w14:paraId="467C0ADD" w14:textId="77777777" w:rsidR="007B5401" w:rsidRPr="00B90D5F" w:rsidRDefault="007B5401" w:rsidP="007B5401">
      <w:pPr>
        <w:pBdr>
          <w:top w:val="nil"/>
          <w:left w:val="nil"/>
          <w:bottom w:val="nil"/>
          <w:right w:val="nil"/>
          <w:between w:val="nil"/>
        </w:pBdr>
        <w:spacing w:before="282" w:line="360" w:lineRule="auto"/>
        <w:ind w:left="140" w:right="138" w:firstLine="708"/>
        <w:jc w:val="both"/>
        <w:rPr>
          <w:rFonts w:ascii="Times New Roman" w:eastAsia="Times New Roman" w:hAnsi="Times New Roman" w:cs="Times New Roman"/>
          <w:sz w:val="24"/>
          <w:szCs w:val="24"/>
        </w:rPr>
      </w:pPr>
      <w:bookmarkStart w:id="0" w:name="_heading=h.jedalaz2mwik" w:colFirst="0" w:colLast="0"/>
      <w:bookmarkEnd w:id="0"/>
      <w:r w:rsidRPr="00B90D5F">
        <w:rPr>
          <w:rFonts w:ascii="Times New Roman" w:eastAsia="Times New Roman" w:hAnsi="Times New Roman" w:cs="Times New Roman"/>
          <w:sz w:val="24"/>
          <w:szCs w:val="24"/>
        </w:rPr>
        <w:t xml:space="preserve">Adobor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(2019) realizaram um estudo em três agências públicas de Gana e confirmaram que a capacidade de gestão do conhecimento (CGC) tem um impacto positivo e significativo sobre a </w:t>
      </w:r>
      <w:r>
        <w:rPr>
          <w:rFonts w:ascii="Times New Roman" w:eastAsia="Times New Roman" w:hAnsi="Times New Roman" w:cs="Times New Roman"/>
          <w:sz w:val="24"/>
          <w:szCs w:val="24"/>
        </w:rPr>
        <w:t>MO</w:t>
      </w:r>
      <w:r w:rsidRPr="00B90D5F">
        <w:rPr>
          <w:rFonts w:ascii="Times New Roman" w:eastAsia="Times New Roman" w:hAnsi="Times New Roman" w:cs="Times New Roman"/>
          <w:sz w:val="24"/>
          <w:szCs w:val="24"/>
        </w:rPr>
        <w:t>, como resultado adjacente indicam que a</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GC</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pode fortalecer o</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 xml:space="preserve">CI de uma nação e melhorar a efetividade da gestão no setor público, principalmente em países emergentes. Akil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(2021), exploraram o impacto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e da gestão do conhecimento na inovação do setor público. Os resultados da pesquisa apontam para uma influência substancial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na gestão do conhecimento e, consequentemente, ambos têm um impacto significativo na inovação do setor público, sendo a gestão do conhecimento uma ferramenta mediadora entre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e a inovação do setor público. Paoloni</w:t>
      </w:r>
      <w:r w:rsidRPr="00B90D5F">
        <w:rPr>
          <w:rFonts w:ascii="Times New Roman" w:eastAsia="Times New Roman" w:hAnsi="Times New Roman" w:cs="Times New Roman"/>
          <w:i/>
          <w:sz w:val="24"/>
          <w:szCs w:val="24"/>
        </w:rPr>
        <w:t xml:space="preserve"> et al</w:t>
      </w:r>
      <w:r w:rsidRPr="00B90D5F">
        <w:rPr>
          <w:rFonts w:ascii="Times New Roman" w:eastAsia="Times New Roman" w:hAnsi="Times New Roman" w:cs="Times New Roman"/>
          <w:sz w:val="24"/>
          <w:szCs w:val="24"/>
        </w:rPr>
        <w:t xml:space="preserve">. (2022) realizaram uma revisão sistemática da literatura considerando estudos publicados entre 2012 e 2022, no contexto italiano, os resultados indicam que a mensuração e o reporte do CI são temas ainda amplamente pesquisados e que seguem despertando o interesse de estudiosos, destaca que a atividade de levantamento e reporte do CI deve ser utilizada de maneira estratégica como forma de engajamento considerando os </w:t>
      </w:r>
      <w:r w:rsidRPr="00F26737">
        <w:rPr>
          <w:rFonts w:ascii="Times New Roman" w:eastAsia="Times New Roman" w:hAnsi="Times New Roman" w:cs="Times New Roman"/>
          <w:i/>
          <w:iCs/>
          <w:sz w:val="24"/>
          <w:szCs w:val="24"/>
        </w:rPr>
        <w:t>stakeholders</w:t>
      </w:r>
      <w:r w:rsidRPr="00B90D5F">
        <w:rPr>
          <w:rFonts w:ascii="Times New Roman" w:eastAsia="Times New Roman" w:hAnsi="Times New Roman" w:cs="Times New Roman"/>
          <w:sz w:val="24"/>
          <w:szCs w:val="24"/>
        </w:rPr>
        <w:t xml:space="preserve"> da organização, especialmente com o objetivo de reduzir a assimetria de informação e melhorar a reputação da organização. Farah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Abouzeid (2017) também se debruçam sobre a influência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no desempenho organizacional no setor público em Dubai, os resultados de sua pesquisa destacam a importância do capital humano, social e organizacional na melhoria do desempenho na organização estudada. </w:t>
      </w:r>
    </w:p>
    <w:p w14:paraId="1FB9A5BE" w14:textId="77777777" w:rsidR="007B5401" w:rsidRPr="00B90D5F" w:rsidRDefault="007B5401" w:rsidP="007B5401">
      <w:pPr>
        <w:spacing w:before="1" w:line="360" w:lineRule="auto"/>
        <w:ind w:left="140" w:right="139"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CI tem atraído atenção crescente de acadêmicos e profissionais do setor privado, de acordo com Rossi</w:t>
      </w:r>
      <w:r w:rsidRPr="00B90D5F">
        <w:rPr>
          <w:rFonts w:ascii="Times New Roman" w:eastAsia="Times New Roman" w:hAnsi="Times New Roman" w:cs="Times New Roman"/>
          <w:i/>
          <w:sz w:val="24"/>
          <w:szCs w:val="24"/>
        </w:rPr>
        <w:t xml:space="preserve"> et al</w:t>
      </w:r>
      <w:r w:rsidRPr="00B90D5F">
        <w:rPr>
          <w:rFonts w:ascii="Times New Roman" w:eastAsia="Times New Roman" w:hAnsi="Times New Roman" w:cs="Times New Roman"/>
          <w:sz w:val="24"/>
          <w:szCs w:val="24"/>
        </w:rPr>
        <w:t xml:space="preserve">. (2016), que pesquisaram o CI no contexto de serviços do governo italiano. Os resultados destacam como os componentes do CI são percebidos nos ILGs: o capital humano, visto como uma combinação de aptidões para atingir metas de desempenho, senso de pertencimento e motivação; o capital relacional é composto por valores, relacionamentos e ações; o capital estrutural, que inclui procedimentos e rotinas que apoiam </w:t>
      </w:r>
      <w:r w:rsidRPr="00B90D5F">
        <w:rPr>
          <w:rFonts w:ascii="Times New Roman" w:eastAsia="Times New Roman" w:hAnsi="Times New Roman" w:cs="Times New Roman"/>
          <w:sz w:val="24"/>
          <w:szCs w:val="24"/>
        </w:rPr>
        <w:lastRenderedPageBreak/>
        <w:t xml:space="preserve">o processo de tomada de decisão, e a capacidade de alcançar objetivos e de lidar com mudanças. Chiucchi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Dumay (2015) apontam sobre a necessidade de um aprofundamento em estudos sobre os impactos de CI e como e quando introduzir o conceito em uma organização pública, levando em conta ser um processo vagaroso, e não apenas para medição de resultados imediatos. </w:t>
      </w:r>
    </w:p>
    <w:p w14:paraId="30181B41" w14:textId="77777777" w:rsidR="007B5401" w:rsidRPr="00B90D5F" w:rsidRDefault="007B5401" w:rsidP="007B5401">
      <w:pPr>
        <w:pBdr>
          <w:top w:val="nil"/>
          <w:left w:val="nil"/>
          <w:bottom w:val="nil"/>
          <w:right w:val="nil"/>
          <w:between w:val="nil"/>
        </w:pBdr>
        <w:spacing w:before="1" w:line="360" w:lineRule="auto"/>
        <w:ind w:left="140" w:right="139"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Bohorquez-Lopez (2020) realizou um estudo objetivando a proposição de diretrizes de políticas que possam contribuir para aumentar as chances de sucesso em eventos de crise, destacando a necessidade de uma melhor gestão do conhecimento. O estudo aprofunda-se na situação vivenciada durante o terremoto no Peru e propõe um modelo inovador de colaboração interinstitucional com base no conceito de dados abertos como ferramenta de gestão do conhecimento, obtendo informações a partir dos problemas enfrentados em situações de crise anteriores. As políticas propostas e modelo de dados abertos foram validadas por três grupos de </w:t>
      </w:r>
      <w:r w:rsidRPr="00F26737">
        <w:rPr>
          <w:rFonts w:ascii="Times New Roman" w:eastAsia="Times New Roman" w:hAnsi="Times New Roman" w:cs="Times New Roman"/>
          <w:i/>
          <w:iCs/>
          <w:sz w:val="24"/>
          <w:szCs w:val="24"/>
        </w:rPr>
        <w:t>stakeholders</w:t>
      </w:r>
      <w:r w:rsidRPr="00B90D5F">
        <w:rPr>
          <w:rFonts w:ascii="Times New Roman" w:eastAsia="Times New Roman" w:hAnsi="Times New Roman" w:cs="Times New Roman"/>
          <w:sz w:val="24"/>
          <w:szCs w:val="24"/>
        </w:rPr>
        <w:t xml:space="preserve">: acadêmicos, servidores públicos e cidadãos. O autor avalia que o estudo pode ser um ponto de partida para o desenvolvimento de uma plataforma de dados abertos, promovendo transparência, participação e colaboração entre as partes interessadas. </w:t>
      </w:r>
    </w:p>
    <w:p w14:paraId="27DA4D0E" w14:textId="77777777" w:rsidR="007B5401" w:rsidRPr="00B90D5F" w:rsidRDefault="007B5401" w:rsidP="007B5401">
      <w:pPr>
        <w:pBdr>
          <w:top w:val="nil"/>
          <w:left w:val="nil"/>
          <w:bottom w:val="nil"/>
          <w:right w:val="nil"/>
          <w:between w:val="nil"/>
        </w:pBdr>
        <w:spacing w:before="1" w:line="360" w:lineRule="auto"/>
        <w:ind w:left="140" w:right="139"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Da Costa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(2023) estudaram a GC no contexto de uma universidade pública brasileira. Os resultados do estudo evidenciam um modelo a partir da perspectiva dos servidores públicos da Universidade, estruturado em nove elementos determinantes: incentivo à disseminação do conhecimento, habilidades e capacidades dos servidores públicos para aprender com experiências, estímulo à criação do conhecimento, aprimoramento do conhecimento, documentação e compartilhamento nas interações sociais, gestão do conhecimento voltada ao benefício da sociedade, socialização do conhecimento nas interações sociais e gestão do conhecimento com foco na missão social. Já Esposito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(2013) investigaram a relação entre os sistemas de gestão de desempenho (SGD) e o conhecimento nas universidades públicas. O estudo verificou como diferentes escolhas relacionadas aos SGD impactam a natureza do conhecimento, e consideraram o conhecimento tácito e o explícito. Os resultados apontam que os SGD podem representar uma ferramenta de importância substancial, pois são capazes de facilitar a gestão do conhecimento organizacional combinando formas explícitas e tácitas de conhecimento.</w:t>
      </w:r>
    </w:p>
    <w:p w14:paraId="7CCACDA7" w14:textId="77777777" w:rsidR="007B5401" w:rsidRPr="00B90D5F" w:rsidRDefault="007B5401" w:rsidP="007B5401">
      <w:pPr>
        <w:pBdr>
          <w:top w:val="nil"/>
          <w:left w:val="nil"/>
          <w:bottom w:val="nil"/>
          <w:right w:val="nil"/>
          <w:between w:val="nil"/>
        </w:pBdr>
        <w:spacing w:before="1" w:line="360" w:lineRule="auto"/>
        <w:ind w:left="140" w:right="139"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Chawla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Joshi (2011) realizaram um estudo objetivando compreender a relação entre</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sz w:val="24"/>
          <w:szCs w:val="24"/>
        </w:rPr>
        <w:t xml:space="preserve">GC e as Organizações que Aprendem (OA). Além disso, buscaram avaliar se existem diferenças significativas entre essas relações nos casos de organizações dos setores público </w:t>
      </w:r>
      <w:r w:rsidRPr="00B90D5F">
        <w:rPr>
          <w:rFonts w:ascii="Times New Roman" w:eastAsia="Times New Roman" w:hAnsi="Times New Roman" w:cs="Times New Roman"/>
          <w:sz w:val="24"/>
          <w:szCs w:val="24"/>
        </w:rPr>
        <w:lastRenderedPageBreak/>
        <w:t xml:space="preserve">e privado na Índia. O estudo indica que a aprendizagem ocorre quando o conhecimento é absorvido e resulta em ação, portanto, as organizações não se tornam OAs de forma orgânica, na maioria dos casos estão presentes fatores que impulsionam essa transformação, como a capacidade de aprender mais rapidamente do que seus concorrentes, resposta ao cliente,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e outros. Ainda, os resultados mostram que as organizações do setor privado apresentam melhor desempenho em todas as dimensões de OA em comparação com as do setor público, embora o tipo de organização (pública ou privada) não tenha apresentado impacto estatisticamente significativo na relação entre GC e OA.</w:t>
      </w:r>
    </w:p>
    <w:p w14:paraId="0B406905" w14:textId="77777777" w:rsidR="007B5401" w:rsidRPr="007B5401" w:rsidRDefault="007B5401" w:rsidP="007B5401">
      <w:pPr>
        <w:pStyle w:val="Ttulo2"/>
        <w:numPr>
          <w:ilvl w:val="1"/>
          <w:numId w:val="6"/>
        </w:numPr>
        <w:pBdr>
          <w:top w:val="nil"/>
          <w:left w:val="nil"/>
          <w:bottom w:val="nil"/>
          <w:right w:val="nil"/>
          <w:between w:val="nil"/>
        </w:pBdr>
        <w:tabs>
          <w:tab w:val="left" w:pos="609"/>
        </w:tabs>
        <w:spacing w:before="238"/>
        <w:ind w:left="609" w:hanging="469"/>
        <w:rPr>
          <w:rFonts w:ascii="Times New Roman" w:hAnsi="Times New Roman" w:cs="Times New Roman"/>
          <w:b/>
          <w:bCs/>
          <w:sz w:val="24"/>
          <w:szCs w:val="24"/>
        </w:rPr>
      </w:pPr>
      <w:r w:rsidRPr="007B5401">
        <w:rPr>
          <w:rFonts w:ascii="Times New Roman" w:eastAsia="Times New Roman" w:hAnsi="Times New Roman" w:cs="Times New Roman"/>
          <w:bCs/>
          <w:sz w:val="24"/>
          <w:szCs w:val="24"/>
        </w:rPr>
        <w:t>TECNOLOGIAS DE COMPARTILHAMENTO DE CONHECIMENTO</w:t>
      </w:r>
    </w:p>
    <w:p w14:paraId="4109A747" w14:textId="77777777" w:rsidR="007B5401" w:rsidRPr="00B90D5F" w:rsidRDefault="007B5401" w:rsidP="007B5401">
      <w:pPr>
        <w:pBdr>
          <w:top w:val="nil"/>
          <w:left w:val="nil"/>
          <w:bottom w:val="nil"/>
          <w:right w:val="nil"/>
          <w:between w:val="nil"/>
        </w:pBdr>
        <w:spacing w:before="282" w:line="360" w:lineRule="auto"/>
        <w:ind w:left="140" w:right="13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As plataformas digitais despontam como aliados estratégicos para enfrentar a dispersão do conhecimento e fomentar sua acessibilidade. Neste contexto, o estudo de Garlatti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(2025) analisa a digitalização do setor público, e os resultados indicam que este processo pode aprimorar os ativos de conhecimento dentro das administrações públicas, promovendo a criação de valor, entretanto, traz consigo riscos, como ineficiências, custos ocultos e destruição de valor, que podem ter impactos negativos sobre o capital humano, estrutural e relacional, e destaca a importância de gerenciar os impactos destas ações sobre a gestão do conhecimento.</w:t>
      </w:r>
    </w:p>
    <w:p w14:paraId="2A632D0E" w14:textId="77777777" w:rsidR="007B5401" w:rsidRPr="00B90D5F" w:rsidRDefault="007B5401" w:rsidP="007B5401">
      <w:pPr>
        <w:pBdr>
          <w:top w:val="nil"/>
          <w:left w:val="nil"/>
          <w:bottom w:val="nil"/>
          <w:right w:val="nil"/>
          <w:between w:val="nil"/>
        </w:pBdr>
        <w:spacing w:line="360" w:lineRule="auto"/>
        <w:ind w:left="140" w:right="13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Mitrovic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(2018) analisaram a existência da gestão do conhecimento no governo local da Sérvia, buscando identificar e analisar processos e infraestrutura que apoiassem as práticas de GC. Os autores identificaram importantes descobertas: os servidores públicos têm uma atitude positiva em relação ao conceito de GC; as atividades de GC são, em sua maioria, apoiadas por tecnologias; a GC é percebida como uma prioridade gerencial; não há atribuição formal de responsabilidade pela prática de conhecimento a membros da alta gestão, ao setor de recursos humanos ou à área de TI; tampouco há menção ao desenvolvimento da capacidade de conhecimento nas estratégias ou planos dos governos locais. </w:t>
      </w:r>
    </w:p>
    <w:p w14:paraId="39C438E5" w14:textId="77777777" w:rsidR="007B5401" w:rsidRPr="007B5401" w:rsidRDefault="007B5401" w:rsidP="007B5401">
      <w:pPr>
        <w:pStyle w:val="Ttulo2"/>
        <w:numPr>
          <w:ilvl w:val="1"/>
          <w:numId w:val="6"/>
        </w:numPr>
        <w:pBdr>
          <w:top w:val="nil"/>
          <w:left w:val="nil"/>
          <w:bottom w:val="nil"/>
          <w:right w:val="nil"/>
          <w:between w:val="nil"/>
        </w:pBdr>
        <w:tabs>
          <w:tab w:val="left" w:pos="609"/>
        </w:tabs>
        <w:spacing w:before="238"/>
        <w:ind w:left="609" w:hanging="469"/>
        <w:rPr>
          <w:rFonts w:ascii="Times New Roman" w:hAnsi="Times New Roman" w:cs="Times New Roman"/>
          <w:b/>
          <w:bCs/>
          <w:sz w:val="24"/>
          <w:szCs w:val="24"/>
        </w:rPr>
      </w:pPr>
      <w:r w:rsidRPr="007B5401">
        <w:rPr>
          <w:rFonts w:ascii="Times New Roman" w:eastAsia="Times New Roman" w:hAnsi="Times New Roman" w:cs="Times New Roman"/>
          <w:bCs/>
          <w:sz w:val="24"/>
          <w:szCs w:val="24"/>
        </w:rPr>
        <w:t>CULTURA ORGANIZACIONAL E LIDERANÇA</w:t>
      </w:r>
    </w:p>
    <w:p w14:paraId="37C7759E" w14:textId="77777777" w:rsidR="007B5401" w:rsidRPr="00B90D5F" w:rsidRDefault="007B5401" w:rsidP="007B5401">
      <w:pPr>
        <w:pBdr>
          <w:top w:val="nil"/>
          <w:left w:val="nil"/>
          <w:bottom w:val="nil"/>
          <w:right w:val="nil"/>
          <w:between w:val="nil"/>
        </w:pBdr>
        <w:spacing w:before="285"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cultura organizacional emerge como fator decisivo para o sucesso das iniciativas de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Hickey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(2013) indicam, em seu estudo, que gestão ambiental no setor público envolve interações dinâmicas e de alta complexidade entre responsáveis pelas áreas de ciência, gestão e formulação de políticas governamentais, sendo a integração do </w:t>
      </w:r>
      <w:r w:rsidRPr="00B90D5F">
        <w:rPr>
          <w:rFonts w:ascii="Times New Roman" w:eastAsia="Times New Roman" w:hAnsi="Times New Roman" w:cs="Times New Roman"/>
          <w:sz w:val="24"/>
          <w:szCs w:val="24"/>
        </w:rPr>
        <w:lastRenderedPageBreak/>
        <w:t xml:space="preserve">conhecimento apontada como um grande desafio no objetivo de aprimorar a coordenação entre agências e fomentar a inovação. </w:t>
      </w:r>
    </w:p>
    <w:p w14:paraId="79F812B9" w14:textId="77777777" w:rsidR="007B5401" w:rsidRPr="00B90D5F" w:rsidRDefault="007B5401" w:rsidP="007B5401">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w:t>
      </w:r>
      <w:r w:rsidRPr="00B90D5F">
        <w:rPr>
          <w:rFonts w:ascii="Times New Roman" w:eastAsia="Times New Roman" w:hAnsi="Times New Roman" w:cs="Times New Roman"/>
          <w:sz w:val="24"/>
          <w:szCs w:val="24"/>
        </w:rPr>
        <w:t xml:space="preserve">Gutiérrez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(2010) aborda como a teoria da gestão do conhecimento possibilitou, na primeira década do século XXI, que instituições governamentais direcionassem o foco para os recursos humanos como capazes de gerar conhecimento para a organização, beneficiando os usuários de diversos governos.</w:t>
      </w:r>
    </w:p>
    <w:p w14:paraId="3CF34BBA" w14:textId="77777777" w:rsidR="007B5401" w:rsidRPr="00B90D5F" w:rsidRDefault="007B5401" w:rsidP="007B5401">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Altukhova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(2018) apresentam uma análise da situação atual da gestão nas administrações públicas no contexto da Rússia, com destaque para os desafios relacionados à gestão das competências dos servidores públicos.  Apesar dos entrevistados indicarem haver alta demanda por atualização de seus conhecimentos profissionais, permaneceu um problema relacionado à troca de conhecimento, já que o conhecimento adquirido é compartilhado em eventos científicos, mas as ações práticas usuais permanecem individualizadas. </w:t>
      </w:r>
    </w:p>
    <w:p w14:paraId="5CACF69C" w14:textId="77777777" w:rsidR="007B5401" w:rsidRPr="00B90D5F" w:rsidRDefault="007B5401" w:rsidP="007B5401">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Rupcic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Babsek (2024) abordam a importância da análise de </w:t>
      </w:r>
      <w:r w:rsidRPr="00F26737">
        <w:rPr>
          <w:rFonts w:ascii="Times New Roman" w:eastAsia="Times New Roman" w:hAnsi="Times New Roman" w:cs="Times New Roman"/>
          <w:i/>
          <w:iCs/>
          <w:sz w:val="24"/>
          <w:szCs w:val="24"/>
        </w:rPr>
        <w:t>stakeholders</w:t>
      </w:r>
      <w:r w:rsidRPr="00B90D5F">
        <w:rPr>
          <w:rFonts w:ascii="Times New Roman" w:eastAsia="Times New Roman" w:hAnsi="Times New Roman" w:cs="Times New Roman"/>
          <w:sz w:val="24"/>
          <w:szCs w:val="24"/>
        </w:rPr>
        <w:t xml:space="preserve"> como ferramenta para a aprendizagem organizacional em instituições públicas eslovenas, com ênfase no capital social interno como facilitador. Os resultados indicaram que, apesar de a análise de </w:t>
      </w:r>
      <w:r w:rsidRPr="00F26737">
        <w:rPr>
          <w:rFonts w:ascii="Times New Roman" w:eastAsia="Times New Roman" w:hAnsi="Times New Roman" w:cs="Times New Roman"/>
          <w:i/>
          <w:iCs/>
          <w:sz w:val="24"/>
          <w:szCs w:val="24"/>
        </w:rPr>
        <w:t>stakeholders</w:t>
      </w:r>
      <w:r w:rsidRPr="00B90D5F">
        <w:rPr>
          <w:rFonts w:ascii="Times New Roman" w:eastAsia="Times New Roman" w:hAnsi="Times New Roman" w:cs="Times New Roman"/>
          <w:sz w:val="24"/>
          <w:szCs w:val="24"/>
        </w:rPr>
        <w:t xml:space="preserve">, a aprendizagem organizacional e o capital social interno estarem presentes e bem desenvolvidos na organização estudada, nenhuma relação significativa foi encontrada entre essas variáveis, de forma que o artigo identifica um importante impedimento externo à aprendizagem e à mudança organizacional em uma organização pública. Markopoulos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(2021) falam acerca da democratização e autonomia na tomada de decisões no setor público e avaliam que estes fatores são capazes de proporcionar maior liberdade aos servidores públicos para expressar pontos de vista, gerando um ambiente de trabalho inovador e orientado por metas ambiciosas. Esse tipo de democratização pode gerar um empreendedorismo corporativo governamental, no qual os servidores públicos podem explorar oportunidades empreendedoras. </w:t>
      </w:r>
    </w:p>
    <w:p w14:paraId="727DA8EB" w14:textId="77777777" w:rsidR="007B5401" w:rsidRPr="00B90D5F" w:rsidRDefault="007B5401" w:rsidP="007B5401">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Lartey</w:t>
      </w:r>
      <w:r>
        <w:rPr>
          <w:rFonts w:ascii="Times New Roman" w:eastAsia="Times New Roman" w:hAnsi="Times New Roman" w:cs="Times New Roman"/>
          <w:sz w:val="24"/>
          <w:szCs w:val="24"/>
        </w:rPr>
        <w:t xml:space="preserve">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xml:space="preserve">. (2019) examinam o impacto da gestão do conhecimento na administração pública da Índia. Os resultados, obtidos em pesquisa com servidores públicos, indicam que aprendizagem organizacional, compartilhamento de conhecimento, inovação, identificação social e infraestrutura tecnológica são determinantes fundamentais das iniciativas de gestão do conhecimento e podem melhorar o desempenho individual e da organização como um todo. O estudo também destaca a relevância da gestão do conhecimento nas ciências da administração, recursos humanos, gestão estratégica, </w:t>
      </w:r>
      <w:r w:rsidRPr="00B90D5F">
        <w:rPr>
          <w:rFonts w:ascii="Times New Roman" w:eastAsia="Times New Roman" w:hAnsi="Times New Roman" w:cs="Times New Roman"/>
          <w:sz w:val="24"/>
          <w:szCs w:val="24"/>
        </w:rPr>
        <w:lastRenderedPageBreak/>
        <w:t>liderança, cultura organizacional e comportamento; e aponta o quanto a aprendizagem organizacional e o compartilhamento de conhecimento poderiam ser aprimorados para enfrentar a crescente desigualdade de conhecimento no setor público.</w:t>
      </w:r>
    </w:p>
    <w:p w14:paraId="59E776FF" w14:textId="44BDBC5E" w:rsidR="007B5401" w:rsidRDefault="007B5401" w:rsidP="007B540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Acerca da liderança e seu impacto na gestão do conhecimento, Arif </w:t>
      </w:r>
      <w:r>
        <w:rPr>
          <w:rFonts w:ascii="Times New Roman" w:eastAsia="Times New Roman" w:hAnsi="Times New Roman" w:cs="Times New Roman"/>
          <w:sz w:val="24"/>
          <w:szCs w:val="24"/>
        </w:rPr>
        <w:t>e</w:t>
      </w:r>
      <w:r w:rsidRPr="00B90D5F">
        <w:rPr>
          <w:rFonts w:ascii="Times New Roman" w:eastAsia="Times New Roman" w:hAnsi="Times New Roman" w:cs="Times New Roman"/>
          <w:sz w:val="24"/>
          <w:szCs w:val="24"/>
        </w:rPr>
        <w:t xml:space="preserve"> Al-Zahrani (2022) apontam a falta de conscientização sobre o conhecimento e a ausência de suporte da liderança e apoio governamental para o uso de novas tecnologias. Neste cenário, o principal resultado foi a identificação de diversos elementos que devem estar presentes para que a aplicação da gestão do conhecimento tenha sucesso no apoio ao investimento nas universidades sauditas, e destaca-se a importância de apoiar a inovação por meio da formação de experiências baseadas no conhecimento. Da Silva </w:t>
      </w:r>
      <w:r w:rsidRPr="00B90D5F">
        <w:rPr>
          <w:rFonts w:ascii="Times New Roman" w:eastAsia="Times New Roman" w:hAnsi="Times New Roman" w:cs="Times New Roman"/>
          <w:i/>
          <w:sz w:val="24"/>
          <w:szCs w:val="24"/>
        </w:rPr>
        <w:t>et al</w:t>
      </w:r>
      <w:r w:rsidRPr="00B90D5F">
        <w:rPr>
          <w:rFonts w:ascii="Times New Roman" w:eastAsia="Times New Roman" w:hAnsi="Times New Roman" w:cs="Times New Roman"/>
          <w:sz w:val="24"/>
          <w:szCs w:val="24"/>
        </w:rPr>
        <w:t>. (20</w:t>
      </w:r>
      <w:r>
        <w:rPr>
          <w:rFonts w:ascii="Times New Roman" w:eastAsia="Times New Roman" w:hAnsi="Times New Roman" w:cs="Times New Roman"/>
          <w:sz w:val="24"/>
          <w:szCs w:val="24"/>
        </w:rPr>
        <w:t>10</w:t>
      </w:r>
      <w:r w:rsidRPr="00B90D5F">
        <w:rPr>
          <w:rFonts w:ascii="Times New Roman" w:eastAsia="Times New Roman" w:hAnsi="Times New Roman" w:cs="Times New Roman"/>
          <w:sz w:val="24"/>
          <w:szCs w:val="24"/>
        </w:rPr>
        <w:t>) avaliam a importância da gestão do conhecimento em uma organização pública, bem como a influência da gestão de pessoas para a aprendizagem organizacional e constatou que a empresa em questão efetivamente opera com gestão do conhecimento quando as pessoas recebem capacitação e compartilham o conhecimento como multiplicadores entre si</w:t>
      </w:r>
      <w:r>
        <w:rPr>
          <w:rFonts w:ascii="Times New Roman" w:eastAsia="Times New Roman" w:hAnsi="Times New Roman" w:cs="Times New Roman"/>
          <w:sz w:val="24"/>
          <w:szCs w:val="24"/>
        </w:rPr>
        <w:t>.</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A302FFA" w14:textId="3F3ADC4B" w:rsidR="00D8471E" w:rsidRPr="0035448C" w:rsidRDefault="00000000" w:rsidP="0035448C">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31717A6" w14:textId="77777777" w:rsidR="0035448C" w:rsidRPr="00B90D5F" w:rsidRDefault="0035448C" w:rsidP="0035448C">
      <w:pPr>
        <w:pBdr>
          <w:top w:val="nil"/>
          <w:left w:val="nil"/>
          <w:bottom w:val="nil"/>
          <w:right w:val="nil"/>
          <w:between w:val="nil"/>
        </w:pBdr>
        <w:spacing w:line="360" w:lineRule="auto"/>
        <w:ind w:left="140" w:right="14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Este estudo </w:t>
      </w:r>
      <w:r>
        <w:rPr>
          <w:rFonts w:ascii="Times New Roman" w:eastAsia="Times New Roman" w:hAnsi="Times New Roman" w:cs="Times New Roman"/>
          <w:sz w:val="24"/>
          <w:szCs w:val="24"/>
        </w:rPr>
        <w:t>realizou</w:t>
      </w:r>
      <w:r w:rsidRPr="00B90D5F">
        <w:rPr>
          <w:rFonts w:ascii="Times New Roman" w:eastAsia="Times New Roman" w:hAnsi="Times New Roman" w:cs="Times New Roman"/>
          <w:sz w:val="24"/>
          <w:szCs w:val="24"/>
        </w:rPr>
        <w:t xml:space="preserve"> uma revisão sistemática da literatura acerca da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no setor público, com ênfase nas estratégias de retenção do conhecimento diante da rotatividade de servidores e processos burocráticos. A análise dos 20 artigos selecionados </w:t>
      </w:r>
      <w:r>
        <w:rPr>
          <w:rFonts w:ascii="Times New Roman" w:eastAsia="Times New Roman" w:hAnsi="Times New Roman" w:cs="Times New Roman"/>
          <w:sz w:val="24"/>
          <w:szCs w:val="24"/>
        </w:rPr>
        <w:t>demonstrou</w:t>
      </w:r>
      <w:r w:rsidRPr="00B90D5F">
        <w:rPr>
          <w:rFonts w:ascii="Times New Roman" w:eastAsia="Times New Roman" w:hAnsi="Times New Roman" w:cs="Times New Roman"/>
          <w:sz w:val="24"/>
          <w:szCs w:val="24"/>
        </w:rPr>
        <w:t xml:space="preserve"> que a retenção do conhecimento organizacional é uma tarefa complexa e multifacetada, cuja eficácia depende da conjugação harmoniosa de fatores tecnológicos, culturais, gerenciais e estruturais.</w:t>
      </w:r>
    </w:p>
    <w:p w14:paraId="27F2F839" w14:textId="77777777" w:rsidR="0035448C" w:rsidRPr="00B90D5F" w:rsidRDefault="0035448C" w:rsidP="0035448C">
      <w:pPr>
        <w:pBdr>
          <w:top w:val="nil"/>
          <w:left w:val="nil"/>
          <w:bottom w:val="nil"/>
          <w:right w:val="nil"/>
          <w:between w:val="nil"/>
        </w:pBdr>
        <w:spacing w:line="360" w:lineRule="auto"/>
        <w:ind w:left="140" w:right="148"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Ao investigar as práticas e desafios da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em organizações públicas, o presente trabalho contribui para o aprofundamento do conhecimento teórico e prático nesta área estratégica. A revisão sistematizada revelou a importância de uma abordagem integrada que articule políticas de gestão de pessoas, cultura organizacional e uso de tecnologias colaborativas, para promover a retenção e a transferência eficaz do conhecimento institucional.</w:t>
      </w:r>
    </w:p>
    <w:p w14:paraId="2F297009" w14:textId="77777777" w:rsidR="0035448C" w:rsidRPr="00B90D5F" w:rsidRDefault="0035448C" w:rsidP="0035448C">
      <w:pPr>
        <w:pBdr>
          <w:top w:val="nil"/>
          <w:left w:val="nil"/>
          <w:bottom w:val="nil"/>
          <w:right w:val="nil"/>
          <w:between w:val="nil"/>
        </w:pBdr>
        <w:spacing w:line="360" w:lineRule="auto"/>
        <w:ind w:left="140" w:right="146"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Além disso, o trabalho destaca a necessidade urgente de fortalecimento da cultura organizacional como alicerce indispensável para que qualquer tecnologia ou programa de gestão do conhecimento possa prosperar. Essa constatação reforça o papel fundamental da liderança pública na criação de ambientes favoráveis à aprendizagem, à confiança e ao compartilhamento aberto do saber.</w:t>
      </w:r>
    </w:p>
    <w:p w14:paraId="052B76EA" w14:textId="77777777" w:rsidR="0035448C" w:rsidRPr="0035448C" w:rsidRDefault="0035448C" w:rsidP="0035448C">
      <w:pPr>
        <w:pStyle w:val="PargrafodaLista"/>
        <w:keepNext/>
        <w:keepLines/>
        <w:numPr>
          <w:ilvl w:val="0"/>
          <w:numId w:val="4"/>
        </w:numPr>
        <w:tabs>
          <w:tab w:val="left" w:pos="606"/>
        </w:tabs>
        <w:spacing w:before="240" w:after="120"/>
        <w:contextualSpacing w:val="0"/>
        <w:outlineLvl w:val="1"/>
        <w:rPr>
          <w:rFonts w:ascii="Times New Roman" w:eastAsia="Times New Roman" w:hAnsi="Times New Roman" w:cs="Times New Roman"/>
          <w:bCs/>
          <w:vanish/>
          <w:sz w:val="24"/>
          <w:szCs w:val="24"/>
        </w:rPr>
      </w:pPr>
    </w:p>
    <w:p w14:paraId="433F302A" w14:textId="77777777" w:rsidR="0035448C" w:rsidRPr="0035448C" w:rsidRDefault="0035448C" w:rsidP="0035448C">
      <w:pPr>
        <w:pStyle w:val="PargrafodaLista"/>
        <w:keepNext/>
        <w:keepLines/>
        <w:numPr>
          <w:ilvl w:val="0"/>
          <w:numId w:val="4"/>
        </w:numPr>
        <w:tabs>
          <w:tab w:val="left" w:pos="606"/>
        </w:tabs>
        <w:spacing w:before="240" w:after="120"/>
        <w:contextualSpacing w:val="0"/>
        <w:outlineLvl w:val="1"/>
        <w:rPr>
          <w:rFonts w:ascii="Times New Roman" w:eastAsia="Times New Roman" w:hAnsi="Times New Roman" w:cs="Times New Roman"/>
          <w:bCs/>
          <w:vanish/>
          <w:sz w:val="24"/>
          <w:szCs w:val="24"/>
        </w:rPr>
      </w:pPr>
    </w:p>
    <w:p w14:paraId="63BBE521" w14:textId="6F7DAC12" w:rsidR="0035448C" w:rsidRPr="0035448C" w:rsidRDefault="0035448C" w:rsidP="0035448C">
      <w:pPr>
        <w:pStyle w:val="Ttulo2"/>
        <w:numPr>
          <w:ilvl w:val="1"/>
          <w:numId w:val="4"/>
        </w:numPr>
        <w:tabs>
          <w:tab w:val="left" w:pos="606"/>
        </w:tabs>
        <w:spacing w:before="240"/>
        <w:ind w:left="608"/>
        <w:rPr>
          <w:rFonts w:ascii="Times New Roman" w:eastAsia="Times New Roman" w:hAnsi="Times New Roman" w:cs="Times New Roman"/>
          <w:b/>
          <w:bCs/>
          <w:sz w:val="24"/>
          <w:szCs w:val="24"/>
        </w:rPr>
      </w:pPr>
      <w:r w:rsidRPr="0035448C">
        <w:rPr>
          <w:rFonts w:ascii="Times New Roman" w:eastAsia="Times New Roman" w:hAnsi="Times New Roman" w:cs="Times New Roman"/>
          <w:bCs/>
          <w:sz w:val="24"/>
          <w:szCs w:val="24"/>
        </w:rPr>
        <w:t>IMPLICAÇÕES TEÓRICAS E PRÁTICAS</w:t>
      </w:r>
    </w:p>
    <w:p w14:paraId="3A52175A" w14:textId="77777777" w:rsidR="0035448C" w:rsidRPr="00B90D5F" w:rsidRDefault="0035448C" w:rsidP="0035448C">
      <w:pPr>
        <w:pBdr>
          <w:top w:val="nil"/>
          <w:left w:val="nil"/>
          <w:bottom w:val="nil"/>
          <w:right w:val="nil"/>
          <w:between w:val="nil"/>
        </w:pBdr>
        <w:spacing w:before="282" w:line="360" w:lineRule="auto"/>
        <w:ind w:left="140" w:right="140" w:firstLine="708"/>
        <w:jc w:val="both"/>
        <w:rPr>
          <w:rFonts w:ascii="Times New Roman" w:eastAsia="Times New Roman" w:hAnsi="Times New Roman" w:cs="Times New Roman"/>
          <w:sz w:val="24"/>
          <w:szCs w:val="24"/>
        </w:rPr>
      </w:pPr>
      <w:r w:rsidRPr="00827026">
        <w:rPr>
          <w:rFonts w:ascii="Times New Roman" w:eastAsia="Times New Roman" w:hAnsi="Times New Roman" w:cs="Times New Roman"/>
          <w:sz w:val="24"/>
          <w:szCs w:val="24"/>
        </w:rPr>
        <w:t>Espera-se</w:t>
      </w:r>
      <w:r>
        <w:rPr>
          <w:rFonts w:ascii="Times New Roman" w:eastAsia="Times New Roman" w:hAnsi="Times New Roman" w:cs="Times New Roman"/>
          <w:sz w:val="24"/>
          <w:szCs w:val="24"/>
        </w:rPr>
        <w:t xml:space="preserve"> que</w:t>
      </w:r>
      <w:r w:rsidRPr="00B90D5F">
        <w:rPr>
          <w:rFonts w:ascii="Times New Roman" w:eastAsia="Times New Roman" w:hAnsi="Times New Roman" w:cs="Times New Roman"/>
          <w:sz w:val="24"/>
          <w:szCs w:val="24"/>
        </w:rPr>
        <w:t xml:space="preserve"> este artigo contribu</w:t>
      </w:r>
      <w:r>
        <w:rPr>
          <w:rFonts w:ascii="Times New Roman" w:eastAsia="Times New Roman" w:hAnsi="Times New Roman" w:cs="Times New Roman"/>
          <w:sz w:val="24"/>
          <w:szCs w:val="24"/>
        </w:rPr>
        <w:t>a</w:t>
      </w:r>
      <w:r w:rsidRPr="00B90D5F">
        <w:rPr>
          <w:rFonts w:ascii="Times New Roman" w:eastAsia="Times New Roman" w:hAnsi="Times New Roman" w:cs="Times New Roman"/>
          <w:sz w:val="24"/>
          <w:szCs w:val="24"/>
        </w:rPr>
        <w:t xml:space="preserve"> para o avanço do entendimento sobre 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no setor público, ampliando o debate para além das dimensões tradicionais do setor privado. Na prática, os gestores públicos podem utilizar os resultados desta revisão para diagnosticar lacunas em suas políticas de gestão do conhecimento e planejar ações mais articuladas e contextualizadas</w:t>
      </w:r>
      <w:r>
        <w:rPr>
          <w:rFonts w:ascii="Times New Roman" w:eastAsia="Times New Roman" w:hAnsi="Times New Roman" w:cs="Times New Roman"/>
          <w:sz w:val="24"/>
          <w:szCs w:val="24"/>
        </w:rPr>
        <w:t xml:space="preserve"> </w:t>
      </w:r>
      <w:r w:rsidRPr="00827026">
        <w:rPr>
          <w:rFonts w:ascii="Times New Roman" w:eastAsia="Times New Roman" w:hAnsi="Times New Roman" w:cs="Times New Roman"/>
          <w:sz w:val="24"/>
          <w:szCs w:val="24"/>
        </w:rPr>
        <w:t xml:space="preserve">dentro da realidade inerente a cada </w:t>
      </w:r>
      <w:r>
        <w:rPr>
          <w:rFonts w:ascii="Times New Roman" w:eastAsia="Times New Roman" w:hAnsi="Times New Roman" w:cs="Times New Roman"/>
          <w:sz w:val="24"/>
          <w:szCs w:val="24"/>
        </w:rPr>
        <w:t>ó</w:t>
      </w:r>
      <w:r w:rsidRPr="00827026">
        <w:rPr>
          <w:rFonts w:ascii="Times New Roman" w:eastAsia="Times New Roman" w:hAnsi="Times New Roman" w:cs="Times New Roman"/>
          <w:sz w:val="24"/>
          <w:szCs w:val="24"/>
        </w:rPr>
        <w:t>rgã</w:t>
      </w:r>
      <w:r>
        <w:rPr>
          <w:rFonts w:ascii="Times New Roman" w:eastAsia="Times New Roman" w:hAnsi="Times New Roman" w:cs="Times New Roman"/>
          <w:sz w:val="24"/>
          <w:szCs w:val="24"/>
        </w:rPr>
        <w:t>o</w:t>
      </w:r>
      <w:r w:rsidRPr="00B90D5F">
        <w:rPr>
          <w:rFonts w:ascii="Times New Roman" w:eastAsia="Times New Roman" w:hAnsi="Times New Roman" w:cs="Times New Roman"/>
          <w:sz w:val="24"/>
          <w:szCs w:val="24"/>
        </w:rPr>
        <w:t>. A adoção de práticas como mentoria estruturada, gestão de sucessão e plataformas digitais integradas, acompanhadas de mudanças culturais, pode reduzir os impactos da rotatividade e preservar o conhecimento crítico para a organização.</w:t>
      </w:r>
    </w:p>
    <w:p w14:paraId="7A56B4E7" w14:textId="77777777" w:rsidR="0035448C" w:rsidRPr="0035448C" w:rsidRDefault="0035448C" w:rsidP="0035448C">
      <w:pPr>
        <w:pStyle w:val="Ttulo2"/>
        <w:numPr>
          <w:ilvl w:val="1"/>
          <w:numId w:val="4"/>
        </w:numPr>
        <w:tabs>
          <w:tab w:val="left" w:pos="606"/>
        </w:tabs>
        <w:spacing w:before="237"/>
        <w:ind w:left="606" w:hanging="466"/>
        <w:rPr>
          <w:rFonts w:ascii="Times New Roman" w:eastAsia="Times New Roman" w:hAnsi="Times New Roman" w:cs="Times New Roman"/>
          <w:b/>
          <w:bCs/>
          <w:sz w:val="24"/>
          <w:szCs w:val="24"/>
        </w:rPr>
      </w:pPr>
      <w:r w:rsidRPr="0035448C">
        <w:rPr>
          <w:rFonts w:ascii="Times New Roman" w:eastAsia="Times New Roman" w:hAnsi="Times New Roman" w:cs="Times New Roman"/>
          <w:bCs/>
          <w:sz w:val="24"/>
          <w:szCs w:val="24"/>
        </w:rPr>
        <w:t>IMPLICAÇÕES GERENCIAIS</w:t>
      </w:r>
    </w:p>
    <w:p w14:paraId="6B67009F" w14:textId="77777777" w:rsidR="0035448C" w:rsidRPr="00B90D5F" w:rsidRDefault="0035448C" w:rsidP="0035448C">
      <w:pPr>
        <w:pBdr>
          <w:top w:val="nil"/>
          <w:left w:val="nil"/>
          <w:bottom w:val="nil"/>
          <w:right w:val="nil"/>
          <w:between w:val="nil"/>
        </w:pBdr>
        <w:spacing w:before="282" w:line="360" w:lineRule="auto"/>
        <w:ind w:left="140" w:right="135"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Para os gestores, fica claro que o sucesso na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não reside apenas na adoção de ferramentas tecnológicas, mas sobretudo na construção de uma cultura organizacional sólida, que valorize o aprendizado contínuo e o compartilhamento de conhecimento. Lideranças públicas devem atuar como agentes transformadores, incentivando a participação dos servidores e reconhecendo seus conhecimentos como ativos estratégicos.</w:t>
      </w:r>
    </w:p>
    <w:p w14:paraId="698FB398" w14:textId="77777777" w:rsidR="0035448C" w:rsidRPr="00B90D5F" w:rsidRDefault="0035448C" w:rsidP="0035448C">
      <w:pPr>
        <w:pBdr>
          <w:top w:val="nil"/>
          <w:left w:val="nil"/>
          <w:bottom w:val="nil"/>
          <w:right w:val="nil"/>
          <w:between w:val="nil"/>
        </w:pBdr>
        <w:spacing w:before="1" w:line="360" w:lineRule="auto"/>
        <w:ind w:left="140" w:right="145"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Programas de capacitação, planos de sucessão, incentivos ao engajamento e mecanismos formais de documentação do conhecimento são essenciais para criar um ambiente resiliente às mudanças e às perdas naturais decorrentes da rotatividade. Assim, a gestão eficaz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xml:space="preserve"> torna-se fator crítico para o aprimoramento da governança pública e a consecução de políticas públicas sustentáveis.</w:t>
      </w:r>
    </w:p>
    <w:p w14:paraId="48E9B459" w14:textId="77777777" w:rsidR="0035448C" w:rsidRPr="0035448C" w:rsidRDefault="0035448C" w:rsidP="0035448C">
      <w:pPr>
        <w:pStyle w:val="Ttulo2"/>
        <w:numPr>
          <w:ilvl w:val="1"/>
          <w:numId w:val="4"/>
        </w:numPr>
        <w:tabs>
          <w:tab w:val="left" w:pos="609"/>
        </w:tabs>
        <w:spacing w:before="240"/>
        <w:ind w:left="609" w:hanging="469"/>
        <w:rPr>
          <w:rFonts w:ascii="Times New Roman" w:eastAsia="Times New Roman" w:hAnsi="Times New Roman" w:cs="Times New Roman"/>
          <w:b/>
          <w:bCs/>
          <w:sz w:val="24"/>
          <w:szCs w:val="24"/>
        </w:rPr>
      </w:pPr>
      <w:r w:rsidRPr="0035448C">
        <w:rPr>
          <w:rFonts w:ascii="Times New Roman" w:eastAsia="Times New Roman" w:hAnsi="Times New Roman" w:cs="Times New Roman"/>
          <w:bCs/>
          <w:sz w:val="24"/>
          <w:szCs w:val="24"/>
        </w:rPr>
        <w:t>LIMITAÇÕES DA PESQUISA E ESTUDOS FUTUROS</w:t>
      </w:r>
    </w:p>
    <w:p w14:paraId="48B883E9" w14:textId="77777777" w:rsidR="0035448C" w:rsidRPr="00B90D5F" w:rsidRDefault="0035448C" w:rsidP="0035448C">
      <w:pPr>
        <w:pBdr>
          <w:top w:val="nil"/>
          <w:left w:val="nil"/>
          <w:bottom w:val="nil"/>
          <w:right w:val="nil"/>
          <w:between w:val="nil"/>
        </w:pBdr>
        <w:spacing w:before="282" w:line="360" w:lineRule="auto"/>
        <w:ind w:left="140" w:right="143"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Embora o presente estudo tenha buscado abarcar um conjunto significativo de publicações, limitações inerentes à metodologia restringem a generalização dos resultados. A seleção da base de dados, a limitação linguística e o enfoque qualitativo podem ter excluído estudos relevantes, especialmente em contextos específicos de países não contemplados.</w:t>
      </w:r>
    </w:p>
    <w:p w14:paraId="69A969B8" w14:textId="77777777" w:rsidR="0035448C" w:rsidRPr="00B90D5F" w:rsidRDefault="0035448C" w:rsidP="0035448C">
      <w:pPr>
        <w:pBdr>
          <w:top w:val="nil"/>
          <w:left w:val="nil"/>
          <w:bottom w:val="nil"/>
          <w:right w:val="nil"/>
          <w:between w:val="nil"/>
        </w:pBdr>
        <w:spacing w:line="360" w:lineRule="auto"/>
        <w:ind w:left="140" w:right="13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Futuros estudos poderiam aprofundar a investigação em casos empíricos brasileiros, verificando como as estratégias identificadas são adaptadas e implementadas na prática. </w:t>
      </w:r>
      <w:r w:rsidRPr="00B90D5F">
        <w:rPr>
          <w:rFonts w:ascii="Times New Roman" w:eastAsia="Times New Roman" w:hAnsi="Times New Roman" w:cs="Times New Roman"/>
          <w:sz w:val="24"/>
          <w:szCs w:val="24"/>
        </w:rPr>
        <w:lastRenderedPageBreak/>
        <w:t>Além disso, investigações longitudinais podem esclarecer os impactos reais da retenção do conhecimento na melhoria da eficiência e inovação dos serviços públicos.</w:t>
      </w:r>
    </w:p>
    <w:p w14:paraId="23499D26" w14:textId="77777777" w:rsidR="0035448C" w:rsidRDefault="0035448C" w:rsidP="0035448C">
      <w:pPr>
        <w:pBdr>
          <w:top w:val="nil"/>
          <w:left w:val="nil"/>
          <w:bottom w:val="nil"/>
          <w:right w:val="nil"/>
          <w:between w:val="nil"/>
        </w:pBdr>
        <w:spacing w:line="360" w:lineRule="auto"/>
        <w:ind w:left="140" w:right="137" w:firstLine="708"/>
        <w:jc w:val="both"/>
        <w:rPr>
          <w:rFonts w:ascii="Times New Roman" w:eastAsia="Times New Roman" w:hAnsi="Times New Roman" w:cs="Times New Roman"/>
          <w:sz w:val="24"/>
          <w:szCs w:val="24"/>
        </w:rPr>
      </w:pPr>
      <w:r w:rsidRPr="00B90D5F">
        <w:rPr>
          <w:rFonts w:ascii="Times New Roman" w:eastAsia="Times New Roman" w:hAnsi="Times New Roman" w:cs="Times New Roman"/>
          <w:sz w:val="24"/>
          <w:szCs w:val="24"/>
        </w:rPr>
        <w:t xml:space="preserve">A integração entre tecnologias emergentes, como inteligência artificial e análise de big data, com a gestão do </w:t>
      </w:r>
      <w:r>
        <w:rPr>
          <w:rFonts w:ascii="Times New Roman" w:eastAsia="Times New Roman" w:hAnsi="Times New Roman" w:cs="Times New Roman"/>
          <w:sz w:val="24"/>
          <w:szCs w:val="24"/>
        </w:rPr>
        <w:t>CI</w:t>
      </w:r>
      <w:r w:rsidRPr="00B90D5F">
        <w:rPr>
          <w:rFonts w:ascii="Times New Roman" w:eastAsia="Times New Roman" w:hAnsi="Times New Roman" w:cs="Times New Roman"/>
          <w:sz w:val="24"/>
          <w:szCs w:val="24"/>
        </w:rPr>
        <w:t>, também desponta como uma promissora área de pesquisa, podendo potencializar a captura e circulação do conhecimento em ambientes públicos complexos.</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67A57575" w14:textId="77777777" w:rsidR="0035448C" w:rsidRPr="0035448C" w:rsidRDefault="0035448C" w:rsidP="0035448C">
      <w:pP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AKHTARI, Mitra; MOREIRA, Diana; TRUCCO, Laura. Political turnover, bureaucratic turnover, and the quality of public services. </w:t>
      </w:r>
      <w:r w:rsidRPr="0035448C">
        <w:rPr>
          <w:rFonts w:ascii="Times New Roman" w:eastAsia="Times New Roman" w:hAnsi="Times New Roman" w:cs="Times New Roman"/>
          <w:i/>
          <w:sz w:val="24"/>
          <w:szCs w:val="24"/>
        </w:rPr>
        <w:t>Political Institutions: Bureaucracies &amp; Public Administration eJournal</w:t>
      </w:r>
      <w:r w:rsidRPr="0035448C">
        <w:rPr>
          <w:rFonts w:ascii="Times New Roman" w:eastAsia="Times New Roman" w:hAnsi="Times New Roman" w:cs="Times New Roman"/>
          <w:sz w:val="24"/>
          <w:szCs w:val="24"/>
        </w:rPr>
        <w:t xml:space="preserve">, 2017. DOI: </w:t>
      </w:r>
      <w:hyperlink r:id="rId9">
        <w:r w:rsidRPr="0035448C">
          <w:rPr>
            <w:rFonts w:ascii="Times New Roman" w:eastAsia="Times New Roman" w:hAnsi="Times New Roman" w:cs="Times New Roman"/>
            <w:sz w:val="24"/>
            <w:szCs w:val="24"/>
          </w:rPr>
          <w:t>https://doi.org/10.2139/ssrn.2538354</w:t>
        </w:r>
      </w:hyperlink>
      <w:r w:rsidRPr="0035448C">
        <w:rPr>
          <w:rFonts w:ascii="Times New Roman" w:eastAsia="Times New Roman" w:hAnsi="Times New Roman" w:cs="Times New Roman"/>
          <w:sz w:val="24"/>
          <w:szCs w:val="24"/>
        </w:rPr>
        <w:t>.</w:t>
      </w:r>
    </w:p>
    <w:p w14:paraId="51980236"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ADOBOR, Henry; KUDONOO, Enyonam; DANESHFAR, Alireza. Knowledge management capability and organizational memory: a study of public sector agencies. International Journal of Public Sector Management, [S.l.], v. 32, n. 6, p. 671–687, 3 set. 2019. DOI:</w:t>
      </w:r>
      <w:hyperlink r:id="rId10">
        <w:r w:rsidRPr="0035448C">
          <w:rPr>
            <w:rFonts w:ascii="Times New Roman" w:eastAsia="Times New Roman" w:hAnsi="Times New Roman" w:cs="Times New Roman"/>
            <w:sz w:val="24"/>
            <w:szCs w:val="24"/>
          </w:rPr>
          <w:t xml:space="preserve"> </w:t>
        </w:r>
      </w:hyperlink>
      <w:hyperlink r:id="rId11">
        <w:r w:rsidRPr="0035448C">
          <w:rPr>
            <w:rFonts w:ascii="Times New Roman" w:eastAsia="Times New Roman" w:hAnsi="Times New Roman" w:cs="Times New Roman"/>
            <w:sz w:val="24"/>
            <w:szCs w:val="24"/>
          </w:rPr>
          <w:t>https://doi.org/10.1108/IJPSM-10-2018-0225</w:t>
        </w:r>
      </w:hyperlink>
      <w:r w:rsidRPr="0035448C">
        <w:rPr>
          <w:rFonts w:ascii="Times New Roman" w:eastAsia="Times New Roman" w:hAnsi="Times New Roman" w:cs="Times New Roman"/>
          <w:sz w:val="24"/>
          <w:szCs w:val="24"/>
        </w:rPr>
        <w:t>.</w:t>
      </w:r>
    </w:p>
    <w:p w14:paraId="4F99C35C"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AKIL, Sawir Rifatullah; SOEMARYANI, Imas; HILMIANA, Hilmiana; JOELIATY, Joeliaty. Determinant factors of intellectual capital for improving public sector innovation: an empirical study from Indonesia. The Journal of Asian Finance, Economics and Business, [S.l.], v. 8, n. 12, p. 421–429, 30 dez. 2021. DOI: </w:t>
      </w:r>
      <w:hyperlink r:id="rId12">
        <w:r w:rsidRPr="0035448C">
          <w:rPr>
            <w:rFonts w:ascii="Times New Roman" w:eastAsia="Times New Roman" w:hAnsi="Times New Roman" w:cs="Times New Roman"/>
            <w:sz w:val="24"/>
            <w:szCs w:val="24"/>
          </w:rPr>
          <w:t>https://doi.org/10.13106/JAFEB.2021.VOL8.NO12.0421</w:t>
        </w:r>
      </w:hyperlink>
      <w:r w:rsidRPr="0035448C">
        <w:rPr>
          <w:rFonts w:ascii="Times New Roman" w:eastAsia="Times New Roman" w:hAnsi="Times New Roman" w:cs="Times New Roman"/>
          <w:sz w:val="24"/>
          <w:szCs w:val="24"/>
        </w:rPr>
        <w:t>.</w:t>
      </w:r>
    </w:p>
    <w:p w14:paraId="58E86FEB" w14:textId="77777777" w:rsidR="0035448C" w:rsidRPr="0035448C" w:rsidRDefault="0035448C" w:rsidP="0035448C">
      <w:pP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AL-SURAIHI, Walid Abdullah; SAMIKON, Siti Aida; AL-SURAIHI, Aal-Hussain Abdullah; IBRAHIM, Ishaq. Employee turnover: causes, importance and retention strategies. </w:t>
      </w:r>
      <w:r w:rsidRPr="0035448C">
        <w:rPr>
          <w:rFonts w:ascii="Times New Roman" w:eastAsia="Times New Roman" w:hAnsi="Times New Roman" w:cs="Times New Roman"/>
          <w:i/>
          <w:sz w:val="24"/>
          <w:szCs w:val="24"/>
        </w:rPr>
        <w:t>European Journal of Business and Management Research</w:t>
      </w:r>
      <w:r w:rsidRPr="0035448C">
        <w:rPr>
          <w:rFonts w:ascii="Times New Roman" w:eastAsia="Times New Roman" w:hAnsi="Times New Roman" w:cs="Times New Roman"/>
          <w:sz w:val="24"/>
          <w:szCs w:val="24"/>
        </w:rPr>
        <w:t xml:space="preserve">, 2021. DOI: </w:t>
      </w:r>
      <w:hyperlink r:id="rId13">
        <w:r w:rsidRPr="0035448C">
          <w:rPr>
            <w:rFonts w:ascii="Times New Roman" w:eastAsia="Times New Roman" w:hAnsi="Times New Roman" w:cs="Times New Roman"/>
            <w:sz w:val="24"/>
            <w:szCs w:val="24"/>
          </w:rPr>
          <w:t>https://doi.org/10.24018/ejbmr.2021.6.3.893</w:t>
        </w:r>
      </w:hyperlink>
      <w:r w:rsidRPr="0035448C">
        <w:rPr>
          <w:rFonts w:ascii="Times New Roman" w:eastAsia="Times New Roman" w:hAnsi="Times New Roman" w:cs="Times New Roman"/>
          <w:sz w:val="24"/>
          <w:szCs w:val="24"/>
        </w:rPr>
        <w:t>.</w:t>
      </w:r>
    </w:p>
    <w:p w14:paraId="681A7FDB"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ALTUKHOVA, Natalia F.; VASILEVA, Elena V.; MIRZOYAN, Mariam V. Competence-based approach to managing staff in public administration on the basis of ontologies. Business Informatics, [S.l.], n. 1 (43), p. 17–27, 2018. DOI: </w:t>
      </w:r>
      <w:hyperlink r:id="rId14">
        <w:r w:rsidRPr="0035448C">
          <w:rPr>
            <w:rFonts w:ascii="Times New Roman" w:eastAsia="Times New Roman" w:hAnsi="Times New Roman" w:cs="Times New Roman"/>
            <w:sz w:val="24"/>
            <w:szCs w:val="24"/>
          </w:rPr>
          <w:t>https://doi.org/10.17323/1998-0663.2018.1.17.27</w:t>
        </w:r>
      </w:hyperlink>
      <w:r w:rsidRPr="0035448C">
        <w:rPr>
          <w:rFonts w:ascii="Times New Roman" w:eastAsia="Times New Roman" w:hAnsi="Times New Roman" w:cs="Times New Roman"/>
          <w:sz w:val="24"/>
          <w:szCs w:val="24"/>
        </w:rPr>
        <w:t>.</w:t>
      </w:r>
    </w:p>
    <w:p w14:paraId="5BA7ED91"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ARIF, Mohammad Jafar; AL-ZAHRANI, Ahmed Mohammed. The ingredients for the success of knowledge management application in supporting investment in Saudi universities according to the Vision of the Kingdom of Saudi Arabia 2030. International Transaction Journal of Engineering, Management, &amp; Applied Sciences &amp; Technologies, [S.l.], v. 13, n. 3, art. 13A3T, p. 1–10, 2022. DOI: </w:t>
      </w:r>
      <w:hyperlink r:id="rId15">
        <w:r w:rsidRPr="0035448C">
          <w:rPr>
            <w:rFonts w:ascii="Times New Roman" w:eastAsia="Times New Roman" w:hAnsi="Times New Roman" w:cs="Times New Roman"/>
            <w:sz w:val="24"/>
            <w:szCs w:val="24"/>
          </w:rPr>
          <w:t>https://doi.org/10.14456/ITJEMAST.2022.62</w:t>
        </w:r>
      </w:hyperlink>
      <w:r w:rsidRPr="0035448C">
        <w:rPr>
          <w:rFonts w:ascii="Times New Roman" w:eastAsia="Times New Roman" w:hAnsi="Times New Roman" w:cs="Times New Roman"/>
          <w:sz w:val="24"/>
          <w:szCs w:val="24"/>
        </w:rPr>
        <w:t>.</w:t>
      </w:r>
    </w:p>
    <w:p w14:paraId="5451BAED" w14:textId="77777777" w:rsidR="0035448C" w:rsidRPr="0035448C" w:rsidRDefault="0035448C" w:rsidP="0035448C">
      <w:pP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lastRenderedPageBreak/>
        <w:t xml:space="preserve">ASHOK, Mona; AL DHAHERI, Mouza Saeed Mohammed Al Badi; MADAN, Rohit; DZANDU, Michael D. How to counter organisational inertia to enable knowledge management practices adoption in public sector organisations. </w:t>
      </w:r>
      <w:r w:rsidRPr="0035448C">
        <w:rPr>
          <w:rFonts w:ascii="Times New Roman" w:eastAsia="Times New Roman" w:hAnsi="Times New Roman" w:cs="Times New Roman"/>
          <w:i/>
          <w:sz w:val="24"/>
          <w:szCs w:val="24"/>
        </w:rPr>
        <w:t>Journal of Knowledge Management</w:t>
      </w:r>
      <w:r w:rsidRPr="0035448C">
        <w:rPr>
          <w:rFonts w:ascii="Times New Roman" w:eastAsia="Times New Roman" w:hAnsi="Times New Roman" w:cs="Times New Roman"/>
          <w:sz w:val="24"/>
          <w:szCs w:val="24"/>
        </w:rPr>
        <w:t xml:space="preserve">, v. 25, n. 9, p. 2245–2273, 2021. DOI: </w:t>
      </w:r>
      <w:hyperlink r:id="rId16">
        <w:r w:rsidRPr="0035448C">
          <w:rPr>
            <w:rFonts w:ascii="Times New Roman" w:eastAsia="Times New Roman" w:hAnsi="Times New Roman" w:cs="Times New Roman"/>
            <w:sz w:val="24"/>
            <w:szCs w:val="24"/>
          </w:rPr>
          <w:t>https://doi.org/10.1108/JKM-09-2020-0700</w:t>
        </w:r>
      </w:hyperlink>
      <w:r w:rsidRPr="0035448C">
        <w:rPr>
          <w:rFonts w:ascii="Times New Roman" w:eastAsia="Times New Roman" w:hAnsi="Times New Roman" w:cs="Times New Roman"/>
          <w:sz w:val="24"/>
          <w:szCs w:val="24"/>
        </w:rPr>
        <w:t>.</w:t>
      </w:r>
    </w:p>
    <w:p w14:paraId="5E7CFB79" w14:textId="77777777" w:rsidR="0035448C" w:rsidRPr="0035448C" w:rsidRDefault="0035448C" w:rsidP="0035448C">
      <w:pP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BARDIN, Laurence. </w:t>
      </w:r>
      <w:r w:rsidRPr="0035448C">
        <w:rPr>
          <w:rFonts w:ascii="Times New Roman" w:eastAsia="Times New Roman" w:hAnsi="Times New Roman" w:cs="Times New Roman"/>
          <w:i/>
          <w:sz w:val="24"/>
          <w:szCs w:val="24"/>
        </w:rPr>
        <w:t>Análise de conteúdo</w:t>
      </w:r>
      <w:r w:rsidRPr="0035448C">
        <w:rPr>
          <w:rFonts w:ascii="Times New Roman" w:eastAsia="Times New Roman" w:hAnsi="Times New Roman" w:cs="Times New Roman"/>
          <w:sz w:val="24"/>
          <w:szCs w:val="24"/>
        </w:rPr>
        <w:t>. São Paulo: Edições 70, 2011.</w:t>
      </w:r>
    </w:p>
    <w:p w14:paraId="7BC847F1" w14:textId="77777777" w:rsidR="0035448C" w:rsidRPr="0035448C" w:rsidRDefault="0035448C" w:rsidP="0035448C">
      <w:pP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BATISTA, Fábio Ferreira. </w:t>
      </w:r>
      <w:r w:rsidRPr="0035448C">
        <w:rPr>
          <w:rFonts w:ascii="Times New Roman" w:eastAsia="Times New Roman" w:hAnsi="Times New Roman" w:cs="Times New Roman"/>
          <w:i/>
          <w:iCs/>
          <w:sz w:val="24"/>
          <w:szCs w:val="24"/>
        </w:rPr>
        <w:t>Modelo de gestão do conhecimento para a administração pública brasileira: como implementar a gestão do conhecimento para produzir resultados em benefício do cidadão</w:t>
      </w:r>
      <w:r w:rsidRPr="0035448C">
        <w:rPr>
          <w:rFonts w:ascii="Times New Roman" w:eastAsia="Times New Roman" w:hAnsi="Times New Roman" w:cs="Times New Roman"/>
          <w:sz w:val="24"/>
          <w:szCs w:val="24"/>
        </w:rPr>
        <w:t>. Brasília: Ipea, 2012.</w:t>
      </w:r>
    </w:p>
    <w:p w14:paraId="4D7CD379"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BOHORQUEZ LOPEZ, Victor Wilfredo. Using knowledge management to improve inter-institutional collaboration in crisis events. International Journal of Knowledge Management Studies, [S.l.], v. 11, p. 211–228, 2020. DOI: </w:t>
      </w:r>
      <w:hyperlink r:id="rId17">
        <w:r w:rsidRPr="0035448C">
          <w:rPr>
            <w:rFonts w:ascii="Times New Roman" w:eastAsia="Times New Roman" w:hAnsi="Times New Roman" w:cs="Times New Roman"/>
            <w:sz w:val="24"/>
            <w:szCs w:val="24"/>
          </w:rPr>
          <w:t>https://doi.org/10.1504/IJKMS.2020.109086</w:t>
        </w:r>
      </w:hyperlink>
      <w:r w:rsidRPr="0035448C">
        <w:rPr>
          <w:rFonts w:ascii="Times New Roman" w:eastAsia="Times New Roman" w:hAnsi="Times New Roman" w:cs="Times New Roman"/>
          <w:sz w:val="24"/>
          <w:szCs w:val="24"/>
        </w:rPr>
        <w:t>.</w:t>
      </w:r>
    </w:p>
    <w:p w14:paraId="48C9AA97"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BONTIS, Nick. Intellectual capital: an exploratory study that develops measures and models. Management Decision, v. 36, n. 2, p. 63–76, 1998. DOI: </w:t>
      </w:r>
      <w:hyperlink r:id="rId18">
        <w:r w:rsidRPr="0035448C">
          <w:rPr>
            <w:rFonts w:ascii="Times New Roman" w:eastAsia="Times New Roman" w:hAnsi="Times New Roman" w:cs="Times New Roman"/>
            <w:sz w:val="24"/>
            <w:szCs w:val="24"/>
          </w:rPr>
          <w:t>https://doi.org/10.1108/00251749810204142</w:t>
        </w:r>
      </w:hyperlink>
      <w:r w:rsidRPr="0035448C">
        <w:rPr>
          <w:rFonts w:ascii="Times New Roman" w:eastAsia="Times New Roman" w:hAnsi="Times New Roman" w:cs="Times New Roman"/>
          <w:sz w:val="24"/>
          <w:szCs w:val="24"/>
        </w:rPr>
        <w:t>.</w:t>
      </w:r>
    </w:p>
    <w:p w14:paraId="7BA23054"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CHAWLA, Deepak; JOSHI, Himanshu. Impact of knowledge management on learning organization in Indian organizations—A comparison. Knowledge and Process Management, [S.l.], v. 18, 2011. DOI: </w:t>
      </w:r>
      <w:hyperlink r:id="rId19">
        <w:r w:rsidRPr="0035448C">
          <w:rPr>
            <w:rFonts w:ascii="Times New Roman" w:eastAsia="Times New Roman" w:hAnsi="Times New Roman" w:cs="Times New Roman"/>
            <w:sz w:val="24"/>
            <w:szCs w:val="24"/>
          </w:rPr>
          <w:t>https://doi.org/10.1002/kpm.384</w:t>
        </w:r>
      </w:hyperlink>
      <w:r w:rsidRPr="0035448C">
        <w:rPr>
          <w:rFonts w:ascii="Times New Roman" w:eastAsia="Times New Roman" w:hAnsi="Times New Roman" w:cs="Times New Roman"/>
          <w:sz w:val="24"/>
          <w:szCs w:val="24"/>
        </w:rPr>
        <w:t>.</w:t>
      </w:r>
    </w:p>
    <w:p w14:paraId="1824FFAD"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CHIUCCHI, Maria Serena; DUMAY, John. Unlocking intellectual capital. Journal of Intellectual Capital, [S.l.], v. 16, p. 305–330, 2015. DOI: </w:t>
      </w:r>
      <w:hyperlink r:id="rId20">
        <w:r w:rsidRPr="0035448C">
          <w:rPr>
            <w:rFonts w:ascii="Times New Roman" w:eastAsia="Times New Roman" w:hAnsi="Times New Roman" w:cs="Times New Roman"/>
            <w:sz w:val="24"/>
            <w:szCs w:val="24"/>
          </w:rPr>
          <w:t>https://doi.org/10.1108/JIC-01-2015-0004</w:t>
        </w:r>
      </w:hyperlink>
      <w:r w:rsidRPr="0035448C">
        <w:rPr>
          <w:rFonts w:ascii="Times New Roman" w:eastAsia="Times New Roman" w:hAnsi="Times New Roman" w:cs="Times New Roman"/>
          <w:sz w:val="24"/>
          <w:szCs w:val="24"/>
        </w:rPr>
        <w:t>.</w:t>
      </w:r>
    </w:p>
    <w:p w14:paraId="5E715EBF"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DA COSTA, Wênyka Preston Leite Batista; da SILVA, Jandeson Dantas; SILVA, Sérgio Luiz Pedrosa. Determinantes das práticas de gestão do conhecimento: framework no contexto da universidade pública. Revista de Gestão e Secretariado, [S. l.], v. 14, n. 4, p. 5697-5716, 2023. DOI:</w:t>
      </w:r>
      <w:r w:rsidRPr="0035448C">
        <w:rPr>
          <w:rFonts w:ascii="Times New Roman" w:eastAsia="Times New Roman" w:hAnsi="Times New Roman" w:cs="Times New Roman"/>
          <w:color w:val="000000" w:themeColor="text1"/>
          <w:sz w:val="24"/>
          <w:szCs w:val="24"/>
        </w:rPr>
        <w:t xml:space="preserve"> https://doi.org/10.7769/gesec.v14i4.2015</w:t>
      </w:r>
    </w:p>
    <w:p w14:paraId="3E4CA97E"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DA SILVA, Janine Pereira; MONTEIRO, Luciano Fernandes; DA COSTA, Thatiana Gomes Menezes; DA COSTA, Marconi Freitas. Knowledge: a study of learning in a public sector institution of water supply and sanitation. Administração Pública e Gestão Social, Viçosa, v. 1, n. 4, p. 379-398, jan. 2010. DOI:</w:t>
      </w:r>
      <w:hyperlink r:id="rId21">
        <w:r w:rsidRPr="0035448C">
          <w:rPr>
            <w:rFonts w:ascii="Times New Roman" w:eastAsia="Times New Roman" w:hAnsi="Times New Roman" w:cs="Times New Roman"/>
            <w:sz w:val="24"/>
            <w:szCs w:val="24"/>
          </w:rPr>
          <w:t xml:space="preserve"> </w:t>
        </w:r>
      </w:hyperlink>
      <w:hyperlink r:id="rId22">
        <w:r w:rsidRPr="0035448C">
          <w:rPr>
            <w:rFonts w:ascii="Times New Roman" w:eastAsia="Times New Roman" w:hAnsi="Times New Roman" w:cs="Times New Roman"/>
            <w:sz w:val="24"/>
            <w:szCs w:val="24"/>
          </w:rPr>
          <w:t>https://doi.org/10.21118/apgs.v1i4.4012</w:t>
        </w:r>
      </w:hyperlink>
      <w:r w:rsidRPr="0035448C">
        <w:rPr>
          <w:rFonts w:ascii="Times New Roman" w:eastAsia="Times New Roman" w:hAnsi="Times New Roman" w:cs="Times New Roman"/>
          <w:sz w:val="24"/>
          <w:szCs w:val="24"/>
        </w:rPr>
        <w:t>.</w:t>
      </w:r>
      <w:r w:rsidRPr="0035448C">
        <w:rPr>
          <w:rFonts w:ascii="Noto Sans" w:hAnsi="Noto Sans" w:cs="Noto Sans"/>
          <w:sz w:val="16"/>
          <w:szCs w:val="16"/>
          <w:shd w:val="clear" w:color="auto" w:fill="FFFFFF"/>
        </w:rPr>
        <w:t xml:space="preserve"> </w:t>
      </w:r>
      <w:r w:rsidRPr="0035448C">
        <w:rPr>
          <w:rFonts w:ascii="Times New Roman" w:eastAsia="Times New Roman" w:hAnsi="Times New Roman" w:cs="Times New Roman"/>
          <w:sz w:val="24"/>
          <w:szCs w:val="24"/>
        </w:rPr>
        <w:t>Disponível em: https://periodicos.ufv.br/apgs/article/view/4012. Acesso em: 2 ago. 2025.</w:t>
      </w:r>
    </w:p>
    <w:p w14:paraId="1E0F1407"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DAVENPORT, Thomas H.; PRUSAK, Laurence. Conhecimento empresarial: como as organizações gerenciam o seu capital intelectual. Rio de Janeiro: Elsevier, 2003.</w:t>
      </w:r>
    </w:p>
    <w:p w14:paraId="43800E6F"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EDVINSSON, Leif; MALONE, Michael S. Intellectual Capital: Realizing Your Company's True Value by Finding Its Hidden Brainpower. New York: Harper Business, 1998.</w:t>
      </w:r>
    </w:p>
    <w:p w14:paraId="22B69384"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lastRenderedPageBreak/>
        <w:t>ESPOSITO, Vincenza; DE NITO, Ernesto; PEZZILLO IACONO, Mario; SILVESTRI, Lucia. Dealing with knowledge in the Italian public universities: the role of performance management systems. Journal of Intellectual Capital, [S.l.], v. 14, n. 3, p. 431–450, 19 jul. 2013. DOI:</w:t>
      </w:r>
      <w:hyperlink r:id="rId23">
        <w:r w:rsidRPr="0035448C">
          <w:rPr>
            <w:rFonts w:ascii="Times New Roman" w:eastAsia="Times New Roman" w:hAnsi="Times New Roman" w:cs="Times New Roman"/>
            <w:sz w:val="24"/>
            <w:szCs w:val="24"/>
          </w:rPr>
          <w:t xml:space="preserve"> </w:t>
        </w:r>
      </w:hyperlink>
      <w:hyperlink r:id="rId24">
        <w:r w:rsidRPr="0035448C">
          <w:rPr>
            <w:rFonts w:ascii="Times New Roman" w:eastAsia="Times New Roman" w:hAnsi="Times New Roman" w:cs="Times New Roman"/>
            <w:sz w:val="24"/>
            <w:szCs w:val="24"/>
          </w:rPr>
          <w:t>https://doi.org/10.1108/JIC-03-2013-0035</w:t>
        </w:r>
      </w:hyperlink>
      <w:r w:rsidRPr="0035448C">
        <w:rPr>
          <w:rFonts w:ascii="Times New Roman" w:eastAsia="Times New Roman" w:hAnsi="Times New Roman" w:cs="Times New Roman"/>
          <w:sz w:val="24"/>
          <w:szCs w:val="24"/>
        </w:rPr>
        <w:t>.</w:t>
      </w:r>
    </w:p>
    <w:p w14:paraId="5145E49A"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FARAH, A.; ABOUZEID, Safa. The impact of intellectual capital on performance: evidence from the public sector. Knowledge Management and E-Learning, [S.l.], v. 9, p. 225–238, 2017. Disponível em: https://www.kmel-journal.org/ojs/index.php/online-publication/article/view/444. Acesso em: 02 ago. 2025.</w:t>
      </w:r>
    </w:p>
    <w:p w14:paraId="015FC3E3"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GARLATTI, Andrea; FEDELE, Paolo; IACUZZI, Silvia. Public sector digitalisation: not all positive impacts for knowledge assets. Knowledge Management Research &amp; Practice, [S.l.], p. 1–13, 2025. DOI: https://doi.org/10.1080/14778238.2025.2478050. </w:t>
      </w:r>
    </w:p>
    <w:p w14:paraId="51EA8A12"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HICKEY, Gordon M.; FOREST, Patrick; SANDALL, Jean L.; LALOR, Briony M.; KEENAN, Rodney J. Managing the environmental science–policy nexus in government: perspectives from public servants in Canada and Australia. Science and Public Policy, [S.l.], v. 40, n. 4, p. 529–543, ago. 2013. DOI:</w:t>
      </w:r>
      <w:hyperlink r:id="rId25">
        <w:r w:rsidRPr="0035448C">
          <w:rPr>
            <w:rFonts w:ascii="Times New Roman" w:eastAsia="Times New Roman" w:hAnsi="Times New Roman" w:cs="Times New Roman"/>
            <w:sz w:val="24"/>
            <w:szCs w:val="24"/>
          </w:rPr>
          <w:t xml:space="preserve"> </w:t>
        </w:r>
      </w:hyperlink>
      <w:hyperlink r:id="rId26">
        <w:r w:rsidRPr="0035448C">
          <w:rPr>
            <w:rFonts w:ascii="Times New Roman" w:eastAsia="Times New Roman" w:hAnsi="Times New Roman" w:cs="Times New Roman"/>
            <w:sz w:val="24"/>
            <w:szCs w:val="24"/>
          </w:rPr>
          <w:t>https://doi.org/10.1093/scipol/sct004</w:t>
        </w:r>
      </w:hyperlink>
      <w:r w:rsidRPr="0035448C">
        <w:rPr>
          <w:rFonts w:ascii="Times New Roman" w:eastAsia="Times New Roman" w:hAnsi="Times New Roman" w:cs="Times New Roman"/>
          <w:sz w:val="24"/>
          <w:szCs w:val="24"/>
        </w:rPr>
        <w:t>.</w:t>
      </w:r>
    </w:p>
    <w:p w14:paraId="2DBFADA2"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KASSA, Erstu Tarko; NING, Jing. A systematic review on the roles of knowledge management in public sectors: synthesis and way forwards. Heliyon, v. 9, 2023. DOI: </w:t>
      </w:r>
      <w:hyperlink r:id="rId27">
        <w:r w:rsidRPr="0035448C">
          <w:rPr>
            <w:rFonts w:ascii="Times New Roman" w:eastAsia="Times New Roman" w:hAnsi="Times New Roman" w:cs="Times New Roman"/>
            <w:sz w:val="24"/>
            <w:szCs w:val="24"/>
          </w:rPr>
          <w:t>https://doi.org/10.1016/j.heliyon.2023.e22293</w:t>
        </w:r>
      </w:hyperlink>
      <w:r w:rsidRPr="0035448C">
        <w:rPr>
          <w:rFonts w:ascii="Times New Roman" w:eastAsia="Times New Roman" w:hAnsi="Times New Roman" w:cs="Times New Roman"/>
          <w:sz w:val="24"/>
          <w:szCs w:val="24"/>
        </w:rPr>
        <w:t>.</w:t>
      </w:r>
    </w:p>
    <w:p w14:paraId="2D74DDAB"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LARTEY, Peter Yao; KONG, Yusheng; AFRIYIE, Stephen Owusu; JALADI SANTOSH, Rupa; BAH, Fatoumata Binta Maci. Knowledge management issues in India: a public sector perspective. International Journal of Public Administration, [S.l.], v. 44, n. 3, p. 215–230, 2019. DOI: </w:t>
      </w:r>
      <w:r w:rsidRPr="0035448C">
        <w:rPr>
          <w:rFonts w:ascii="Times New Roman" w:eastAsia="Times New Roman" w:hAnsi="Times New Roman" w:cs="Times New Roman"/>
          <w:color w:val="000000" w:themeColor="text1"/>
          <w:sz w:val="24"/>
          <w:szCs w:val="24"/>
        </w:rPr>
        <w:t>https://doi.org/10.1080/01900692.2019.1676778.</w:t>
      </w:r>
    </w:p>
    <w:p w14:paraId="7768BD56"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LIAO, Yongxin; DESCHAMPS, Fernando; LOURES, Eduardo de Freitas Rocha; RAMOS, Luiz Felipe Pierin. Past, present and future of Industry 4.0 – a systematic literature review and research agenda proposal. </w:t>
      </w:r>
      <w:r w:rsidRPr="0035448C">
        <w:rPr>
          <w:rFonts w:ascii="Times New Roman" w:eastAsia="Times New Roman" w:hAnsi="Times New Roman" w:cs="Times New Roman"/>
          <w:i/>
          <w:iCs/>
          <w:sz w:val="24"/>
          <w:szCs w:val="24"/>
        </w:rPr>
        <w:t>International Journal of Production Research</w:t>
      </w:r>
      <w:r w:rsidRPr="0035448C">
        <w:rPr>
          <w:rFonts w:ascii="Times New Roman" w:eastAsia="Times New Roman" w:hAnsi="Times New Roman" w:cs="Times New Roman"/>
          <w:sz w:val="24"/>
          <w:szCs w:val="24"/>
        </w:rPr>
        <w:t>, v. 55, n. 12, p. 3609-3629, 2017. DOI: https://doi.org/10.1080/00207543.2017.1308576.</w:t>
      </w:r>
    </w:p>
    <w:p w14:paraId="083492BE"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MARKOPOULOS, Evangelos; HOXHALLARI, Egi; VANHARANTA, Hannu. Democratic governmental corporate entrepreneurship for the transformation of the public sector in the Balkan region. In: [Título do livro]. [S.l.]: Springer, 2021. p. [coloque aqui as páginas do capítulo]. DOI: </w:t>
      </w:r>
      <w:hyperlink r:id="rId28">
        <w:r w:rsidRPr="0035448C">
          <w:rPr>
            <w:rFonts w:ascii="Times New Roman" w:eastAsia="Times New Roman" w:hAnsi="Times New Roman" w:cs="Times New Roman"/>
            <w:sz w:val="24"/>
            <w:szCs w:val="24"/>
          </w:rPr>
          <w:t>https://doi.org/10.1007/978-3-030-80094-9_19</w:t>
        </w:r>
      </w:hyperlink>
      <w:r w:rsidRPr="0035448C">
        <w:rPr>
          <w:rFonts w:ascii="Times New Roman" w:eastAsia="Times New Roman" w:hAnsi="Times New Roman" w:cs="Times New Roman"/>
          <w:sz w:val="24"/>
          <w:szCs w:val="24"/>
        </w:rPr>
        <w:t>.</w:t>
      </w:r>
    </w:p>
    <w:p w14:paraId="63EE384C"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MAZORODZE, Alfred H.; BUCKLEY, Sheryl. uma revisão de ferramentas de transferência de conhecimento em organizações intensivas em conhecimento. SA Journal of Information Management, v. 22, p. 6, 2020. DOI: </w:t>
      </w:r>
      <w:hyperlink r:id="rId29">
        <w:r w:rsidRPr="0035448C">
          <w:rPr>
            <w:rFonts w:ascii="Times New Roman" w:eastAsia="Times New Roman" w:hAnsi="Times New Roman" w:cs="Times New Roman"/>
            <w:sz w:val="24"/>
            <w:szCs w:val="24"/>
          </w:rPr>
          <w:t>https://doi.org/10.4102/sajim.v22i1.1135</w:t>
        </w:r>
      </w:hyperlink>
      <w:r w:rsidRPr="0035448C">
        <w:rPr>
          <w:rFonts w:ascii="Times New Roman" w:eastAsia="Times New Roman" w:hAnsi="Times New Roman" w:cs="Times New Roman"/>
          <w:sz w:val="24"/>
          <w:szCs w:val="24"/>
        </w:rPr>
        <w:t>.</w:t>
      </w:r>
    </w:p>
    <w:p w14:paraId="44F29B11"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lastRenderedPageBreak/>
        <w:t xml:space="preserve">Mc EVOY, P. J.; RAGAB, M. A. F.; ARISHA, A. The effectiveness of knowledge management in the public sector. Knowledge Management Research &amp; Practice, v. 17, n. 1, p. 39–51, 2018. DOI: </w:t>
      </w:r>
      <w:hyperlink r:id="rId30">
        <w:r w:rsidRPr="0035448C">
          <w:rPr>
            <w:rFonts w:ascii="Times New Roman" w:eastAsia="Times New Roman" w:hAnsi="Times New Roman" w:cs="Times New Roman"/>
            <w:sz w:val="24"/>
            <w:szCs w:val="24"/>
          </w:rPr>
          <w:t>https://doi.org/10.1080/14778238.2018.1538670</w:t>
        </w:r>
      </w:hyperlink>
      <w:r w:rsidRPr="0035448C">
        <w:rPr>
          <w:rFonts w:ascii="Times New Roman" w:eastAsia="Times New Roman" w:hAnsi="Times New Roman" w:cs="Times New Roman"/>
          <w:sz w:val="24"/>
          <w:szCs w:val="24"/>
        </w:rPr>
        <w:t>.</w:t>
      </w:r>
    </w:p>
    <w:p w14:paraId="2A33C4C0"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MEIER, K.; HICKLIN, A. Employee turnover and organizational performance: testing a hypothesis from classical public administration. Journal of Public Administration Research and Theory, v. 18, n. 4, p. 573–590, 2007. DOI: </w:t>
      </w:r>
      <w:hyperlink r:id="rId31">
        <w:r w:rsidRPr="0035448C">
          <w:rPr>
            <w:rFonts w:ascii="Times New Roman" w:eastAsia="Times New Roman" w:hAnsi="Times New Roman" w:cs="Times New Roman"/>
            <w:sz w:val="24"/>
            <w:szCs w:val="24"/>
          </w:rPr>
          <w:t>https://doi.org/10.1093/jopart/mum028</w:t>
        </w:r>
      </w:hyperlink>
    </w:p>
    <w:p w14:paraId="1F0FD0F8"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MITROVIC, Zorica; OBRADOVIĆ, Vladimir; SUKNOVIĆ, Milija. Knowledge management in the public sector: the case of Serbian local government. Serbian Journal of Management, [S.l.], v. 13, 2018. DOI: </w:t>
      </w:r>
      <w:hyperlink r:id="rId32">
        <w:r w:rsidRPr="0035448C">
          <w:rPr>
            <w:rFonts w:ascii="Times New Roman" w:eastAsia="Times New Roman" w:hAnsi="Times New Roman" w:cs="Times New Roman"/>
            <w:sz w:val="24"/>
            <w:szCs w:val="24"/>
          </w:rPr>
          <w:t>https://doi.org/10.5937/sjm13-15037</w:t>
        </w:r>
      </w:hyperlink>
      <w:r w:rsidRPr="0035448C">
        <w:rPr>
          <w:rFonts w:ascii="Times New Roman" w:eastAsia="Times New Roman" w:hAnsi="Times New Roman" w:cs="Times New Roman"/>
          <w:sz w:val="24"/>
          <w:szCs w:val="24"/>
        </w:rPr>
        <w:t>.</w:t>
      </w:r>
    </w:p>
    <w:p w14:paraId="3CD07E0E"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MOORE, Mark. Creating public value: strategic management in government. Cambridge, MA: Harvard University Press, 1997. Disponível em: </w:t>
      </w:r>
      <w:hyperlink r:id="rId33" w:tgtFrame="_new" w:history="1">
        <w:r w:rsidRPr="0035448C">
          <w:rPr>
            <w:rFonts w:ascii="Times New Roman" w:hAnsi="Times New Roman" w:cs="Times New Roman"/>
            <w:sz w:val="24"/>
            <w:szCs w:val="24"/>
          </w:rPr>
          <w:t>https://www.perlego.com/book/3073860/creating-public-value-strategic-management-in-government-pdf</w:t>
        </w:r>
      </w:hyperlink>
      <w:r w:rsidRPr="0035448C">
        <w:rPr>
          <w:rFonts w:ascii="Times New Roman" w:eastAsia="Times New Roman" w:hAnsi="Times New Roman" w:cs="Times New Roman"/>
          <w:sz w:val="24"/>
          <w:szCs w:val="24"/>
        </w:rPr>
        <w:t>. Acesso em: 02 ago. 2025.</w:t>
      </w:r>
    </w:p>
    <w:p w14:paraId="2580AF43"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MURTININGSIH, Retno Sari. the impact of compensation, training &amp; development, and organizational culture on job satisfaction and employee retention. Indonesian Management and Accounting Research, v. 19, 2020. DOI: </w:t>
      </w:r>
      <w:hyperlink r:id="rId34">
        <w:r w:rsidRPr="0035448C">
          <w:rPr>
            <w:rFonts w:ascii="Times New Roman" w:eastAsia="Times New Roman" w:hAnsi="Times New Roman" w:cs="Times New Roman"/>
            <w:sz w:val="24"/>
            <w:szCs w:val="24"/>
          </w:rPr>
          <w:t>https://doi.org/10.25105/IMAR.V19I1.6969</w:t>
        </w:r>
      </w:hyperlink>
      <w:r w:rsidRPr="0035448C">
        <w:rPr>
          <w:rFonts w:ascii="Times New Roman" w:eastAsia="Times New Roman" w:hAnsi="Times New Roman" w:cs="Times New Roman"/>
          <w:sz w:val="24"/>
          <w:szCs w:val="24"/>
        </w:rPr>
        <w:t>.</w:t>
      </w:r>
    </w:p>
    <w:p w14:paraId="54D05E74"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NONAKA, Ikujiro; TAKEUCHI, Hirotaka. Criação de conhecimento na empresa: como as empresas japonesas geram a dinâmica da inovação. 8. ed. Rio de Janeiro: Campus, 2009.</w:t>
      </w:r>
    </w:p>
    <w:p w14:paraId="58C45C0F"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OECD. Avaliação da Gestão de Recursos Humanos no Governo - Relatório da OCDE: Brasil : Governo Federal (Portuguese version). [s.l.] OECD Publishing, 2010. Disponível em: https://www.oecd.org/content/dam/oecd/pt/publications/reports/2010/05/oecd-reviews-of-human-resource-management-in-government-brazil-2010_g1ghc56d/9789264086098-pt.pdf Acesso em: 02 ago. 2025.</w:t>
      </w:r>
    </w:p>
    <w:p w14:paraId="000C9614"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PAGE, Matthew J.; McKENZIE, Joanne E.; BOSSUYT, Patrick M. et al. The PRISMA 2020 statement: an updated guideline for reporting systematic reviews. </w:t>
      </w:r>
      <w:r w:rsidRPr="0035448C">
        <w:rPr>
          <w:rFonts w:ascii="Times New Roman" w:eastAsia="Times New Roman" w:hAnsi="Times New Roman" w:cs="Times New Roman"/>
          <w:i/>
          <w:iCs/>
          <w:sz w:val="24"/>
          <w:szCs w:val="24"/>
        </w:rPr>
        <w:t>Revista Panamericana de Salud Pública / Pan American Journal of Public Health</w:t>
      </w:r>
      <w:r w:rsidRPr="0035448C">
        <w:rPr>
          <w:rFonts w:ascii="Times New Roman" w:eastAsia="Times New Roman" w:hAnsi="Times New Roman" w:cs="Times New Roman"/>
          <w:sz w:val="24"/>
          <w:szCs w:val="24"/>
        </w:rPr>
        <w:t>, v. 46, 2022. DOI: https://doi.org/10.26633/RPSP.2022.112.</w:t>
      </w:r>
    </w:p>
    <w:p w14:paraId="7DE61C95"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PAOLONI, Paola; MODAFFARI, Giuseppe; RICCI, Federica; DELLA CORTE, Gaetano. Intellectual capital between measurement and reporting: a structured literature review. Journal of Intellectual Capital, [S.l.], v. 24, n. 1, p. 115–176, 15 mar. 2023. DOI:</w:t>
      </w:r>
      <w:hyperlink r:id="rId35">
        <w:r w:rsidRPr="0035448C">
          <w:rPr>
            <w:rFonts w:ascii="Times New Roman" w:eastAsia="Times New Roman" w:hAnsi="Times New Roman" w:cs="Times New Roman"/>
            <w:sz w:val="24"/>
            <w:szCs w:val="24"/>
          </w:rPr>
          <w:t xml:space="preserve"> </w:t>
        </w:r>
      </w:hyperlink>
      <w:hyperlink r:id="rId36">
        <w:r w:rsidRPr="0035448C">
          <w:rPr>
            <w:rFonts w:ascii="Times New Roman" w:eastAsia="Times New Roman" w:hAnsi="Times New Roman" w:cs="Times New Roman"/>
            <w:sz w:val="24"/>
            <w:szCs w:val="24"/>
          </w:rPr>
          <w:t>https://doi.org/10.1108/JIC-07-2021-0195</w:t>
        </w:r>
      </w:hyperlink>
      <w:r w:rsidRPr="0035448C">
        <w:rPr>
          <w:rFonts w:ascii="Times New Roman" w:eastAsia="Times New Roman" w:hAnsi="Times New Roman" w:cs="Times New Roman"/>
          <w:sz w:val="24"/>
          <w:szCs w:val="24"/>
        </w:rPr>
        <w:t>.</w:t>
      </w:r>
    </w:p>
    <w:p w14:paraId="7FE37D7B"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PARK, Sunyoung; KIM, Eun-Jee. Fostering organizational learning through leadership and knowledge sharing. Journal of Knowledge Management, v. 22, p. 1408-1423, 2018. DOI: </w:t>
      </w:r>
      <w:hyperlink r:id="rId37">
        <w:r w:rsidRPr="0035448C">
          <w:rPr>
            <w:rFonts w:ascii="Times New Roman" w:eastAsia="Times New Roman" w:hAnsi="Times New Roman" w:cs="Times New Roman"/>
            <w:sz w:val="24"/>
            <w:szCs w:val="24"/>
          </w:rPr>
          <w:t>https://doi.org/10.1108/JKM-10-2017-0467</w:t>
        </w:r>
      </w:hyperlink>
      <w:r w:rsidRPr="0035448C">
        <w:rPr>
          <w:rFonts w:ascii="Times New Roman" w:eastAsia="Times New Roman" w:hAnsi="Times New Roman" w:cs="Times New Roman"/>
          <w:sz w:val="24"/>
          <w:szCs w:val="24"/>
        </w:rPr>
        <w:t>.</w:t>
      </w:r>
    </w:p>
    <w:p w14:paraId="5551E12D"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lastRenderedPageBreak/>
        <w:t xml:space="preserve">PERLMAN, Bruce J. introduction: new rules and approaches for succession planning. State and Local Government Review, v. 42, p. 48–49, 2010. DOI: </w:t>
      </w:r>
      <w:hyperlink r:id="rId38">
        <w:r w:rsidRPr="0035448C">
          <w:rPr>
            <w:rFonts w:ascii="Times New Roman" w:eastAsia="Times New Roman" w:hAnsi="Times New Roman" w:cs="Times New Roman"/>
            <w:sz w:val="24"/>
            <w:szCs w:val="24"/>
          </w:rPr>
          <w:t>https://doi.org/10.1177/0160323X10368034</w:t>
        </w:r>
      </w:hyperlink>
      <w:r w:rsidRPr="0035448C">
        <w:rPr>
          <w:rFonts w:ascii="Times New Roman" w:eastAsia="Times New Roman" w:hAnsi="Times New Roman" w:cs="Times New Roman"/>
          <w:sz w:val="24"/>
          <w:szCs w:val="24"/>
        </w:rPr>
        <w:t>.</w:t>
      </w:r>
    </w:p>
    <w:p w14:paraId="4138612D"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PASCHOIOTTO, W.P.; CUNHA, C.J.C.A.; SILVA, S.M. Liderança no processo de inovação colaborativa no setor público: uma revisão integrativa. Revista de Administração Pública, v.58, n.1, p. 1-19, 2024. DOI: https://doi.org/10.1590/0034-761220230037</w:t>
      </w:r>
    </w:p>
    <w:p w14:paraId="2AF4CF6B"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ROBILLARD, Martin P. Turnover-induced knowledge loss in practice. In: ACM Joint Meeting on European Software Engineering Conference and Symposium on the Foundations of Software Engineering, 29., 2021. Proceedings. [S. l.]: ACM, 2021. DOI: </w:t>
      </w:r>
      <w:hyperlink r:id="rId39">
        <w:r w:rsidRPr="0035448C">
          <w:rPr>
            <w:rFonts w:ascii="Times New Roman" w:eastAsia="Times New Roman" w:hAnsi="Times New Roman" w:cs="Times New Roman"/>
            <w:sz w:val="24"/>
            <w:szCs w:val="24"/>
          </w:rPr>
          <w:t>https://doi.org/10.1145/3468264.3473923</w:t>
        </w:r>
      </w:hyperlink>
      <w:r w:rsidRPr="0035448C">
        <w:rPr>
          <w:rFonts w:ascii="Times New Roman" w:eastAsia="Times New Roman" w:hAnsi="Times New Roman" w:cs="Times New Roman"/>
          <w:sz w:val="24"/>
          <w:szCs w:val="24"/>
        </w:rPr>
        <w:t>.</w:t>
      </w:r>
    </w:p>
    <w:p w14:paraId="0CC60E12"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ROSSI, Francesca Manes; CITRO, Francesca; BISOGNO, Marco. Intellectual capital in action: evidence from Italian local governments. Journal of Intellectual Capital, [S.l.], v. 17, p. 696–713, 2016. DOI: https://doi.org/10.1108/JIC-01-2016-0011. </w:t>
      </w:r>
    </w:p>
    <w:p w14:paraId="251685FB"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RUPCIC, Natasa; BABŠEK, Matej. Stakeholder analysis as tool for organisational learning in social services: does internal social capital play a role. International Journal of Learning and Intellectual Capital, [S.l.], v. 21, p. 115–149, 2024. DOI: </w:t>
      </w:r>
      <w:hyperlink r:id="rId40">
        <w:r w:rsidRPr="0035448C">
          <w:rPr>
            <w:rFonts w:ascii="Times New Roman" w:eastAsia="Times New Roman" w:hAnsi="Times New Roman" w:cs="Times New Roman"/>
            <w:sz w:val="24"/>
            <w:szCs w:val="24"/>
          </w:rPr>
          <w:t>https://doi.org/10.1504/IJLIC.2024.137574</w:t>
        </w:r>
      </w:hyperlink>
      <w:r w:rsidRPr="0035448C">
        <w:rPr>
          <w:rFonts w:ascii="Times New Roman" w:eastAsia="Times New Roman" w:hAnsi="Times New Roman" w:cs="Times New Roman"/>
          <w:sz w:val="24"/>
          <w:szCs w:val="24"/>
        </w:rPr>
        <w:t>.</w:t>
      </w:r>
    </w:p>
    <w:p w14:paraId="6C1EC5EC"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SÁNCHEZ GUTIÉRREZ, José; GONZÁLEZ URIBE, Elsa Georgina; ORTIZ BARRERA, Manuel Alfredo. Knowledge management process as development policy in public sector: cases in Guadalajara, Mexico. Universidad &amp; Empresa, Bogotá, v. 12, n. 19, p. 11–22, 2010. Disponível em:</w:t>
      </w:r>
      <w:hyperlink r:id="rId41">
        <w:r w:rsidRPr="0035448C">
          <w:rPr>
            <w:rFonts w:ascii="Times New Roman" w:eastAsia="Times New Roman" w:hAnsi="Times New Roman" w:cs="Times New Roman"/>
            <w:sz w:val="24"/>
            <w:szCs w:val="24"/>
          </w:rPr>
          <w:t xml:space="preserve"> </w:t>
        </w:r>
      </w:hyperlink>
      <w:hyperlink r:id="rId42">
        <w:r w:rsidRPr="0035448C">
          <w:rPr>
            <w:rFonts w:ascii="Times New Roman" w:eastAsia="Times New Roman" w:hAnsi="Times New Roman" w:cs="Times New Roman"/>
            <w:sz w:val="24"/>
            <w:szCs w:val="24"/>
          </w:rPr>
          <w:t>https://www.redalyc.org/articulo.oa?id=187218419002</w:t>
        </w:r>
      </w:hyperlink>
      <w:r w:rsidRPr="0035448C">
        <w:rPr>
          <w:rFonts w:ascii="Times New Roman" w:eastAsia="Times New Roman" w:hAnsi="Times New Roman" w:cs="Times New Roman"/>
          <w:sz w:val="24"/>
          <w:szCs w:val="24"/>
        </w:rPr>
        <w:t>. Acesso em: 01 ago. 2025.</w:t>
      </w:r>
    </w:p>
    <w:p w14:paraId="739BE378"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STEWART, Thomas A. Capital intelectual: a nova vantagem competitiva das empresas. São Paulo: Makron Books, 1998.</w:t>
      </w:r>
    </w:p>
    <w:p w14:paraId="3E7272CC" w14:textId="77777777" w:rsidR="0035448C" w:rsidRP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 xml:space="preserve">SVEIBY, Karl Erik. The intangible assets monitor. </w:t>
      </w:r>
      <w:r w:rsidRPr="0035448C">
        <w:rPr>
          <w:rFonts w:ascii="Times New Roman" w:eastAsia="Times New Roman" w:hAnsi="Times New Roman" w:cs="Times New Roman"/>
          <w:i/>
          <w:iCs/>
          <w:sz w:val="24"/>
          <w:szCs w:val="24"/>
        </w:rPr>
        <w:t>Journal of Human Resource Costing &amp; Accounting</w:t>
      </w:r>
      <w:r w:rsidRPr="0035448C">
        <w:rPr>
          <w:rFonts w:ascii="Times New Roman" w:eastAsia="Times New Roman" w:hAnsi="Times New Roman" w:cs="Times New Roman"/>
          <w:sz w:val="24"/>
          <w:szCs w:val="24"/>
        </w:rPr>
        <w:t xml:space="preserve">, v. 2, n. 1, p. 73-97, 1997. DOI: </w:t>
      </w:r>
      <w:r w:rsidRPr="0035448C">
        <w:rPr>
          <w:rFonts w:ascii="Times New Roman" w:eastAsia="Times New Roman" w:hAnsi="Times New Roman" w:cs="Times New Roman"/>
          <w:color w:val="000000" w:themeColor="text1"/>
          <w:sz w:val="24"/>
          <w:szCs w:val="24"/>
        </w:rPr>
        <w:t>https://doi.org/10.1108/eb029036.</w:t>
      </w:r>
    </w:p>
    <w:p w14:paraId="29253363" w14:textId="77777777" w:rsidR="0035448C" w:rsidRDefault="0035448C" w:rsidP="0035448C">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TRANFIELD, David; DENYER, David; SMART, Palminder. Towards a methodology for developing evidence-informed management knowledge by means of systematic review. British Journal of Management, v. 14, n. 3, p. 207–222, 2003.</w:t>
      </w:r>
    </w:p>
    <w:p w14:paraId="7EA82AEA" w14:textId="67154486" w:rsidR="0035448C" w:rsidRPr="0035448C" w:rsidRDefault="0035448C" w:rsidP="000803F3">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WALSH, James P.; UNGSON, Gerardo Rivera</w:t>
      </w:r>
      <w:r w:rsidRPr="000803F3">
        <w:rPr>
          <w:rFonts w:ascii="Times New Roman" w:eastAsia="Times New Roman" w:hAnsi="Times New Roman" w:cs="Times New Roman"/>
          <w:sz w:val="24"/>
          <w:szCs w:val="24"/>
        </w:rPr>
        <w:t>.</w:t>
      </w:r>
      <w:r w:rsidRPr="0035448C">
        <w:rPr>
          <w:rFonts w:ascii="Times New Roman" w:eastAsia="Times New Roman" w:hAnsi="Times New Roman" w:cs="Times New Roman"/>
          <w:sz w:val="24"/>
          <w:szCs w:val="24"/>
        </w:rPr>
        <w:t xml:space="preserve"> Organizational memory. </w:t>
      </w:r>
      <w:r w:rsidRPr="000803F3">
        <w:rPr>
          <w:rFonts w:ascii="Times New Roman" w:eastAsia="Times New Roman" w:hAnsi="Times New Roman" w:cs="Times New Roman"/>
          <w:sz w:val="24"/>
          <w:szCs w:val="24"/>
        </w:rPr>
        <w:t>The Academy of Management Review</w:t>
      </w:r>
      <w:r w:rsidRPr="0035448C">
        <w:rPr>
          <w:rFonts w:ascii="Times New Roman" w:eastAsia="Times New Roman" w:hAnsi="Times New Roman" w:cs="Times New Roman"/>
          <w:sz w:val="24"/>
          <w:szCs w:val="24"/>
        </w:rPr>
        <w:t xml:space="preserve">, v. 16, n. 1, p. 57-91, 1991. DOI: </w:t>
      </w:r>
      <w:r w:rsidRPr="000803F3">
        <w:rPr>
          <w:rFonts w:ascii="Times New Roman" w:eastAsia="Times New Roman" w:hAnsi="Times New Roman" w:cs="Times New Roman"/>
          <w:sz w:val="24"/>
          <w:szCs w:val="24"/>
        </w:rPr>
        <w:t>https://doi.org/10.2307/258607.</w:t>
      </w:r>
    </w:p>
    <w:p w14:paraId="0AC06B87" w14:textId="3990ABA2" w:rsidR="0035448C" w:rsidRPr="0035448C" w:rsidRDefault="0035448C" w:rsidP="000803F3">
      <w:pPr>
        <w:pBdr>
          <w:top w:val="nil"/>
          <w:left w:val="nil"/>
          <w:bottom w:val="nil"/>
          <w:right w:val="nil"/>
          <w:between w:val="nil"/>
        </w:pBdr>
        <w:spacing w:before="282"/>
        <w:ind w:left="106"/>
        <w:rPr>
          <w:rFonts w:ascii="Times New Roman" w:eastAsia="Times New Roman" w:hAnsi="Times New Roman" w:cs="Times New Roman"/>
          <w:sz w:val="24"/>
          <w:szCs w:val="24"/>
        </w:rPr>
      </w:pPr>
      <w:r w:rsidRPr="0035448C">
        <w:rPr>
          <w:rFonts w:ascii="Times New Roman" w:eastAsia="Times New Roman" w:hAnsi="Times New Roman" w:cs="Times New Roman"/>
          <w:sz w:val="24"/>
          <w:szCs w:val="24"/>
        </w:rPr>
        <w:t>WENGER, Etienne. Communities of Practice: learning, meaning, and identity. Cambridge: Cambridge University Press, 1998.</w:t>
      </w:r>
    </w:p>
    <w:sectPr w:rsidR="0035448C" w:rsidRPr="0035448C" w:rsidSect="00B009E4">
      <w:headerReference w:type="default" r:id="rId43"/>
      <w:footerReference w:type="default" r:id="rId44"/>
      <w:headerReference w:type="first" r:id="rId45"/>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21FE5" w14:textId="77777777" w:rsidR="00526023" w:rsidRDefault="00526023">
      <w:pPr>
        <w:spacing w:line="240" w:lineRule="auto"/>
      </w:pPr>
      <w:r>
        <w:separator/>
      </w:r>
    </w:p>
  </w:endnote>
  <w:endnote w:type="continuationSeparator" w:id="0">
    <w:p w14:paraId="69C251EA" w14:textId="77777777" w:rsidR="00526023" w:rsidRDefault="00526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5745B0B-A875-431D-B11B-4E05E38A6524}"/>
  </w:font>
  <w:font w:name="Calibri">
    <w:panose1 w:val="020F0502020204030204"/>
    <w:charset w:val="00"/>
    <w:family w:val="swiss"/>
    <w:pitch w:val="variable"/>
    <w:sig w:usb0="E4002EFF" w:usb1="C000247B" w:usb2="00000009" w:usb3="00000000" w:csb0="000001FF" w:csb1="00000000"/>
    <w:embedRegular r:id="rId2" w:fontKey="{1DC9BFA4-09FF-4C1F-99FD-A900F3558DAC}"/>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3" w:fontKey="{C0DC0C13-C3DD-4F0B-B66A-70C119FE14DE}"/>
  </w:font>
  <w:font w:name="Helvetica">
    <w:panose1 w:val="020B0604020202020204"/>
    <w:charset w:val="00"/>
    <w:family w:val="swiss"/>
    <w:pitch w:val="variable"/>
    <w:sig w:usb0="E0002EFF" w:usb1="C000785B" w:usb2="00000009" w:usb3="00000000" w:csb0="000001FF" w:csb1="00000000"/>
    <w:embedRegular r:id="rId4" w:fontKey="{266B6722-6276-42FF-A3E2-9A74069AB4AA}"/>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4391D9B5-BC5D-44A2-883C-4D6028ECF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CC440" w14:textId="77777777" w:rsidR="00526023" w:rsidRDefault="00526023">
      <w:pPr>
        <w:spacing w:line="240" w:lineRule="auto"/>
      </w:pPr>
      <w:r>
        <w:separator/>
      </w:r>
    </w:p>
  </w:footnote>
  <w:footnote w:type="continuationSeparator" w:id="0">
    <w:p w14:paraId="7F1BDAFA" w14:textId="77777777" w:rsidR="00526023" w:rsidRDefault="00526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34FA1BB5"/>
    <w:multiLevelType w:val="multilevel"/>
    <w:tmpl w:val="6216410E"/>
    <w:lvl w:ilvl="0">
      <w:start w:val="1"/>
      <w:numFmt w:val="decimal"/>
      <w:lvlText w:val="%1."/>
      <w:lvlJc w:val="left"/>
      <w:pPr>
        <w:ind w:left="820" w:hanging="339"/>
      </w:pPr>
      <w:rPr>
        <w:rFonts w:ascii="Arial" w:eastAsia="Arial" w:hAnsi="Arial" w:cs="Arial"/>
        <w:b w:val="0"/>
        <w:i w:val="0"/>
        <w:sz w:val="24"/>
        <w:szCs w:val="24"/>
      </w:rPr>
    </w:lvl>
    <w:lvl w:ilvl="1">
      <w:numFmt w:val="bullet"/>
      <w:lvlText w:val="●"/>
      <w:lvlJc w:val="left"/>
      <w:pPr>
        <w:ind w:left="820" w:hanging="339"/>
      </w:pPr>
      <w:rPr>
        <w:rFonts w:ascii="Noto Sans Symbols" w:eastAsia="Noto Sans Symbols" w:hAnsi="Noto Sans Symbols" w:cs="Noto Sans Symbols"/>
        <w:b w:val="0"/>
        <w:i w:val="0"/>
        <w:sz w:val="20"/>
        <w:szCs w:val="20"/>
      </w:rPr>
    </w:lvl>
    <w:lvl w:ilvl="2">
      <w:numFmt w:val="bullet"/>
      <w:lvlText w:val="•"/>
      <w:lvlJc w:val="left"/>
      <w:pPr>
        <w:ind w:left="2640" w:hanging="339"/>
      </w:pPr>
    </w:lvl>
    <w:lvl w:ilvl="3">
      <w:numFmt w:val="bullet"/>
      <w:lvlText w:val="•"/>
      <w:lvlJc w:val="left"/>
      <w:pPr>
        <w:ind w:left="3550" w:hanging="339"/>
      </w:pPr>
    </w:lvl>
    <w:lvl w:ilvl="4">
      <w:numFmt w:val="bullet"/>
      <w:lvlText w:val="•"/>
      <w:lvlJc w:val="left"/>
      <w:pPr>
        <w:ind w:left="4460" w:hanging="339"/>
      </w:pPr>
    </w:lvl>
    <w:lvl w:ilvl="5">
      <w:numFmt w:val="bullet"/>
      <w:lvlText w:val="•"/>
      <w:lvlJc w:val="left"/>
      <w:pPr>
        <w:ind w:left="5371" w:hanging="339"/>
      </w:pPr>
    </w:lvl>
    <w:lvl w:ilvl="6">
      <w:numFmt w:val="bullet"/>
      <w:lvlText w:val="•"/>
      <w:lvlJc w:val="left"/>
      <w:pPr>
        <w:ind w:left="6281" w:hanging="339"/>
      </w:pPr>
    </w:lvl>
    <w:lvl w:ilvl="7">
      <w:numFmt w:val="bullet"/>
      <w:lvlText w:val="•"/>
      <w:lvlJc w:val="left"/>
      <w:pPr>
        <w:ind w:left="7191" w:hanging="339"/>
      </w:pPr>
    </w:lvl>
    <w:lvl w:ilvl="8">
      <w:numFmt w:val="bullet"/>
      <w:lvlText w:val="•"/>
      <w:lvlJc w:val="left"/>
      <w:pPr>
        <w:ind w:left="8101" w:hanging="339"/>
      </w:pPr>
    </w:lvl>
  </w:abstractNum>
  <w:abstractNum w:abstractNumId="2" w15:restartNumberingAfterBreak="0">
    <w:nsid w:val="3CB53214"/>
    <w:multiLevelType w:val="multilevel"/>
    <w:tmpl w:val="ADF63952"/>
    <w:lvl w:ilvl="0">
      <w:start w:val="1"/>
      <w:numFmt w:val="decimal"/>
      <w:lvlText w:val="%1."/>
      <w:lvlJc w:val="left"/>
      <w:pPr>
        <w:ind w:left="452" w:hanging="313"/>
      </w:pPr>
      <w:rPr>
        <w:rFonts w:ascii="Times New Roman" w:eastAsia="Times New Roman" w:hAnsi="Times New Roman" w:cs="Times New Roman"/>
        <w:b/>
        <w:i w:val="0"/>
        <w:sz w:val="28"/>
        <w:szCs w:val="28"/>
      </w:rPr>
    </w:lvl>
    <w:lvl w:ilvl="1">
      <w:start w:val="1"/>
      <w:numFmt w:val="decimal"/>
      <w:lvlText w:val="%1.%2"/>
      <w:lvlJc w:val="left"/>
      <w:pPr>
        <w:ind w:left="468" w:hanging="468"/>
      </w:pPr>
      <w:rPr>
        <w:rFonts w:ascii="Times New Roman" w:eastAsia="Times New Roman" w:hAnsi="Times New Roman" w:cs="Times New Roman"/>
        <w:b w:val="0"/>
        <w:bCs w:val="0"/>
        <w:i w:val="0"/>
        <w:sz w:val="28"/>
        <w:szCs w:val="28"/>
      </w:rPr>
    </w:lvl>
    <w:lvl w:ilvl="2">
      <w:numFmt w:val="bullet"/>
      <w:lvlText w:val="●"/>
      <w:lvlJc w:val="left"/>
      <w:pPr>
        <w:ind w:left="1048" w:hanging="339"/>
      </w:pPr>
      <w:rPr>
        <w:rFonts w:ascii="Noto Sans Symbols" w:eastAsia="Noto Sans Symbols" w:hAnsi="Noto Sans Symbols" w:cs="Noto Sans Symbols"/>
        <w:b w:val="0"/>
        <w:i w:val="0"/>
        <w:sz w:val="20"/>
        <w:szCs w:val="20"/>
      </w:rPr>
    </w:lvl>
    <w:lvl w:ilvl="3">
      <w:numFmt w:val="bullet"/>
      <w:lvlText w:val="•"/>
      <w:lvlJc w:val="left"/>
      <w:pPr>
        <w:ind w:left="620" w:hanging="339"/>
      </w:pPr>
    </w:lvl>
    <w:lvl w:ilvl="4">
      <w:numFmt w:val="bullet"/>
      <w:lvlText w:val="•"/>
      <w:lvlJc w:val="left"/>
      <w:pPr>
        <w:ind w:left="820" w:hanging="339"/>
      </w:pPr>
    </w:lvl>
    <w:lvl w:ilvl="5">
      <w:numFmt w:val="bullet"/>
      <w:lvlText w:val="•"/>
      <w:lvlJc w:val="left"/>
      <w:pPr>
        <w:ind w:left="2337" w:hanging="339"/>
      </w:pPr>
    </w:lvl>
    <w:lvl w:ilvl="6">
      <w:numFmt w:val="bullet"/>
      <w:lvlText w:val="•"/>
      <w:lvlJc w:val="left"/>
      <w:pPr>
        <w:ind w:left="3854" w:hanging="339"/>
      </w:pPr>
    </w:lvl>
    <w:lvl w:ilvl="7">
      <w:numFmt w:val="bullet"/>
      <w:lvlText w:val="•"/>
      <w:lvlJc w:val="left"/>
      <w:pPr>
        <w:ind w:left="5371" w:hanging="339"/>
      </w:pPr>
    </w:lvl>
    <w:lvl w:ilvl="8">
      <w:numFmt w:val="bullet"/>
      <w:lvlText w:val="•"/>
      <w:lvlJc w:val="left"/>
      <w:pPr>
        <w:ind w:left="6888" w:hanging="339"/>
      </w:pPr>
    </w:lvl>
  </w:abstractNum>
  <w:abstractNum w:abstractNumId="3" w15:restartNumberingAfterBreak="0">
    <w:nsid w:val="4CF21DA1"/>
    <w:multiLevelType w:val="multilevel"/>
    <w:tmpl w:val="ADF63952"/>
    <w:lvl w:ilvl="0">
      <w:start w:val="1"/>
      <w:numFmt w:val="decimal"/>
      <w:lvlText w:val="%1."/>
      <w:lvlJc w:val="left"/>
      <w:pPr>
        <w:ind w:left="452" w:hanging="313"/>
      </w:pPr>
      <w:rPr>
        <w:rFonts w:ascii="Times New Roman" w:eastAsia="Times New Roman" w:hAnsi="Times New Roman" w:cs="Times New Roman"/>
        <w:b/>
        <w:i w:val="0"/>
        <w:sz w:val="28"/>
        <w:szCs w:val="28"/>
      </w:rPr>
    </w:lvl>
    <w:lvl w:ilvl="1">
      <w:start w:val="1"/>
      <w:numFmt w:val="decimal"/>
      <w:lvlText w:val="%1.%2"/>
      <w:lvlJc w:val="left"/>
      <w:pPr>
        <w:ind w:left="468" w:hanging="468"/>
      </w:pPr>
      <w:rPr>
        <w:rFonts w:ascii="Times New Roman" w:eastAsia="Times New Roman" w:hAnsi="Times New Roman" w:cs="Times New Roman"/>
        <w:b w:val="0"/>
        <w:bCs w:val="0"/>
        <w:i w:val="0"/>
        <w:sz w:val="28"/>
        <w:szCs w:val="28"/>
      </w:rPr>
    </w:lvl>
    <w:lvl w:ilvl="2">
      <w:numFmt w:val="bullet"/>
      <w:lvlText w:val="●"/>
      <w:lvlJc w:val="left"/>
      <w:pPr>
        <w:ind w:left="1048" w:hanging="339"/>
      </w:pPr>
      <w:rPr>
        <w:rFonts w:ascii="Noto Sans Symbols" w:eastAsia="Noto Sans Symbols" w:hAnsi="Noto Sans Symbols" w:cs="Noto Sans Symbols"/>
        <w:b w:val="0"/>
        <w:i w:val="0"/>
        <w:sz w:val="20"/>
        <w:szCs w:val="20"/>
      </w:rPr>
    </w:lvl>
    <w:lvl w:ilvl="3">
      <w:numFmt w:val="bullet"/>
      <w:lvlText w:val="•"/>
      <w:lvlJc w:val="left"/>
      <w:pPr>
        <w:ind w:left="620" w:hanging="339"/>
      </w:pPr>
    </w:lvl>
    <w:lvl w:ilvl="4">
      <w:numFmt w:val="bullet"/>
      <w:lvlText w:val="•"/>
      <w:lvlJc w:val="left"/>
      <w:pPr>
        <w:ind w:left="820" w:hanging="339"/>
      </w:pPr>
    </w:lvl>
    <w:lvl w:ilvl="5">
      <w:numFmt w:val="bullet"/>
      <w:lvlText w:val="•"/>
      <w:lvlJc w:val="left"/>
      <w:pPr>
        <w:ind w:left="2337" w:hanging="339"/>
      </w:pPr>
    </w:lvl>
    <w:lvl w:ilvl="6">
      <w:numFmt w:val="bullet"/>
      <w:lvlText w:val="•"/>
      <w:lvlJc w:val="left"/>
      <w:pPr>
        <w:ind w:left="3854" w:hanging="339"/>
      </w:pPr>
    </w:lvl>
    <w:lvl w:ilvl="7">
      <w:numFmt w:val="bullet"/>
      <w:lvlText w:val="•"/>
      <w:lvlJc w:val="left"/>
      <w:pPr>
        <w:ind w:left="5371" w:hanging="339"/>
      </w:pPr>
    </w:lvl>
    <w:lvl w:ilvl="8">
      <w:numFmt w:val="bullet"/>
      <w:lvlText w:val="•"/>
      <w:lvlJc w:val="left"/>
      <w:pPr>
        <w:ind w:left="6888" w:hanging="339"/>
      </w:pPr>
    </w:lvl>
  </w:abstractNum>
  <w:abstractNum w:abstractNumId="4"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5"/>
  </w:num>
  <w:num w:numId="2" w16cid:durableId="691417632">
    <w:abstractNumId w:val="4"/>
  </w:num>
  <w:num w:numId="3" w16cid:durableId="754589262">
    <w:abstractNumId w:val="0"/>
  </w:num>
  <w:num w:numId="4" w16cid:durableId="1947498918">
    <w:abstractNumId w:val="2"/>
  </w:num>
  <w:num w:numId="5" w16cid:durableId="1606110719">
    <w:abstractNumId w:val="1"/>
  </w:num>
  <w:num w:numId="6" w16cid:durableId="1544487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803F3"/>
    <w:rsid w:val="00136729"/>
    <w:rsid w:val="0035448C"/>
    <w:rsid w:val="00421B29"/>
    <w:rsid w:val="004957F6"/>
    <w:rsid w:val="00512D7C"/>
    <w:rsid w:val="00526023"/>
    <w:rsid w:val="00615B2C"/>
    <w:rsid w:val="006A4F8D"/>
    <w:rsid w:val="006F452E"/>
    <w:rsid w:val="007A344C"/>
    <w:rsid w:val="007B5401"/>
    <w:rsid w:val="00897217"/>
    <w:rsid w:val="0092081D"/>
    <w:rsid w:val="0098543D"/>
    <w:rsid w:val="00A36A84"/>
    <w:rsid w:val="00AD7BEC"/>
    <w:rsid w:val="00B009E4"/>
    <w:rsid w:val="00B72C81"/>
    <w:rsid w:val="00C96F9B"/>
    <w:rsid w:val="00D8471E"/>
    <w:rsid w:val="00DD1E49"/>
    <w:rsid w:val="00F26737"/>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1"/>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98543D"/>
    <w:rPr>
      <w:color w:val="605E5C"/>
      <w:shd w:val="clear" w:color="auto" w:fill="E1DFDD"/>
    </w:rPr>
  </w:style>
  <w:style w:type="table" w:styleId="Tabelacomgrade">
    <w:name w:val="Table Grid"/>
    <w:basedOn w:val="Tabelanormal"/>
    <w:uiPriority w:val="39"/>
    <w:rsid w:val="007B5401"/>
    <w:pPr>
      <w:widowControl w:val="0"/>
      <w:spacing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4018/ejbmr.2021.6.3.893" TargetMode="External"/><Relationship Id="rId18" Type="http://schemas.openxmlformats.org/officeDocument/2006/relationships/hyperlink" Target="https://doi.org/10.1108/00251749810204142" TargetMode="External"/><Relationship Id="rId26" Type="http://schemas.openxmlformats.org/officeDocument/2006/relationships/hyperlink" Target="https://doi.org/10.1093/scipol/sct004" TargetMode="External"/><Relationship Id="rId39" Type="http://schemas.openxmlformats.org/officeDocument/2006/relationships/hyperlink" Target="https://doi.org/10.1145/3468264.3473923" TargetMode="External"/><Relationship Id="rId3" Type="http://schemas.openxmlformats.org/officeDocument/2006/relationships/numbering" Target="numbering.xml"/><Relationship Id="rId21" Type="http://schemas.openxmlformats.org/officeDocument/2006/relationships/hyperlink" Target="https://doi.org/10.21118/apgs.v1i4.4012" TargetMode="External"/><Relationship Id="rId34" Type="http://schemas.openxmlformats.org/officeDocument/2006/relationships/hyperlink" Target="https://doi.org/10.25105/IMAR.V19I1.6969" TargetMode="External"/><Relationship Id="rId42" Type="http://schemas.openxmlformats.org/officeDocument/2006/relationships/hyperlink" Target="https://www.redalyc.org/articulo.oa?id=187218419002"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3106/JAFEB.2021.VOL8.NO12.0421" TargetMode="External"/><Relationship Id="rId17" Type="http://schemas.openxmlformats.org/officeDocument/2006/relationships/hyperlink" Target="https://doi.org/10.1504/IJKMS.2020.109086" TargetMode="External"/><Relationship Id="rId25" Type="http://schemas.openxmlformats.org/officeDocument/2006/relationships/hyperlink" Target="https://doi.org/10.1093/scipol/sct004" TargetMode="External"/><Relationship Id="rId33" Type="http://schemas.openxmlformats.org/officeDocument/2006/relationships/hyperlink" Target="https://www.perlego.com/book/3073860/creating-public-value-strategic-management-in-government-pdf" TargetMode="External"/><Relationship Id="rId38" Type="http://schemas.openxmlformats.org/officeDocument/2006/relationships/hyperlink" Target="https://doi.org/10.1177/0160323X10368034"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108/JKM-09-2020-0700" TargetMode="External"/><Relationship Id="rId20" Type="http://schemas.openxmlformats.org/officeDocument/2006/relationships/hyperlink" Target="https://doi.org/10.1108/JIC-01-2015-0004" TargetMode="External"/><Relationship Id="rId29" Type="http://schemas.openxmlformats.org/officeDocument/2006/relationships/hyperlink" Target="https://doi.org/10.4102/sajim.v22i1.1135" TargetMode="External"/><Relationship Id="rId41" Type="http://schemas.openxmlformats.org/officeDocument/2006/relationships/hyperlink" Target="https://www.redalyc.org/articulo.oa?id=187218419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08/IJPSM-10-2018-0225" TargetMode="External"/><Relationship Id="rId24" Type="http://schemas.openxmlformats.org/officeDocument/2006/relationships/hyperlink" Target="https://doi.org/10.1108/JIC-03-2013-0035" TargetMode="External"/><Relationship Id="rId32" Type="http://schemas.openxmlformats.org/officeDocument/2006/relationships/hyperlink" Target="https://doi.org/10.5937/sjm13-15037" TargetMode="External"/><Relationship Id="rId37" Type="http://schemas.openxmlformats.org/officeDocument/2006/relationships/hyperlink" Target="https://doi.org/10.1108/JKM-10-2017-0467" TargetMode="External"/><Relationship Id="rId40" Type="http://schemas.openxmlformats.org/officeDocument/2006/relationships/hyperlink" Target="https://doi.org/10.1504/IJLIC.2024.137574"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doi.org/10.14456/ITJEMAST.2022.62" TargetMode="External"/><Relationship Id="rId23" Type="http://schemas.openxmlformats.org/officeDocument/2006/relationships/hyperlink" Target="https://doi.org/10.1108/JIC-03-2013-0035" TargetMode="External"/><Relationship Id="rId28" Type="http://schemas.openxmlformats.org/officeDocument/2006/relationships/hyperlink" Target="https://doi.org/10.1007/978-3-030-80094-9_19" TargetMode="External"/><Relationship Id="rId36" Type="http://schemas.openxmlformats.org/officeDocument/2006/relationships/hyperlink" Target="https://doi.org/10.1108/JIC-07-2021-0195" TargetMode="External"/><Relationship Id="rId10" Type="http://schemas.openxmlformats.org/officeDocument/2006/relationships/hyperlink" Target="https://doi.org/10.1108/IJPSM-10-2018-0225" TargetMode="External"/><Relationship Id="rId19" Type="http://schemas.openxmlformats.org/officeDocument/2006/relationships/hyperlink" Target="https://doi.org/10.1002/kpm.384" TargetMode="External"/><Relationship Id="rId31" Type="http://schemas.openxmlformats.org/officeDocument/2006/relationships/hyperlink" Target="https://doi.org/10.1093/jopart/mum028"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doi.org/10.2139/ssrn.2538354" TargetMode="External"/><Relationship Id="rId14" Type="http://schemas.openxmlformats.org/officeDocument/2006/relationships/hyperlink" Target="https://doi.org/10.17323/1998-0663.2018.1.17.27" TargetMode="External"/><Relationship Id="rId22" Type="http://schemas.openxmlformats.org/officeDocument/2006/relationships/hyperlink" Target="https://doi.org/10.21118/apgs.v1i4.4012" TargetMode="External"/><Relationship Id="rId27" Type="http://schemas.openxmlformats.org/officeDocument/2006/relationships/hyperlink" Target="https://doi.org/10.1016/j.heliyon.2023.e22293" TargetMode="External"/><Relationship Id="rId30" Type="http://schemas.openxmlformats.org/officeDocument/2006/relationships/hyperlink" Target="https://doi.org/10.1080/14778238.2018.1538670" TargetMode="External"/><Relationship Id="rId35" Type="http://schemas.openxmlformats.org/officeDocument/2006/relationships/hyperlink" Target="https://doi.org/10.1108/JIC-07-2021-0195" TargetMode="Externa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9552</Words>
  <Characters>51582</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Natália Paranhos</dc:creator>
  <cp:lastModifiedBy>Natália Paranhos</cp:lastModifiedBy>
  <cp:revision>10</cp:revision>
  <dcterms:created xsi:type="dcterms:W3CDTF">2025-09-04T19:57:00Z</dcterms:created>
  <dcterms:modified xsi:type="dcterms:W3CDTF">2025-09-04T22:29:00Z</dcterms:modified>
</cp:coreProperties>
</file>