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36" w:rsidRDefault="007D368B">
      <w:pPr>
        <w:pStyle w:val="normal0"/>
        <w:keepNext/>
        <w:keepLines/>
        <w:pBdr>
          <w:top w:val="nil"/>
          <w:left w:val="nil"/>
          <w:bottom w:val="nil"/>
          <w:right w:val="nil"/>
          <w:between w:val="nil"/>
        </w:pBdr>
        <w:spacing w:before="160" w:after="80"/>
        <w:jc w:val="center"/>
        <w:rPr>
          <w:rFonts w:ascii="Arial" w:eastAsia="Arial" w:hAnsi="Arial" w:cs="Arial"/>
          <w:color w:val="0F4761"/>
          <w:sz w:val="28"/>
          <w:szCs w:val="28"/>
        </w:rPr>
      </w:pPr>
      <w:r>
        <w:rPr>
          <w:rFonts w:ascii="Arial" w:eastAsia="Arial" w:hAnsi="Arial" w:cs="Arial"/>
          <w:b/>
          <w:color w:val="000000"/>
          <w:sz w:val="28"/>
          <w:szCs w:val="28"/>
        </w:rPr>
        <w:t>NEOCOLONIALI</w:t>
      </w:r>
      <w:r>
        <w:rPr>
          <w:rFonts w:ascii="Arial" w:eastAsia="Arial" w:hAnsi="Arial" w:cs="Arial"/>
          <w:b/>
          <w:sz w:val="28"/>
          <w:szCs w:val="28"/>
        </w:rPr>
        <w:t>DADE</w:t>
      </w:r>
      <w:r>
        <w:rPr>
          <w:rFonts w:ascii="Arial" w:eastAsia="Arial" w:hAnsi="Arial" w:cs="Arial"/>
          <w:b/>
          <w:color w:val="000000"/>
          <w:sz w:val="28"/>
          <w:szCs w:val="28"/>
        </w:rPr>
        <w:t xml:space="preserve">, </w:t>
      </w:r>
      <w:r>
        <w:rPr>
          <w:rFonts w:ascii="Arial" w:eastAsia="Arial" w:hAnsi="Arial" w:cs="Arial"/>
          <w:b/>
          <w:sz w:val="28"/>
          <w:szCs w:val="28"/>
        </w:rPr>
        <w:t>RELIGIÃO</w:t>
      </w:r>
      <w:r>
        <w:rPr>
          <w:rFonts w:ascii="Arial" w:eastAsia="Arial" w:hAnsi="Arial" w:cs="Arial"/>
          <w:b/>
          <w:color w:val="000000"/>
          <w:sz w:val="28"/>
          <w:szCs w:val="28"/>
        </w:rPr>
        <w:t xml:space="preserve"> E O TERCEIRO SETOR NA EDUCAÇÃO DO CONSENSO</w:t>
      </w:r>
      <w:r>
        <w:rPr>
          <w:rFonts w:ascii="Arial" w:eastAsia="Arial" w:hAnsi="Arial" w:cs="Arial"/>
          <w:b/>
          <w:color w:val="000000"/>
          <w:sz w:val="28"/>
          <w:szCs w:val="28"/>
          <w:vertAlign w:val="superscript"/>
        </w:rPr>
        <w:footnoteReference w:id="2"/>
      </w:r>
    </w:p>
    <w:p w:rsidR="00556636" w:rsidRDefault="00556636">
      <w:pPr>
        <w:pStyle w:val="normal0"/>
        <w:spacing w:after="0"/>
        <w:rPr>
          <w:rFonts w:ascii="Arial" w:eastAsia="Arial" w:hAnsi="Arial" w:cs="Arial"/>
          <w:sz w:val="28"/>
          <w:szCs w:val="28"/>
        </w:rPr>
      </w:pPr>
    </w:p>
    <w:p w:rsidR="00556636" w:rsidRDefault="00556636">
      <w:pPr>
        <w:pStyle w:val="normal0"/>
        <w:spacing w:after="0"/>
        <w:rPr>
          <w:rFonts w:ascii="Arial" w:eastAsia="Arial" w:hAnsi="Arial" w:cs="Arial"/>
          <w:sz w:val="28"/>
          <w:szCs w:val="28"/>
        </w:rPr>
      </w:pPr>
    </w:p>
    <w:p w:rsidR="00556636" w:rsidRDefault="007D368B">
      <w:pPr>
        <w:pStyle w:val="normal0"/>
        <w:spacing w:after="0" w:line="360" w:lineRule="auto"/>
        <w:jc w:val="right"/>
        <w:rPr>
          <w:rFonts w:ascii="Arial" w:eastAsia="Arial" w:hAnsi="Arial" w:cs="Arial"/>
        </w:rPr>
      </w:pPr>
      <w:r>
        <w:rPr>
          <w:rFonts w:ascii="Arial" w:eastAsia="Arial" w:hAnsi="Arial" w:cs="Arial"/>
          <w:b/>
          <w:i/>
        </w:rPr>
        <w:t>Suzan Alberton Pozzer</w:t>
      </w:r>
      <w:r>
        <w:rPr>
          <w:rFonts w:ascii="Arial" w:eastAsia="Arial" w:hAnsi="Arial" w:cs="Arial"/>
          <w:vertAlign w:val="superscript"/>
        </w:rPr>
        <w:footnoteReference w:id="3"/>
      </w:r>
    </w:p>
    <w:p w:rsidR="00556636" w:rsidRDefault="007D368B">
      <w:pPr>
        <w:pStyle w:val="normal0"/>
        <w:spacing w:after="0" w:line="360" w:lineRule="auto"/>
        <w:jc w:val="right"/>
        <w:rPr>
          <w:rFonts w:ascii="Arial" w:eastAsia="Arial" w:hAnsi="Arial" w:cs="Arial"/>
        </w:rPr>
      </w:pPr>
      <w:r>
        <w:rPr>
          <w:rFonts w:ascii="Arial" w:eastAsia="Arial" w:hAnsi="Arial" w:cs="Arial"/>
          <w:b/>
          <w:i/>
        </w:rPr>
        <w:t>Adecir Pozzer</w:t>
      </w:r>
      <w:r>
        <w:rPr>
          <w:rFonts w:ascii="Arial" w:eastAsia="Arial" w:hAnsi="Arial" w:cs="Arial"/>
          <w:vertAlign w:val="superscript"/>
        </w:rPr>
        <w:footnoteReference w:id="4"/>
      </w:r>
    </w:p>
    <w:p w:rsidR="00556636" w:rsidRDefault="00556636">
      <w:pPr>
        <w:pStyle w:val="normal0"/>
        <w:spacing w:after="0" w:line="360" w:lineRule="auto"/>
        <w:jc w:val="right"/>
        <w:rPr>
          <w:rFonts w:ascii="Arial" w:eastAsia="Arial" w:hAnsi="Arial" w:cs="Arial"/>
        </w:rPr>
      </w:pPr>
    </w:p>
    <w:p w:rsidR="00556636" w:rsidRDefault="00556636">
      <w:pPr>
        <w:pStyle w:val="normal0"/>
        <w:spacing w:after="0"/>
        <w:jc w:val="right"/>
        <w:rPr>
          <w:rFonts w:ascii="Arial" w:eastAsia="Arial" w:hAnsi="Arial" w:cs="Arial"/>
        </w:rPr>
      </w:pPr>
    </w:p>
    <w:p w:rsidR="00556636" w:rsidRDefault="007D368B">
      <w:pPr>
        <w:pStyle w:val="normal0"/>
        <w:spacing w:after="0"/>
        <w:rPr>
          <w:rFonts w:ascii="Arial" w:eastAsia="Arial" w:hAnsi="Arial" w:cs="Arial"/>
        </w:rPr>
      </w:pPr>
      <w:r>
        <w:rPr>
          <w:rFonts w:ascii="Arial" w:eastAsia="Arial" w:hAnsi="Arial" w:cs="Arial"/>
          <w:b/>
        </w:rPr>
        <w:t xml:space="preserve">Grupo de Trabalho GT 5: </w:t>
      </w:r>
      <w:r>
        <w:rPr>
          <w:rFonts w:ascii="Arial" w:eastAsia="Arial" w:hAnsi="Arial" w:cs="Arial"/>
        </w:rPr>
        <w:t>Decolonialidade, Ciências da Religião e Ensino Religioso</w:t>
      </w:r>
    </w:p>
    <w:p w:rsidR="00556636" w:rsidRDefault="00556636">
      <w:pPr>
        <w:pStyle w:val="normal0"/>
        <w:spacing w:after="0"/>
        <w:rPr>
          <w:rFonts w:ascii="Arial" w:eastAsia="Arial" w:hAnsi="Arial" w:cs="Arial"/>
        </w:rPr>
      </w:pPr>
    </w:p>
    <w:p w:rsidR="00556636" w:rsidRDefault="007D368B">
      <w:pPr>
        <w:pStyle w:val="normal0"/>
        <w:spacing w:after="0"/>
        <w:rPr>
          <w:rFonts w:ascii="Arial" w:eastAsia="Arial" w:hAnsi="Arial" w:cs="Arial"/>
          <w:sz w:val="20"/>
          <w:szCs w:val="20"/>
        </w:rPr>
      </w:pPr>
      <w:r>
        <w:rPr>
          <w:rFonts w:ascii="Arial" w:eastAsia="Arial" w:hAnsi="Arial" w:cs="Arial"/>
          <w:b/>
          <w:sz w:val="20"/>
          <w:szCs w:val="20"/>
        </w:rPr>
        <w:t>Resumo:</w:t>
      </w:r>
    </w:p>
    <w:p w:rsidR="00556636" w:rsidRDefault="007D368B">
      <w:pPr>
        <w:pStyle w:val="normal0"/>
        <w:spacing w:after="0"/>
        <w:jc w:val="both"/>
        <w:rPr>
          <w:rFonts w:ascii="Arial" w:eastAsia="Arial" w:hAnsi="Arial" w:cs="Arial"/>
          <w:sz w:val="20"/>
          <w:szCs w:val="20"/>
        </w:rPr>
      </w:pPr>
      <w:r>
        <w:rPr>
          <w:rFonts w:ascii="Arial" w:eastAsia="Arial" w:hAnsi="Arial" w:cs="Arial"/>
          <w:sz w:val="20"/>
          <w:szCs w:val="20"/>
        </w:rPr>
        <w:t>O presente artigo objetiva refletir sobre a influência do pensamento neoliberal nas reformas educacionais no Brasil, em especial no que diz respeito a crescente participação do chamado “terceiro setor” nos serviços públicos, como Fundações Privadas e Associações sem Fins Lucrativos, muitas delas ligadas a denominações religiosas que atuam com atividades midiáticas, assistenciais de média e alta complexidade, em associações e conselhos da área da saúde, da cultura e da educação. Metodologicamente, trata-se de uma pesquisa qualitativa, de cunho bibliográfico e documental, cujas fontes evidenciam ameaças aos princípios da educação pública, em especial no que se refere ao direito à educação de qualidade, às liberdades de aprender, ensinar, pesquisar e ao pluralismo de ideias e concepções pedagógicas, indispensáveis ao exercício da cidadania e ao respeito à diversidade cultural e religiosa. Os resultados apontam que a partir da ótica de uma economia neoliberal, praticamente tudo se converte em mercadoria, inclusive a fé, que passa a ser um instrumento a serviço de interesses particulares que impactam no aumento das desigualdades socioeducacionais e na difusão de uma educação do consenso.</w:t>
      </w:r>
    </w:p>
    <w:p w:rsidR="00556636" w:rsidRDefault="00556636">
      <w:pPr>
        <w:pStyle w:val="normal0"/>
        <w:spacing w:after="0"/>
        <w:rPr>
          <w:rFonts w:ascii="Arial" w:eastAsia="Arial" w:hAnsi="Arial" w:cs="Arial"/>
          <w:sz w:val="20"/>
          <w:szCs w:val="20"/>
        </w:rPr>
      </w:pPr>
    </w:p>
    <w:p w:rsidR="00556636" w:rsidRDefault="007D368B">
      <w:pPr>
        <w:pStyle w:val="normal0"/>
        <w:spacing w:after="0" w:line="360" w:lineRule="auto"/>
        <w:jc w:val="both"/>
        <w:rPr>
          <w:rFonts w:ascii="Arial" w:eastAsia="Arial" w:hAnsi="Arial" w:cs="Arial"/>
          <w:sz w:val="20"/>
          <w:szCs w:val="20"/>
        </w:rPr>
      </w:pPr>
      <w:r>
        <w:rPr>
          <w:rFonts w:ascii="Arial" w:eastAsia="Arial" w:hAnsi="Arial" w:cs="Arial"/>
          <w:b/>
          <w:sz w:val="20"/>
          <w:szCs w:val="20"/>
        </w:rPr>
        <w:t xml:space="preserve">Palavras-chave: </w:t>
      </w:r>
      <w:r>
        <w:rPr>
          <w:rFonts w:ascii="Arial" w:eastAsia="Arial" w:hAnsi="Arial" w:cs="Arial"/>
          <w:sz w:val="20"/>
          <w:szCs w:val="20"/>
        </w:rPr>
        <w:t xml:space="preserve">Religião; Neocolonialidade; Terceiro Setor; Educação do consenso. </w:t>
      </w:r>
    </w:p>
    <w:p w:rsidR="00556636" w:rsidRDefault="00556636">
      <w:pPr>
        <w:pStyle w:val="normal0"/>
        <w:spacing w:after="0" w:line="360" w:lineRule="auto"/>
        <w:jc w:val="both"/>
        <w:rPr>
          <w:rFonts w:ascii="Arial" w:eastAsia="Arial" w:hAnsi="Arial" w:cs="Arial"/>
        </w:rPr>
      </w:pPr>
    </w:p>
    <w:p w:rsidR="00556636" w:rsidRDefault="007D368B">
      <w:pPr>
        <w:pStyle w:val="normal0"/>
        <w:spacing w:after="0" w:line="360" w:lineRule="auto"/>
        <w:jc w:val="both"/>
        <w:rPr>
          <w:rFonts w:ascii="Arial" w:eastAsia="Arial" w:hAnsi="Arial" w:cs="Arial"/>
        </w:rPr>
      </w:pPr>
      <w:r>
        <w:rPr>
          <w:rFonts w:ascii="Arial" w:eastAsia="Arial" w:hAnsi="Arial" w:cs="Arial"/>
          <w:b/>
        </w:rPr>
        <w:t>1 Introdução</w:t>
      </w:r>
    </w:p>
    <w:p w:rsidR="00556636" w:rsidRDefault="00556636">
      <w:pPr>
        <w:pStyle w:val="normal0"/>
        <w:spacing w:after="0" w:line="360" w:lineRule="auto"/>
        <w:ind w:firstLine="720"/>
        <w:jc w:val="both"/>
        <w:rPr>
          <w:rFonts w:ascii="Arial" w:eastAsia="Arial" w:hAnsi="Arial" w:cs="Arial"/>
          <w:color w:val="FF0000"/>
        </w:rPr>
      </w:pPr>
    </w:p>
    <w:p w:rsidR="00556636" w:rsidRDefault="007D368B">
      <w:pPr>
        <w:pStyle w:val="normal0"/>
        <w:spacing w:after="0" w:line="360" w:lineRule="auto"/>
        <w:ind w:firstLine="720"/>
        <w:jc w:val="both"/>
        <w:rPr>
          <w:rFonts w:ascii="Arial" w:eastAsia="Arial" w:hAnsi="Arial" w:cs="Arial"/>
        </w:rPr>
      </w:pPr>
      <w:r>
        <w:rPr>
          <w:rFonts w:ascii="Arial" w:eastAsia="Arial" w:hAnsi="Arial" w:cs="Arial"/>
        </w:rPr>
        <w:t xml:space="preserve">As instituições científicas e filosóficas que se ocupam com a produção e validação dos conhecimentos científicos, e convertem o senso comum em senso crítico, encontram-se impactadas pelos chamados </w:t>
      </w:r>
      <w:r>
        <w:rPr>
          <w:rFonts w:ascii="Arial" w:eastAsia="Arial" w:hAnsi="Arial" w:cs="Arial"/>
          <w:i/>
        </w:rPr>
        <w:t>Think Tanks</w:t>
      </w:r>
      <w:r>
        <w:rPr>
          <w:rFonts w:ascii="Arial" w:eastAsia="Arial" w:hAnsi="Arial" w:cs="Arial"/>
          <w:i/>
          <w:vertAlign w:val="superscript"/>
        </w:rPr>
        <w:footnoteReference w:id="5"/>
      </w:r>
      <w:r>
        <w:rPr>
          <w:rFonts w:ascii="Arial" w:eastAsia="Arial" w:hAnsi="Arial" w:cs="Arial"/>
        </w:rPr>
        <w:t xml:space="preserve">, que se definem como organizações que produzem fundamentos para a criação de políticas sob uma perspectiva neoliberal, com características universais, mas que facilmente se ajustam aos contextos locais. Os </w:t>
      </w:r>
      <w:r>
        <w:rPr>
          <w:rFonts w:ascii="Arial" w:eastAsia="Arial" w:hAnsi="Arial" w:cs="Arial"/>
          <w:i/>
        </w:rPr>
        <w:t>Think Tanks</w:t>
      </w:r>
      <w:r>
        <w:rPr>
          <w:rFonts w:ascii="Arial" w:eastAsia="Arial" w:hAnsi="Arial" w:cs="Arial"/>
        </w:rPr>
        <w:t xml:space="preserve"> reúnem diversas frentes para construir a educação do consenso, caracterizada por </w:t>
      </w:r>
      <w:r>
        <w:rPr>
          <w:rFonts w:ascii="Arial" w:eastAsia="Arial" w:hAnsi="Arial" w:cs="Arial"/>
        </w:rPr>
        <w:lastRenderedPageBreak/>
        <w:t>uma formação de caráter hegemônico do mundo, padronizando discursos e limitando a participação reflexiva e crítica da sociedade, em diferentes áreas da atuação humana. </w:t>
      </w:r>
    </w:p>
    <w:p w:rsidR="00556636" w:rsidRDefault="007D368B">
      <w:pPr>
        <w:pStyle w:val="normal0"/>
        <w:spacing w:after="0" w:line="360" w:lineRule="auto"/>
        <w:ind w:firstLine="720"/>
        <w:jc w:val="both"/>
        <w:rPr>
          <w:rFonts w:ascii="Arial" w:eastAsia="Arial" w:hAnsi="Arial" w:cs="Arial"/>
        </w:rPr>
      </w:pPr>
      <w:r>
        <w:rPr>
          <w:rFonts w:ascii="Arial" w:eastAsia="Arial" w:hAnsi="Arial" w:cs="Arial"/>
        </w:rPr>
        <w:t xml:space="preserve">Este cenário se complexifica quando o pensamento neoliberal se associa à religião. Na medida em que lideranças religiosas passam a aumentar a influência nos meios midiáticos, com participação direta em negócios focados na comunicação para as grandes massas, por meio de programas de auditório ou televisionados, a religião se afasta da dimensão do sagrado e cede espaço às ondas de rádio, televisão e a internet. Desenvolve-se, daí, uma espetacularização da fé em que a experiência religiosa se confunde com a experiência midiática. Cresce a informalidade e individualização da fé, sem vínculos comunitários. </w:t>
      </w:r>
    </w:p>
    <w:p w:rsidR="00556636" w:rsidRDefault="007D368B">
      <w:pPr>
        <w:pStyle w:val="normal0"/>
        <w:spacing w:after="0" w:line="360" w:lineRule="auto"/>
        <w:ind w:firstLine="720"/>
        <w:jc w:val="both"/>
        <w:rPr>
          <w:rFonts w:ascii="Arial" w:eastAsia="Arial" w:hAnsi="Arial" w:cs="Arial"/>
        </w:rPr>
      </w:pPr>
      <w:r>
        <w:rPr>
          <w:rFonts w:ascii="Arial" w:eastAsia="Arial" w:hAnsi="Arial" w:cs="Arial"/>
        </w:rPr>
        <w:t xml:space="preserve">A mercantilização da fé, portanto, está estritamente vinculada aos ideais do neoliberalismo que, ao se ocupar com a concentração de capital, relativiza e vulnerabiliza a vida humana, produzindo uma nova roupagem à colonialidade, ao que denominamos aqui de neocolonialidade. </w:t>
      </w:r>
    </w:p>
    <w:p w:rsidR="00556636" w:rsidRDefault="007D368B">
      <w:pPr>
        <w:pStyle w:val="normal0"/>
        <w:spacing w:after="0" w:line="360" w:lineRule="auto"/>
        <w:ind w:firstLine="720"/>
        <w:jc w:val="both"/>
        <w:rPr>
          <w:rFonts w:ascii="Arial" w:eastAsia="Arial" w:hAnsi="Arial" w:cs="Arial"/>
        </w:rPr>
      </w:pPr>
      <w:r>
        <w:rPr>
          <w:rFonts w:ascii="Arial" w:eastAsia="Arial" w:hAnsi="Arial" w:cs="Arial"/>
        </w:rPr>
        <w:t>Desta forma, o objetivo deste artigo é problematizar as novas formas de controle das mentes e dos corpos por padrões hegemônicos, os quais se utilizam de mecanismos e estratégias de grande alcance, bem como de narrativas que sensibilizam facilmente as massas, fazendo uso de questões religiosas, educativas ou relacionadas a ressentimentos e fantasias do passado. Metodologicamente, trata-se de uma pesquisa qualitativa, de cunho bibliográfico e documental.</w:t>
      </w:r>
    </w:p>
    <w:p w:rsidR="00556636" w:rsidRDefault="007D368B">
      <w:pPr>
        <w:pStyle w:val="normal0"/>
        <w:spacing w:after="0" w:line="360" w:lineRule="auto"/>
        <w:ind w:firstLine="720"/>
        <w:jc w:val="both"/>
        <w:rPr>
          <w:rFonts w:ascii="Arial" w:eastAsia="Arial" w:hAnsi="Arial" w:cs="Arial"/>
        </w:rPr>
      </w:pPr>
      <w:r>
        <w:rPr>
          <w:rFonts w:ascii="Arial" w:eastAsia="Arial" w:hAnsi="Arial" w:cs="Arial"/>
        </w:rPr>
        <w:t xml:space="preserve">Partimos do pressuposto que a religião, quando seduzida pelos ideais e interesses neoliberais, torna-se uma forte aliada das elites e do terceiro setor na difusão do pensamento hegemônico junto à opinião pública, a fim de aprovar popularmente políticas que, quando implementadas, desfavorecem a própria população, reproduzindo a colonialidade do ser, do poder, do saber e do crer. </w:t>
      </w:r>
    </w:p>
    <w:p w:rsidR="00556636" w:rsidRDefault="00556636">
      <w:pPr>
        <w:pStyle w:val="normal0"/>
        <w:rPr>
          <w:rFonts w:ascii="Arial" w:eastAsia="Arial" w:hAnsi="Arial" w:cs="Arial"/>
        </w:rPr>
      </w:pPr>
    </w:p>
    <w:p w:rsidR="00556636" w:rsidRDefault="007D368B">
      <w:pPr>
        <w:pStyle w:val="normal0"/>
        <w:rPr>
          <w:rFonts w:ascii="Arial" w:eastAsia="Arial" w:hAnsi="Arial" w:cs="Arial"/>
          <w:b/>
        </w:rPr>
      </w:pPr>
      <w:r>
        <w:rPr>
          <w:rFonts w:ascii="Arial" w:eastAsia="Arial" w:hAnsi="Arial" w:cs="Arial"/>
          <w:b/>
        </w:rPr>
        <w:t>2 Fundamentação teórica</w:t>
      </w:r>
    </w:p>
    <w:p w:rsidR="00556636" w:rsidRDefault="00556636">
      <w:pPr>
        <w:pStyle w:val="normal0"/>
        <w:rPr>
          <w:rFonts w:ascii="Arial" w:eastAsia="Arial" w:hAnsi="Arial" w:cs="Arial"/>
        </w:rPr>
      </w:pP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Sob os impactos do pós-ditadura militar de 64, a desigualdade e a miséria assolavam o país nos anos 80. A insatisfação com o regime militar era compartilhada por parte significativa da população. Era preciso atenuar o mal-estar político e social, mas também afastar do horizonte quaisquer propostas socialistas que se mostrassem como alternativa interessante para os problemas do país.</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FF0000"/>
        </w:rPr>
        <w:t> </w:t>
      </w:r>
      <w:r>
        <w:rPr>
          <w:rFonts w:ascii="Arial" w:eastAsia="Arial" w:hAnsi="Arial" w:cs="Arial"/>
          <w:color w:val="000000"/>
        </w:rPr>
        <w:t xml:space="preserve">O momento era ideal para dar passo ao projeto internacional de aproximação entre o neoliberalismo e a social-democracia: a Terceira Via (Robertson, 2012). Inauguradas pelo Consenso de Washington (Williamson, 1993), as estratégias econômicas de combate à crise </w:t>
      </w:r>
      <w:r>
        <w:rPr>
          <w:rFonts w:ascii="Arial" w:eastAsia="Arial" w:hAnsi="Arial" w:cs="Arial"/>
          <w:color w:val="000000"/>
        </w:rPr>
        <w:lastRenderedPageBreak/>
        <w:t>de 80 ganharam novas roupagens com cara de políticas sociais. Estabeleceram-se através de Fundações e Associações sem fins lucrativos (FASFIL), mantidas por empresas e bancos privados.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Impulsionado pelas teorias economicistas da Escola de Chicago, o neoliberalismo e as políticas estatais disputavam espaço na gestão do Estado. Nesse intento, o neoliberalismo - presente em diversos organismos internacionais - empenhou-se para desregular as políticas protecionistas do Estado, a fim de aumentar a movimentação financeira, o comércio e o trabalho, além de implementar políticas que viabilizassem o entrelaçamento entre setor público e privado (Robertson, 2012).</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Buscando responder aos interesses das esferas pública e privada, o neoliberalismo encontrou na criação do chamado “terceiro setor”, a maneira mais palatável de aprofundar suas políticas. De acordo com Carlos Montaño (2002), o terceiro setor representa um recorte de três esferas sociais: o Estado, o mercado e a sociedade civil. Essa última manifesta uma representatividade que, em um primeiro momento, parece atender aos anseios da população, como no caso das ONGs, institutos e fundações. Porém, é preciso considerar que estas instituições são mantidas pela iniciativa privada, sendo assim, elas representam os interesses da burguesia, ainda que venham contribuir com certas demandas sociais.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O objetivo neoliberal é concentração de capital e não sua distribuição. A desigualdade traz vulnerabilidade à vida humana, submetendo os sujeitos às determinações dos detentores do capital e do poder. Portanto, a igualdade social não é interessante para o capitalismo neoliberal, em contraposição, uma sociedade mansa com baixa consciência social é extremamente benéfica para a implementação de políticas voltadas para a construção do “Estado mínimo”.</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Se por um lado o Brasil experimenta um aumento na participação do “terceiro setor” nos serviços públicos, em contrapartida, há um declínio da atuação efetiva dos governos na condução de políticas que gerenciam diferentes setores do serviço público. Essa articulação com a sociedade civil (terceiro setor), tanto na gestão dos projetos quanto na garantia dos espaços e materiais, tem alterado a forma como são atendidas as demandas e as necessidades sociais. A iniciativa privada se orienta pelo olhar econômico e desconhece em profundidade os contextos socioeconômicos brasileiros. O financiamento é público, mas a metodologia e ideologia são do setor privado (Morales, 1998).</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 xml:space="preserve">Segundo Peroni e Caetano (2012, p. 288), os empresários se unem aos tomadores de decisão e formadores de opinião sobre a política educacional e se legitimam perante a sociedade. Essa legitimação se dá através de redes sociais, grupos que disseminam os ideais neoliberais, como as </w:t>
      </w:r>
      <w:r>
        <w:rPr>
          <w:rFonts w:ascii="Arial" w:eastAsia="Arial" w:hAnsi="Arial" w:cs="Arial"/>
          <w:i/>
          <w:color w:val="000000"/>
        </w:rPr>
        <w:t>Think Tanks</w:t>
      </w:r>
      <w:r>
        <w:rPr>
          <w:rFonts w:ascii="Arial" w:eastAsia="Arial" w:hAnsi="Arial" w:cs="Arial"/>
          <w:color w:val="000000"/>
        </w:rPr>
        <w:t xml:space="preserve">, e os meios de comunicação, que buscam a aprovação social para a gestão dos serviços sociais, como a educação, por exemplo, e a </w:t>
      </w:r>
      <w:r>
        <w:rPr>
          <w:rFonts w:ascii="Arial" w:eastAsia="Arial" w:hAnsi="Arial" w:cs="Arial"/>
          <w:color w:val="000000"/>
        </w:rPr>
        <w:lastRenderedPageBreak/>
        <w:t>conduzem de acordo com interesses do setor privado. A maioria dos empresários não são especialistas em educação, porém representam forte influência na formulação de políticas educacionais por meio de seus institutos e fundações (Peroni &amp; Caetano, 2012).</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De forma sutil e implacável, a burguesia adentrou o sistema público para orientação e modificação das políticas econômicas, administrativas e educacionais. Não são escolhidos pela população, tampouco supervisionados, apesar do protagonismo que exercem na direção do sistema educativo brasileiro.</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Considerando que as políticas neoliberais não seriam bem recebidas pela população, foi necessário adotar medidas para conquistar certa aceitabilidade popular. Assim, de acordo com Neves (2005), entre as décadas de 1990 e 2010, ocorreu no Brasil um fenômeno político que ela caracterizou como “pedagogia da hegemonia”. Tal fenômeno se deu na esfera de outros dois processos, o de “redemocratização” e da “repolitização da política” brasileira. Segundo a autora, esses movimentos se ligavam à reformulação da social-democracia para um neoliberalismo de Terceira Via.</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O objetivo inicial era atenuar a força dos movimentos sociais e sindicatos e educar a sociedade brasileira para um padrão produtivo, lucrativo e manso. Para isso, criou diversos espaços para (re)produção de um senso de responsabilidade individual e engajamento social em prol do bem-estar coletivo, reforçando a ideia de uma sociedade unida, apaziguada e satisfeita.</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Através de Fundações Privadas e Associações sem Fins Lucrativos no Brasil - FASFIL, os objetivos foram traduzidos em projetos sociais, movimentos e campanhas midiáticas, eventos regionais e culturais, que vendiam a ideia de prosperidade comum e união entre classes.</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 xml:space="preserve">De acordo com o Instituto Brasileiro de Geografia e Estatística - IBGE (2019), em 2010 havia cerca de 290 mil unidades locais de Fundações Privadas e Associações sem Fins Lucrativos (FASFIL) no território brasileiro. Essas instituições ocupavam nove áreas distintas, como: habitação 292; saúde 6.029; </w:t>
      </w:r>
      <w:r>
        <w:rPr>
          <w:rFonts w:ascii="Arial" w:eastAsia="Arial" w:hAnsi="Arial" w:cs="Arial"/>
          <w:b/>
          <w:color w:val="000000"/>
        </w:rPr>
        <w:t>cultura e recreação 36.921</w:t>
      </w:r>
      <w:r>
        <w:rPr>
          <w:rFonts w:ascii="Arial" w:eastAsia="Arial" w:hAnsi="Arial" w:cs="Arial"/>
          <w:color w:val="000000"/>
        </w:rPr>
        <w:t xml:space="preserve">; </w:t>
      </w:r>
      <w:r>
        <w:rPr>
          <w:rFonts w:ascii="Arial" w:eastAsia="Arial" w:hAnsi="Arial" w:cs="Arial"/>
          <w:b/>
          <w:color w:val="000000"/>
        </w:rPr>
        <w:t>educação e pesquisa 17.664</w:t>
      </w:r>
      <w:r>
        <w:rPr>
          <w:rFonts w:ascii="Arial" w:eastAsia="Arial" w:hAnsi="Arial" w:cs="Arial"/>
          <w:color w:val="000000"/>
        </w:rPr>
        <w:t xml:space="preserve">; assistência social 30.414; meio ambiente e proteção animal 2.242; com destaque para as </w:t>
      </w:r>
      <w:r>
        <w:rPr>
          <w:rFonts w:ascii="Arial" w:eastAsia="Arial" w:hAnsi="Arial" w:cs="Arial"/>
          <w:b/>
          <w:color w:val="000000"/>
        </w:rPr>
        <w:t>unidades ligadas à religião 82.853</w:t>
      </w:r>
      <w:r>
        <w:rPr>
          <w:rFonts w:ascii="Arial" w:eastAsia="Arial" w:hAnsi="Arial" w:cs="Arial"/>
          <w:color w:val="000000"/>
        </w:rPr>
        <w:t>; associações patronais profissionais 44.939 e desenvolvimento e defesa de direitos 42.463, dentre outras não especificadas anteriormente, num total de 26.875 unidades.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Algumas áreas se destacam pelo número de unidades ativas, causando importante impacto social. O destaque maior está no número de instituições ligadas a igrejas, através de atividades assistenciais de média e alta complexidade e nas associações e conselhos profissionais destinados a regulamentar e fiscalizar a atuação de profissionais de diferentes áreas e organizações na defesa de direitos, como associação de moradores, sindicatos e cultura e recreação.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lastRenderedPageBreak/>
        <w:t xml:space="preserve">Muitos dos atores que atuam nas ONGs de maior influência liberal na política nacional refletem conteúdos e perspectivas neoliberais disseminadas pelos </w:t>
      </w:r>
      <w:r>
        <w:rPr>
          <w:rFonts w:ascii="Arial" w:eastAsia="Arial" w:hAnsi="Arial" w:cs="Arial"/>
          <w:i/>
          <w:color w:val="000000"/>
        </w:rPr>
        <w:t>Think Tanks</w:t>
      </w:r>
      <w:r>
        <w:rPr>
          <w:rFonts w:ascii="Arial" w:eastAsia="Arial" w:hAnsi="Arial" w:cs="Arial"/>
          <w:color w:val="000000"/>
        </w:rPr>
        <w:t xml:space="preserve"> (Grupos de Reflexão – tradução livre). Essas instituições (re)produzem informações sobre políticas e administração pública e coadunam com a ideia de minimização do poder do Estado e ampliação do domínio privado.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 xml:space="preserve">Conforme a Escola Nacional de Administração Pública (ENAP, 2020), os </w:t>
      </w:r>
      <w:r>
        <w:rPr>
          <w:rFonts w:ascii="Arial" w:eastAsia="Arial" w:hAnsi="Arial" w:cs="Arial"/>
          <w:i/>
          <w:color w:val="000000"/>
        </w:rPr>
        <w:t>Think Tanks</w:t>
      </w:r>
      <w:r>
        <w:rPr>
          <w:rFonts w:ascii="Arial" w:eastAsia="Arial" w:hAnsi="Arial" w:cs="Arial"/>
          <w:color w:val="000000"/>
        </w:rPr>
        <w:t xml:space="preserve"> têm como objetivo a realização de pesquisas, análises e recomendações que contribuem para um ambiente de conhecimento, proporcionando embasamento para “formadores de políticas públicas” na tomada de decisões, além de promover a disseminação de conhecimento à sociedade.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 xml:space="preserve">Conforme o </w:t>
      </w:r>
      <w:r>
        <w:rPr>
          <w:rFonts w:ascii="Arial" w:eastAsia="Arial" w:hAnsi="Arial" w:cs="Arial"/>
          <w:i/>
          <w:color w:val="000000"/>
        </w:rPr>
        <w:t>Relatório do Índice Global Go To Think Tank 2019</w:t>
      </w:r>
      <w:r>
        <w:rPr>
          <w:rFonts w:ascii="Arial" w:eastAsia="Arial" w:hAnsi="Arial" w:cs="Arial"/>
          <w:color w:val="000000"/>
        </w:rPr>
        <w:t>, produzido por McGann (2020, intr.), o principal</w:t>
      </w:r>
    </w:p>
    <w:p w:rsidR="00556636" w:rsidRDefault="00556636">
      <w:pPr>
        <w:pStyle w:val="normal0"/>
        <w:spacing w:line="360" w:lineRule="auto"/>
        <w:rPr>
          <w:rFonts w:ascii="Arial" w:eastAsia="Arial" w:hAnsi="Arial" w:cs="Arial"/>
        </w:rPr>
      </w:pPr>
    </w:p>
    <w:p w:rsidR="00556636" w:rsidRDefault="007D368B">
      <w:pPr>
        <w:pStyle w:val="normal0"/>
        <w:pBdr>
          <w:top w:val="nil"/>
          <w:left w:val="nil"/>
          <w:bottom w:val="nil"/>
          <w:right w:val="nil"/>
          <w:between w:val="nil"/>
        </w:pBdr>
        <w:spacing w:after="0" w:line="240" w:lineRule="auto"/>
        <w:ind w:left="2268"/>
        <w:jc w:val="both"/>
        <w:rPr>
          <w:rFonts w:ascii="Arial" w:eastAsia="Arial" w:hAnsi="Arial" w:cs="Arial"/>
          <w:color w:val="000000"/>
          <w:sz w:val="24"/>
          <w:szCs w:val="24"/>
        </w:rPr>
      </w:pPr>
      <w:r>
        <w:rPr>
          <w:rFonts w:ascii="Arial" w:eastAsia="Arial" w:hAnsi="Arial" w:cs="Arial"/>
          <w:color w:val="000000"/>
          <w:sz w:val="20"/>
          <w:szCs w:val="20"/>
        </w:rPr>
        <w:t xml:space="preserve">objetivo é criar parcerias institucionais e estaduais duradouras, engajando e mobilizando </w:t>
      </w:r>
      <w:r>
        <w:rPr>
          <w:rFonts w:ascii="Arial" w:eastAsia="Arial" w:hAnsi="Arial" w:cs="Arial"/>
          <w:i/>
          <w:color w:val="000000"/>
          <w:sz w:val="20"/>
          <w:szCs w:val="20"/>
        </w:rPr>
        <w:t>think tanks</w:t>
      </w:r>
      <w:r>
        <w:rPr>
          <w:rFonts w:ascii="Arial" w:eastAsia="Arial" w:hAnsi="Arial" w:cs="Arial"/>
          <w:color w:val="000000"/>
          <w:sz w:val="20"/>
          <w:szCs w:val="20"/>
        </w:rPr>
        <w:t xml:space="preserve"> que demonstraram sua capacidade de produzir pesquisas políticas de alta qualidade e moldar a opinião e as ações populares e de elite para o bem público. </w:t>
      </w:r>
    </w:p>
    <w:p w:rsidR="00556636" w:rsidRDefault="00556636">
      <w:pPr>
        <w:pStyle w:val="normal0"/>
        <w:spacing w:after="240"/>
        <w:rPr>
          <w:rFonts w:ascii="Arial" w:eastAsia="Arial" w:hAnsi="Arial" w:cs="Arial"/>
        </w:rPr>
      </w:pP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 xml:space="preserve">O relatório destaca, dentre os melhores </w:t>
      </w:r>
      <w:r>
        <w:rPr>
          <w:rFonts w:ascii="Arial" w:eastAsia="Arial" w:hAnsi="Arial" w:cs="Arial"/>
          <w:i/>
          <w:color w:val="000000"/>
        </w:rPr>
        <w:t>Think Tanks</w:t>
      </w:r>
      <w:r>
        <w:rPr>
          <w:rFonts w:ascii="Arial" w:eastAsia="Arial" w:hAnsi="Arial" w:cs="Arial"/>
          <w:color w:val="000000"/>
        </w:rPr>
        <w:t xml:space="preserve"> da América central e do sul, o Centro Brasileiro de Relações Internacionais (CEBRI) em 2º lugar desta região, o Instituto de Pesquisa Econômica Aplicada (IPEA) em 7° lugar, o BRICS Policy Center em 10º lugar, Fundação Fernando Henrique Cardoso (FHC) em 14° lugar, Centro Brasileiro de Análise e Planejamento (CEBRAP) em 16° lugar, Núcleo de Estudos da Violência (NEV USP) em 30° lugar, Instituto Millenium em 33° lugar, Faculdade de Direito do Sul de Minas em 53° lugar, Fórum Brasileiro de Segurança Pública (FBSP) em 68° lugar, Instituto Liberdade (IL-RS) em 72° lugar, Igarapé Institute em 77° lugar e Federação de Órgãos para Assistência Social e Educacional (FASE) em 80° lugar.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 xml:space="preserve">De acordo com Vargas e Marques (2022), entre 2008 e 2019, houve um aumento de 30 para 103 grupos de </w:t>
      </w:r>
      <w:r>
        <w:rPr>
          <w:rFonts w:ascii="Arial" w:eastAsia="Arial" w:hAnsi="Arial" w:cs="Arial"/>
          <w:i/>
          <w:color w:val="000000"/>
        </w:rPr>
        <w:t>Think Tanks</w:t>
      </w:r>
      <w:r>
        <w:rPr>
          <w:rFonts w:ascii="Arial" w:eastAsia="Arial" w:hAnsi="Arial" w:cs="Arial"/>
          <w:color w:val="000000"/>
        </w:rPr>
        <w:t xml:space="preserve"> no Brasil. Chama a atenção o crescimento de 110% de 2008 a 2014, um salto de 32 para 82 grupos no país</w:t>
      </w:r>
      <w:r>
        <w:rPr>
          <w:rFonts w:ascii="Arial" w:eastAsia="Arial" w:hAnsi="Arial" w:cs="Arial"/>
          <w:color w:val="000000"/>
          <w:vertAlign w:val="superscript"/>
        </w:rPr>
        <w:t xml:space="preserve"> </w:t>
      </w:r>
      <w:r>
        <w:rPr>
          <w:rFonts w:ascii="Arial" w:eastAsia="Arial" w:hAnsi="Arial" w:cs="Arial"/>
          <w:color w:val="000000"/>
        </w:rPr>
        <w:t>em apenas 6 anos.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Com nível de alcance super expandido, o neoliberalismo tem garantido a disseminação e a aceitabilidade de suas políticas e discursos. Por outro lado, desde 2014, emergiram no Brasil organizações com pautas mais agressivas, uso e disseminação de notícias falsas, interferência na governabilidade, no judiciário e na segurança pública. Discursos de ataque ao patrono da educação brasileira Paulo Freire e exaltação de ditadores como Pinochet e torturadores como Almirante Ustra do regime militar brasileiro.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Dentre as organizações que passaram por reformulações mais hostis, Neide César Vargas e Rosa Marques (2022, p. 4-5) descrevem que: </w:t>
      </w:r>
    </w:p>
    <w:p w:rsidR="00556636" w:rsidRDefault="00556636">
      <w:pPr>
        <w:pStyle w:val="normal0"/>
        <w:pBdr>
          <w:top w:val="nil"/>
          <w:left w:val="nil"/>
          <w:bottom w:val="nil"/>
          <w:right w:val="nil"/>
          <w:between w:val="nil"/>
        </w:pBdr>
        <w:spacing w:after="0" w:line="360" w:lineRule="auto"/>
        <w:ind w:firstLine="720"/>
        <w:jc w:val="both"/>
        <w:rPr>
          <w:rFonts w:ascii="Arial" w:eastAsia="Arial" w:hAnsi="Arial" w:cs="Arial"/>
          <w:color w:val="000000"/>
        </w:rPr>
      </w:pPr>
    </w:p>
    <w:p w:rsidR="00556636" w:rsidRDefault="007D368B">
      <w:pPr>
        <w:pStyle w:val="normal0"/>
        <w:pBdr>
          <w:top w:val="nil"/>
          <w:left w:val="nil"/>
          <w:bottom w:val="nil"/>
          <w:right w:val="nil"/>
          <w:between w:val="nil"/>
        </w:pBdr>
        <w:spacing w:after="0" w:line="240" w:lineRule="auto"/>
        <w:ind w:left="2268"/>
        <w:jc w:val="both"/>
        <w:rPr>
          <w:rFonts w:ascii="Arial" w:eastAsia="Arial" w:hAnsi="Arial" w:cs="Arial"/>
          <w:color w:val="000000"/>
          <w:sz w:val="20"/>
          <w:szCs w:val="20"/>
        </w:rPr>
      </w:pPr>
      <w:r>
        <w:rPr>
          <w:rFonts w:ascii="Arial" w:eastAsia="Arial" w:hAnsi="Arial" w:cs="Arial"/>
          <w:color w:val="000000"/>
          <w:sz w:val="20"/>
          <w:szCs w:val="20"/>
        </w:rPr>
        <w:t>O Instituto Millenium (IMIL), fundado em 2005 e lançado no Fórum da Liberdade em 2006, tem participação e influência sobre empresários e a mídia tradicional, reúne formadores de opinião e intelectuais de todo espectro da direita, produzindo conteúdos que alimentam todos os tipos de mídias. O Instituto Liberal do Rio de Janeiro, adicionalmente, conheceu, desde 2012, uma grande renovação de lideranças e reformulação. Mas os baluartes das perspectivas extremistas, assentados em abordagens de fundo ético, são o Instituto Mises Brasil (IMB)/Instituto Rothbard. Além desses, destacam-se o Estudantes pela Liberdade (EPL) – esse último em conjunto com o Students for Liberty Brasil (SFL Brasil) e o Movimento Brasil Livre (MBL) -, e, por fim, o Brasil Paralelo (BP). As duas primeiras e as duas últimas organizações refletem melhor a ação política de uma nova geração de ativistas de direita no Brasil. </w:t>
      </w:r>
    </w:p>
    <w:p w:rsidR="00556636" w:rsidRDefault="00556636">
      <w:pPr>
        <w:pStyle w:val="normal0"/>
        <w:spacing w:after="240"/>
        <w:rPr>
          <w:rFonts w:ascii="Arial" w:eastAsia="Arial" w:hAnsi="Arial" w:cs="Arial"/>
        </w:rPr>
      </w:pP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De acordo com as autoras, os grupos pioneiros no Brasil são o Instituto Liberal (IL) e o Instituto de Estudos Empresariais (IEE), responsáveis pela organização do Fórum da Liberdade.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Realizado anualmente, o fórum atua como “catalisador das ideias e organizações liberais, no Brasil e na América Latina, auxiliando na ampliação da rede e arraigando o liberalismo junto ao empresariado e a segmentos da sociedade brasileira” (Cesar Vargas &amp; Marques, 2021, p. 38).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 xml:space="preserve">Através de grandes redes micro e macrorregionais e globais, os </w:t>
      </w:r>
      <w:r>
        <w:rPr>
          <w:rFonts w:ascii="Arial" w:eastAsia="Arial" w:hAnsi="Arial" w:cs="Arial"/>
          <w:i/>
          <w:color w:val="000000"/>
        </w:rPr>
        <w:t>Think Tanks</w:t>
      </w:r>
      <w:r>
        <w:rPr>
          <w:rFonts w:ascii="Arial" w:eastAsia="Arial" w:hAnsi="Arial" w:cs="Arial"/>
          <w:color w:val="000000"/>
        </w:rPr>
        <w:t xml:space="preserve"> promovem a rápida expansão das ideias neoliberais, inclusive no formato mais agressivo relacionado ao </w:t>
      </w:r>
      <w:r>
        <w:rPr>
          <w:rFonts w:ascii="Arial" w:eastAsia="Arial" w:hAnsi="Arial" w:cs="Arial"/>
          <w:i/>
          <w:color w:val="000000"/>
        </w:rPr>
        <w:t>anarcocapitalismo</w:t>
      </w:r>
      <w:r>
        <w:rPr>
          <w:rFonts w:ascii="Arial" w:eastAsia="Arial" w:hAnsi="Arial" w:cs="Arial"/>
          <w:color w:val="000000"/>
        </w:rPr>
        <w:t xml:space="preserve">, </w:t>
      </w:r>
      <w:r>
        <w:rPr>
          <w:rFonts w:ascii="Arial" w:eastAsia="Arial" w:hAnsi="Arial" w:cs="Arial"/>
        </w:rPr>
        <w:t xml:space="preserve">conceito que diz respeito à defesa e </w:t>
      </w:r>
      <w:r>
        <w:rPr>
          <w:rFonts w:ascii="Arial" w:eastAsia="Arial" w:hAnsi="Arial" w:cs="Arial"/>
          <w:color w:val="000000"/>
        </w:rPr>
        <w:t>a eliminação do papel do Estado, do livre mercado sem regulação estatal e do direito à propriedade privada enquanto direito natural.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Em consonância com o conceito de hegemonia de Gramsci (1999), a difusão de novos consensos representa projetos particulares de um grupo dentro de uma classe social, que são disseminados a toda a população. Esses grupos organizam atividades que têm por objetivo sedimentar em todo o tecido social um novo senso comum acerca de um padrão inovador de sociabilidade para o século XXI, sendo a religião um</w:t>
      </w:r>
      <w:r>
        <w:rPr>
          <w:rFonts w:ascii="Arial" w:eastAsia="Arial" w:hAnsi="Arial" w:cs="Arial"/>
        </w:rPr>
        <w:t>a instituição estratégica para essa disseminação</w:t>
      </w:r>
      <w:r>
        <w:rPr>
          <w:rFonts w:ascii="Arial" w:eastAsia="Arial" w:hAnsi="Arial" w:cs="Arial"/>
          <w:color w:val="000000"/>
        </w:rPr>
        <w:t>.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 xml:space="preserve">Os </w:t>
      </w:r>
      <w:r>
        <w:rPr>
          <w:rFonts w:ascii="Arial" w:eastAsia="Arial" w:hAnsi="Arial" w:cs="Arial"/>
          <w:i/>
          <w:color w:val="000000"/>
        </w:rPr>
        <w:t>Think Tanks</w:t>
      </w:r>
      <w:r>
        <w:rPr>
          <w:rFonts w:ascii="Arial" w:eastAsia="Arial" w:hAnsi="Arial" w:cs="Arial"/>
          <w:color w:val="000000"/>
        </w:rPr>
        <w:t xml:space="preserve"> se definem como organizações que produzem a fundamentação necessária para embasar decisões em torno das políticas públicas e demais assuntos que envolvam o Estado e as políticas internacionais pela perspectiva liberal.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 xml:space="preserve">As universidades, sobretudo as públicas, dedicam alto investimento em pesquisas científicas, filosóficas, sociais, com o compromisso de difundir resultados validados cientificamente, e aos poucos transformar o senso comum em senso crítico e diverso. Por outro lado, os </w:t>
      </w:r>
      <w:r>
        <w:rPr>
          <w:rFonts w:ascii="Arial" w:eastAsia="Arial" w:hAnsi="Arial" w:cs="Arial"/>
          <w:i/>
          <w:color w:val="000000"/>
        </w:rPr>
        <w:t>Think Tanks</w:t>
      </w:r>
      <w:r>
        <w:rPr>
          <w:rFonts w:ascii="Arial" w:eastAsia="Arial" w:hAnsi="Arial" w:cs="Arial"/>
          <w:color w:val="000000"/>
        </w:rPr>
        <w:t xml:space="preserve"> reúnem diversas frentes para construir a educação do consenso, para formar uma visão hegemônica de mundo, padronizando discursos e limitação na </w:t>
      </w:r>
      <w:r>
        <w:rPr>
          <w:rFonts w:ascii="Arial" w:eastAsia="Arial" w:hAnsi="Arial" w:cs="Arial"/>
          <w:color w:val="000000"/>
        </w:rPr>
        <w:lastRenderedPageBreak/>
        <w:t>participação reflexiva e crítica da sociedade, através da difusão dos ideais e interesses burgueses.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Para essa nova roupagem da colonialidade, denomina-se de neocolonialidade. Uma transformação agressiva, profunda, aparentemente pacífica, difícil reversão para as políticas econômicas e sociais a nível global. “A doutrina da pacificação, adaptada do colonialismo, preconiza que a ocupação somente pode ser exitosa com a conquista de corações e mentes dos moradores locais” (Leher, 2010, p. 12).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O termo neocolonialidade se refere também a este caráter subjetivo do amoldamento hegemônico da opinião pública, em busca da aprovação popular para aplicação de políticas públicas neoliberais que desfavorecem a população. Há uma autorização pouco consciente que entrega o controle da gestão e capital público em benefício do setor privado.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Considerando o avanço do neoliberalismo, inclusive nas reformas educativas, a capacidade de formação do pensamento crítico é ainda mais diluída, e, por consequência, o predomínio do pensamento hegemônico alcança êxito ainda maior, sob a égid</w:t>
      </w:r>
      <w:r>
        <w:rPr>
          <w:rFonts w:ascii="Arial" w:eastAsia="Arial" w:hAnsi="Arial" w:cs="Arial"/>
        </w:rPr>
        <w:t>e de uma moralidade religiosa anglosaxônica e eurocentrada</w:t>
      </w:r>
      <w:r>
        <w:rPr>
          <w:rFonts w:ascii="Arial" w:eastAsia="Arial" w:hAnsi="Arial" w:cs="Arial"/>
          <w:color w:val="000000"/>
        </w:rPr>
        <w:t>.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Desde o Brasil colônia o conhecimento ressoa como ameaça aos domínios das elites. O controle sobre o acesso à educação é decisivo para a manutenção do poder. Atualmente, as elites empresariais vêm desempenhando papel semelhante, não pela limitação ao acesso à educação, mas ao conhecimento diverso, à formação integral. Adentram a gestão do Estado para determinar os rumos da formação dos sujeitos, da cultura, da moralidade e da economia, no intento de construir uma visão hegemônica do mundo.  </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 xml:space="preserve"> Os discursos do Todos </w:t>
      </w:r>
      <w:r>
        <w:rPr>
          <w:rFonts w:ascii="Arial" w:eastAsia="Arial" w:hAnsi="Arial" w:cs="Arial"/>
        </w:rPr>
        <w:t>Pela Educação (</w:t>
      </w:r>
      <w:r>
        <w:rPr>
          <w:rFonts w:ascii="Arial" w:eastAsia="Arial" w:hAnsi="Arial" w:cs="Arial"/>
          <w:color w:val="000000"/>
        </w:rPr>
        <w:t>TPE) são, por vezes, convincentes, já que suas metas foram elaboradas para serem irrefutáveis, quando olhadas a distância. Quando pormenorizadas, observa-se que elas atendem à agenda neoliberal, por esses motivos são colocadas em suspenso pelos defensores da formação integral dos estudantes e de uma educação emancipadora.</w:t>
      </w:r>
    </w:p>
    <w:p w:rsidR="00556636" w:rsidRDefault="007D368B">
      <w:pPr>
        <w:pStyle w:val="normal0"/>
        <w:pBdr>
          <w:top w:val="nil"/>
          <w:left w:val="nil"/>
          <w:bottom w:val="nil"/>
          <w:right w:val="nil"/>
          <w:between w:val="nil"/>
        </w:pBdr>
        <w:spacing w:after="0" w:line="360" w:lineRule="auto"/>
        <w:ind w:firstLine="720"/>
        <w:jc w:val="both"/>
        <w:rPr>
          <w:rFonts w:ascii="Arial" w:eastAsia="Arial" w:hAnsi="Arial" w:cs="Arial"/>
          <w:color w:val="000000"/>
        </w:rPr>
      </w:pPr>
      <w:r>
        <w:rPr>
          <w:rFonts w:ascii="Arial" w:eastAsia="Arial" w:hAnsi="Arial" w:cs="Arial"/>
          <w:color w:val="000000"/>
        </w:rPr>
        <w:t>A organização TPE é um projeto de nação planejada pela iniciativa privada, conforme autodefinição:</w:t>
      </w:r>
    </w:p>
    <w:p w:rsidR="00556636" w:rsidRDefault="00556636">
      <w:pPr>
        <w:pStyle w:val="normal0"/>
        <w:rPr>
          <w:rFonts w:ascii="Arial" w:eastAsia="Arial" w:hAnsi="Arial" w:cs="Arial"/>
        </w:rPr>
      </w:pPr>
    </w:p>
    <w:p w:rsidR="00556636" w:rsidRDefault="007D368B">
      <w:pPr>
        <w:pStyle w:val="normal0"/>
        <w:pBdr>
          <w:top w:val="nil"/>
          <w:left w:val="nil"/>
          <w:bottom w:val="nil"/>
          <w:right w:val="nil"/>
          <w:between w:val="nil"/>
        </w:pBdr>
        <w:spacing w:line="240" w:lineRule="auto"/>
        <w:ind w:left="2880"/>
        <w:jc w:val="both"/>
        <w:rPr>
          <w:rFonts w:ascii="Arial" w:eastAsia="Arial" w:hAnsi="Arial" w:cs="Arial"/>
          <w:color w:val="000000"/>
          <w:sz w:val="20"/>
          <w:szCs w:val="20"/>
        </w:rPr>
      </w:pPr>
      <w:r>
        <w:rPr>
          <w:rFonts w:ascii="Arial" w:eastAsia="Arial" w:hAnsi="Arial" w:cs="Arial"/>
          <w:color w:val="000000"/>
          <w:sz w:val="20"/>
          <w:szCs w:val="20"/>
        </w:rPr>
        <w:t>O Todos Pela Educação não é um projeto de uma organização específica, mas sim um projeto de nação. É uma união de esforços em que cada cidadão ou instituição é corresponsável e se mobiliza, em sua área, para que todas as crianças e jovens tenham acesso a uma Educação de qualidade (</w:t>
      </w:r>
      <w:r>
        <w:rPr>
          <w:rFonts w:ascii="Arial" w:eastAsia="Arial" w:hAnsi="Arial" w:cs="Arial"/>
          <w:sz w:val="20"/>
          <w:szCs w:val="20"/>
        </w:rPr>
        <w:t>Todos Pela Educação</w:t>
      </w:r>
      <w:r>
        <w:rPr>
          <w:rFonts w:ascii="Arial" w:eastAsia="Arial" w:hAnsi="Arial" w:cs="Arial"/>
          <w:color w:val="000000"/>
          <w:sz w:val="20"/>
          <w:szCs w:val="20"/>
        </w:rPr>
        <w:t>, 2009, p. 9). </w:t>
      </w:r>
    </w:p>
    <w:p w:rsidR="00556636" w:rsidRDefault="00556636">
      <w:pPr>
        <w:pStyle w:val="normal0"/>
        <w:pBdr>
          <w:top w:val="nil"/>
          <w:left w:val="nil"/>
          <w:bottom w:val="nil"/>
          <w:right w:val="nil"/>
          <w:between w:val="nil"/>
        </w:pBdr>
        <w:spacing w:line="240" w:lineRule="auto"/>
        <w:ind w:left="2268"/>
        <w:jc w:val="both"/>
        <w:rPr>
          <w:rFonts w:ascii="Arial" w:eastAsia="Arial" w:hAnsi="Arial" w:cs="Arial"/>
          <w:sz w:val="20"/>
          <w:szCs w:val="20"/>
        </w:rPr>
      </w:pPr>
    </w:p>
    <w:p w:rsidR="00556636" w:rsidRDefault="007D368B">
      <w:pPr>
        <w:pStyle w:val="normal0"/>
        <w:pBdr>
          <w:top w:val="nil"/>
          <w:left w:val="nil"/>
          <w:bottom w:val="nil"/>
          <w:right w:val="nil"/>
          <w:between w:val="nil"/>
        </w:pBdr>
        <w:spacing w:line="360" w:lineRule="auto"/>
        <w:ind w:firstLine="720"/>
        <w:jc w:val="both"/>
        <w:rPr>
          <w:rFonts w:ascii="Arial" w:eastAsia="Arial" w:hAnsi="Arial" w:cs="Arial"/>
          <w:color w:val="000000"/>
        </w:rPr>
      </w:pPr>
      <w:r>
        <w:rPr>
          <w:rFonts w:ascii="Arial" w:eastAsia="Arial" w:hAnsi="Arial" w:cs="Arial"/>
          <w:color w:val="000000"/>
        </w:rPr>
        <w:t xml:space="preserve">O grupo reúne os principais representantes da elite dominante do país. Eles detêm o poder das mídias, do capital produtivo, financeiro, alimentício, dominam os transportes, boa </w:t>
      </w:r>
      <w:r>
        <w:rPr>
          <w:rFonts w:ascii="Arial" w:eastAsia="Arial" w:hAnsi="Arial" w:cs="Arial"/>
          <w:color w:val="000000"/>
        </w:rPr>
        <w:lastRenderedPageBreak/>
        <w:t xml:space="preserve">parte da cultura e do entretenimento. Atuam sobre a política, sobre a formação do consenso e agora </w:t>
      </w:r>
      <w:r>
        <w:rPr>
          <w:rFonts w:ascii="Arial" w:eastAsia="Arial" w:hAnsi="Arial" w:cs="Arial"/>
        </w:rPr>
        <w:t>buscam ampliar a influência</w:t>
      </w:r>
      <w:r>
        <w:rPr>
          <w:rFonts w:ascii="Arial" w:eastAsia="Arial" w:hAnsi="Arial" w:cs="Arial"/>
          <w:color w:val="000000"/>
        </w:rPr>
        <w:t xml:space="preserve"> sobre a formação humana a partir da educação formal.</w:t>
      </w:r>
    </w:p>
    <w:p w:rsidR="00556636" w:rsidRDefault="007D368B">
      <w:pPr>
        <w:pStyle w:val="normal0"/>
        <w:pBdr>
          <w:top w:val="nil"/>
          <w:left w:val="nil"/>
          <w:bottom w:val="nil"/>
          <w:right w:val="nil"/>
          <w:between w:val="nil"/>
        </w:pBdr>
        <w:spacing w:line="360" w:lineRule="auto"/>
        <w:ind w:firstLine="720"/>
        <w:jc w:val="both"/>
        <w:rPr>
          <w:rFonts w:ascii="Arial" w:eastAsia="Arial" w:hAnsi="Arial" w:cs="Arial"/>
        </w:rPr>
      </w:pPr>
      <w:r>
        <w:rPr>
          <w:rFonts w:ascii="Arial" w:eastAsia="Arial" w:hAnsi="Arial" w:cs="Arial"/>
        </w:rPr>
        <w:t>Neste cenário, a dimensão do religioso ora é negada e ora é utilizada como elemento de difusão e produção de consensos sociais por meio de pautas alinhadas aos ideais neoliberais. No contexto da educação básica, juntamente às demais áreas do conhecimento e componentes curriculares, o Ensino Religioso, conforme previsto pela Base Nacional Comum Curricular (Brasil, 2017), deve ser trabalhado em uma perspectiva não confessional, a partir dos princípios da interculturalidade e da ética da alteridade. Sendo assim, este componente pode ser estratégico para fazer frente às forças neoliberais, pois elas apelam à privatização da vida, onde os valores de mercado acabam tornando-se seus sinônimos.</w:t>
      </w:r>
    </w:p>
    <w:p w:rsidR="00556636" w:rsidRDefault="00556636">
      <w:pPr>
        <w:pStyle w:val="normal0"/>
        <w:pBdr>
          <w:top w:val="nil"/>
          <w:left w:val="nil"/>
          <w:bottom w:val="nil"/>
          <w:right w:val="nil"/>
          <w:between w:val="nil"/>
        </w:pBdr>
        <w:spacing w:line="360" w:lineRule="auto"/>
        <w:ind w:firstLine="720"/>
        <w:jc w:val="both"/>
        <w:rPr>
          <w:rFonts w:ascii="Arial" w:eastAsia="Arial" w:hAnsi="Arial" w:cs="Arial"/>
        </w:rPr>
      </w:pPr>
    </w:p>
    <w:p w:rsidR="00556636" w:rsidRDefault="007D368B">
      <w:pPr>
        <w:pStyle w:val="normal0"/>
        <w:pBdr>
          <w:top w:val="nil"/>
          <w:left w:val="nil"/>
          <w:bottom w:val="nil"/>
          <w:right w:val="nil"/>
          <w:between w:val="nil"/>
        </w:pBdr>
        <w:spacing w:line="360" w:lineRule="auto"/>
        <w:jc w:val="both"/>
        <w:rPr>
          <w:rFonts w:ascii="Arial" w:eastAsia="Arial" w:hAnsi="Arial" w:cs="Arial"/>
          <w:b/>
        </w:rPr>
      </w:pPr>
      <w:r>
        <w:rPr>
          <w:rFonts w:ascii="Arial" w:eastAsia="Arial" w:hAnsi="Arial" w:cs="Arial"/>
          <w:b/>
        </w:rPr>
        <w:t>3 Considerações finais</w:t>
      </w:r>
    </w:p>
    <w:p w:rsidR="00556636" w:rsidRDefault="007D368B">
      <w:pPr>
        <w:pStyle w:val="normal0"/>
        <w:pBdr>
          <w:top w:val="nil"/>
          <w:left w:val="nil"/>
          <w:bottom w:val="nil"/>
          <w:right w:val="nil"/>
          <w:between w:val="nil"/>
        </w:pBdr>
        <w:spacing w:line="360" w:lineRule="auto"/>
        <w:jc w:val="both"/>
        <w:rPr>
          <w:rFonts w:ascii="Arial" w:eastAsia="Arial" w:hAnsi="Arial" w:cs="Arial"/>
        </w:rPr>
      </w:pPr>
      <w:r>
        <w:rPr>
          <w:rFonts w:ascii="Arial" w:eastAsia="Arial" w:hAnsi="Arial" w:cs="Arial"/>
        </w:rPr>
        <w:tab/>
        <w:t>A influência do pensamento neoliberal nas reformas educacionais no Brasil nunca foi pacífica e despida de correlações de forças entre diferentes grupos. Com a ampliação da influência da economia neoliberal, que converte praticamente tudo em mercadoria, a educação formal, assim como o imaginário sociocultural, tem se tornado um dos principais ativos das elites empresariais.</w:t>
      </w:r>
    </w:p>
    <w:p w:rsidR="00556636" w:rsidRDefault="007D368B">
      <w:pPr>
        <w:pStyle w:val="normal0"/>
        <w:pBdr>
          <w:top w:val="nil"/>
          <w:left w:val="nil"/>
          <w:bottom w:val="nil"/>
          <w:right w:val="nil"/>
          <w:between w:val="nil"/>
        </w:pBdr>
        <w:spacing w:line="360" w:lineRule="auto"/>
        <w:jc w:val="both"/>
        <w:rPr>
          <w:rFonts w:ascii="Arial" w:eastAsia="Arial" w:hAnsi="Arial" w:cs="Arial"/>
        </w:rPr>
      </w:pPr>
      <w:r>
        <w:rPr>
          <w:rFonts w:ascii="Arial" w:eastAsia="Arial" w:hAnsi="Arial" w:cs="Arial"/>
        </w:rPr>
        <w:tab/>
        <w:t>Essas elites empresariais buscam, a todo custo, se apropriar da gestão do Estado e dos mecanismos que determinam os rumos da formação dos sujeitos, da cultura, da moralidade e da economia, no intento de construir uma visão hegemônica do mundo, subalternizado saberes, conhecimentos, experiências, identidades e alteridades. Neste contexto, encontram-se elementos de aproximação com a religião, a qual passa a ser estratégica na consolidação do pensamento neoliberal, na medida em que se afasta do sagrado e converge para a informalidade e individualização da fé, destituída de vínculos comunitários, solidários e fraternos.</w:t>
      </w:r>
    </w:p>
    <w:p w:rsidR="00556636" w:rsidRDefault="007D368B">
      <w:pPr>
        <w:pStyle w:val="normal0"/>
        <w:pBdr>
          <w:top w:val="nil"/>
          <w:left w:val="nil"/>
          <w:bottom w:val="nil"/>
          <w:right w:val="nil"/>
          <w:between w:val="nil"/>
        </w:pBdr>
        <w:spacing w:line="360" w:lineRule="auto"/>
        <w:jc w:val="both"/>
        <w:rPr>
          <w:rFonts w:ascii="Arial" w:eastAsia="Arial" w:hAnsi="Arial" w:cs="Arial"/>
        </w:rPr>
      </w:pPr>
      <w:r>
        <w:rPr>
          <w:rFonts w:ascii="Arial" w:eastAsia="Arial" w:hAnsi="Arial" w:cs="Arial"/>
        </w:rPr>
        <w:tab/>
        <w:t>Conclui-se, portanto, que a neocolonialidade reproduzida nos dias atuais requer que se desenvolva um movimento educativo, não apenas escolar, capaz de problematizar todas as formas de produção de consensos despidos de criticidade, com participação coletiva, interação e diálogo que valore saberes, conhecimentos e experiências acerca de problemas reais e comuns a toda a sociedade, elementar para o enfrentamento das desigualdades socioeducacionais.</w:t>
      </w:r>
    </w:p>
    <w:p w:rsidR="00556636" w:rsidRDefault="00556636">
      <w:pPr>
        <w:pStyle w:val="normal0"/>
        <w:spacing w:after="0" w:line="360" w:lineRule="auto"/>
        <w:ind w:firstLine="720"/>
        <w:jc w:val="both"/>
        <w:rPr>
          <w:rFonts w:ascii="Arial" w:eastAsia="Arial" w:hAnsi="Arial" w:cs="Arial"/>
        </w:rPr>
      </w:pPr>
    </w:p>
    <w:p w:rsidR="00556636" w:rsidRDefault="00556636">
      <w:pPr>
        <w:pStyle w:val="normal0"/>
        <w:pBdr>
          <w:top w:val="nil"/>
          <w:left w:val="nil"/>
          <w:bottom w:val="nil"/>
          <w:right w:val="nil"/>
          <w:between w:val="nil"/>
        </w:pBdr>
        <w:spacing w:line="240" w:lineRule="auto"/>
        <w:rPr>
          <w:rFonts w:ascii="Arial" w:eastAsia="Arial" w:hAnsi="Arial" w:cs="Arial"/>
        </w:rPr>
      </w:pPr>
    </w:p>
    <w:p w:rsidR="00556636" w:rsidRDefault="007D368B">
      <w:pPr>
        <w:pStyle w:val="normal0"/>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rPr>
        <w:tab/>
      </w:r>
    </w:p>
    <w:p w:rsidR="00556636" w:rsidRDefault="007D368B">
      <w:pPr>
        <w:pStyle w:val="norm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rPr>
        <w:lastRenderedPageBreak/>
        <w:t>Referências</w:t>
      </w:r>
    </w:p>
    <w:p w:rsidR="00556636" w:rsidRDefault="00556636">
      <w:pPr>
        <w:pStyle w:val="normal0"/>
        <w:pBdr>
          <w:top w:val="nil"/>
          <w:left w:val="nil"/>
          <w:bottom w:val="nil"/>
          <w:right w:val="nil"/>
          <w:between w:val="nil"/>
        </w:pBdr>
        <w:spacing w:after="0" w:line="240" w:lineRule="auto"/>
        <w:rPr>
          <w:rFonts w:ascii="Arial" w:eastAsia="Arial" w:hAnsi="Arial" w:cs="Arial"/>
          <w:color w:val="000000"/>
        </w:rPr>
      </w:pPr>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BRASIL. </w:t>
      </w:r>
      <w:r>
        <w:rPr>
          <w:rFonts w:ascii="Arial" w:eastAsia="Arial" w:hAnsi="Arial" w:cs="Arial"/>
          <w:i/>
        </w:rPr>
        <w:t>Base Nacional Comum Curricular - BNCC</w:t>
      </w:r>
      <w:r>
        <w:rPr>
          <w:rFonts w:ascii="Arial" w:eastAsia="Arial" w:hAnsi="Arial" w:cs="Arial"/>
        </w:rPr>
        <w:t xml:space="preserve">. Ministério da Educação. Brasília/DF, 2017. Disponível em: </w:t>
      </w:r>
      <w:hyperlink r:id="rId7">
        <w:r>
          <w:rPr>
            <w:rFonts w:ascii="Arial" w:eastAsia="Arial" w:hAnsi="Arial" w:cs="Arial"/>
            <w:color w:val="1155CC"/>
            <w:u w:val="single"/>
          </w:rPr>
          <w:t>https://basenacionalcomum.mec.gov.br/</w:t>
        </w:r>
      </w:hyperlink>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BRASIL. ENAP - </w:t>
      </w:r>
      <w:r>
        <w:rPr>
          <w:rFonts w:ascii="Arial" w:eastAsia="Arial" w:hAnsi="Arial" w:cs="Arial"/>
          <w:i/>
        </w:rPr>
        <w:t>Escola Nacional de Administração Pública</w:t>
      </w:r>
      <w:r>
        <w:rPr>
          <w:rFonts w:ascii="Arial" w:eastAsia="Arial" w:hAnsi="Arial" w:cs="Arial"/>
        </w:rPr>
        <w:t xml:space="preserve">, 2020. Disponível em: </w:t>
      </w:r>
      <w:hyperlink r:id="rId8">
        <w:r>
          <w:rPr>
            <w:rFonts w:ascii="Arial" w:eastAsia="Arial" w:hAnsi="Arial" w:cs="Arial"/>
            <w:color w:val="1155CC"/>
            <w:u w:val="single"/>
          </w:rPr>
          <w:t>https://www.enap.gov.br/pt/acontece/noticias/afinal-o-que-e-um</w:t>
        </w:r>
      </w:hyperlink>
      <w:r>
        <w:rPr>
          <w:rFonts w:ascii="Arial" w:eastAsia="Arial" w:hAnsi="Arial" w:cs="Arial"/>
        </w:rPr>
        <w:t xml:space="preserve"> think-tank-e-qual-e-a-sua-importancia-para-politicas-publicas-no-brasil.</w:t>
      </w:r>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GRAMSCI, A. </w:t>
      </w:r>
      <w:r>
        <w:rPr>
          <w:rFonts w:ascii="Arial" w:eastAsia="Arial" w:hAnsi="Arial" w:cs="Arial"/>
          <w:i/>
        </w:rPr>
        <w:t>Cadernos do Cárcere</w:t>
      </w:r>
      <w:r>
        <w:rPr>
          <w:rFonts w:ascii="Arial" w:eastAsia="Arial" w:hAnsi="Arial" w:cs="Arial"/>
        </w:rPr>
        <w:t xml:space="preserve"> (Vol. 1-6). Civilização Brasileira, 1999.</w:t>
      </w:r>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IBGE. </w:t>
      </w:r>
      <w:r>
        <w:rPr>
          <w:rFonts w:ascii="Arial" w:eastAsia="Arial" w:hAnsi="Arial" w:cs="Arial"/>
          <w:i/>
        </w:rPr>
        <w:t>Fundações Privadas e Associações sem Fins Lucrativos</w:t>
      </w:r>
      <w:r>
        <w:rPr>
          <w:rFonts w:ascii="Arial" w:eastAsia="Arial" w:hAnsi="Arial" w:cs="Arial"/>
        </w:rPr>
        <w:t xml:space="preserve"> (FASFIL) – 2010, 2019. Disponível em: </w:t>
      </w:r>
      <w:hyperlink r:id="rId9">
        <w:r>
          <w:rPr>
            <w:rFonts w:ascii="Arial" w:eastAsia="Arial" w:hAnsi="Arial" w:cs="Arial"/>
            <w:color w:val="1155CC"/>
            <w:u w:val="single"/>
          </w:rPr>
          <w:t>https://www.ibge.gov.br</w:t>
        </w:r>
      </w:hyperlink>
      <w:r>
        <w:rPr>
          <w:rFonts w:ascii="Arial" w:eastAsia="Arial" w:hAnsi="Arial" w:cs="Arial"/>
        </w:rPr>
        <w:t>.</w:t>
      </w:r>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LEHER, R. Prefácio. NEVES, L. M. W. MARTINS, A. S. [et. al.] </w:t>
      </w:r>
      <w:r>
        <w:rPr>
          <w:rFonts w:ascii="Arial" w:eastAsia="Arial" w:hAnsi="Arial" w:cs="Arial"/>
          <w:i/>
        </w:rPr>
        <w:t>A direita para o social e a esquerda para o capital</w:t>
      </w:r>
      <w:r>
        <w:rPr>
          <w:rFonts w:ascii="Arial" w:eastAsia="Arial" w:hAnsi="Arial" w:cs="Arial"/>
        </w:rPr>
        <w:t>: intelectuais da nova pedagogia de hegemonia do Brasil. São Paulo: Xamã, 2010.</w:t>
      </w:r>
    </w:p>
    <w:p w:rsidR="00556636" w:rsidRDefault="007D368B">
      <w:pPr>
        <w:pStyle w:val="normal0"/>
        <w:shd w:val="clear" w:color="auto" w:fill="FFFFFF"/>
        <w:spacing w:line="308" w:lineRule="auto"/>
        <w:rPr>
          <w:rFonts w:ascii="Arial" w:eastAsia="Arial" w:hAnsi="Arial" w:cs="Arial"/>
          <w:color w:val="467886"/>
          <w:u w:val="single"/>
        </w:rPr>
      </w:pPr>
      <w:r>
        <w:rPr>
          <w:rFonts w:ascii="Arial" w:eastAsia="Arial" w:hAnsi="Arial" w:cs="Arial"/>
        </w:rPr>
        <w:t xml:space="preserve">MCGANN, J. </w:t>
      </w:r>
      <w:r>
        <w:rPr>
          <w:rFonts w:ascii="Arial" w:eastAsia="Arial" w:hAnsi="Arial" w:cs="Arial"/>
          <w:i/>
        </w:rPr>
        <w:t>Global go to think tank index report.</w:t>
      </w:r>
      <w:r>
        <w:rPr>
          <w:rFonts w:ascii="Arial" w:eastAsia="Arial" w:hAnsi="Arial" w:cs="Arial"/>
        </w:rPr>
        <w:t xml:space="preserve"> TTCSP Global Go To Think Tank Index Reports, 2020. Disponível em: </w:t>
      </w:r>
      <w:hyperlink r:id="rId10">
        <w:r>
          <w:rPr>
            <w:rFonts w:ascii="Arial" w:eastAsia="Arial" w:hAnsi="Arial" w:cs="Arial"/>
            <w:color w:val="467886"/>
            <w:u w:val="single"/>
          </w:rPr>
          <w:t>https://repository.upenn.edu/entities/publication/07977660-60a1-4a63-9646 031d4610f1c0</w:t>
        </w:r>
      </w:hyperlink>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MCGANN, J.; WEAVER, R. (Orgs.). </w:t>
      </w:r>
      <w:r>
        <w:rPr>
          <w:rFonts w:ascii="Arial" w:eastAsia="Arial" w:hAnsi="Arial" w:cs="Arial"/>
          <w:i/>
        </w:rPr>
        <w:t>Think tanks and civil societies – catalysts for ideas and action</w:t>
      </w:r>
      <w:r>
        <w:rPr>
          <w:rFonts w:ascii="Arial" w:eastAsia="Arial" w:hAnsi="Arial" w:cs="Arial"/>
        </w:rPr>
        <w:t>. Transactions Publishers, New Brunswick e Londres, 2022.</w:t>
      </w:r>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MONTAÑO, C. </w:t>
      </w:r>
      <w:r>
        <w:rPr>
          <w:rFonts w:ascii="Arial" w:eastAsia="Arial" w:hAnsi="Arial" w:cs="Arial"/>
          <w:i/>
        </w:rPr>
        <w:t>Terceiro setor e questão social</w:t>
      </w:r>
      <w:r>
        <w:rPr>
          <w:rFonts w:ascii="Arial" w:eastAsia="Arial" w:hAnsi="Arial" w:cs="Arial"/>
        </w:rPr>
        <w:t>: crítica ao padrão emergente de intervenção social. São Paulo: Cortez, 2002, 288 p.</w:t>
      </w:r>
    </w:p>
    <w:p w:rsidR="00556636" w:rsidRDefault="007D368B">
      <w:pPr>
        <w:pStyle w:val="normal0"/>
        <w:shd w:val="clear" w:color="auto" w:fill="FFFFFF"/>
        <w:spacing w:line="308" w:lineRule="auto"/>
        <w:rPr>
          <w:rFonts w:ascii="Arial" w:eastAsia="Arial" w:hAnsi="Arial" w:cs="Arial"/>
          <w:color w:val="1155CC"/>
          <w:u w:val="single"/>
        </w:rPr>
      </w:pPr>
      <w:r>
        <w:rPr>
          <w:rFonts w:ascii="Arial" w:eastAsia="Arial" w:hAnsi="Arial" w:cs="Arial"/>
        </w:rPr>
        <w:t xml:space="preserve">MORALES, A. C. Nem privado nem estatal: em busca de uma nova estratégia para a provisão de serviços públicos. </w:t>
      </w:r>
      <w:r>
        <w:rPr>
          <w:rFonts w:ascii="Arial" w:eastAsia="Arial" w:hAnsi="Arial" w:cs="Arial"/>
          <w:i/>
        </w:rPr>
        <w:t>Revista do Serviço Público</w:t>
      </w:r>
      <w:r>
        <w:rPr>
          <w:rFonts w:ascii="Arial" w:eastAsia="Arial" w:hAnsi="Arial" w:cs="Arial"/>
        </w:rPr>
        <w:t xml:space="preserve">. Ano 49 Número, 1998. Disponível em: </w:t>
      </w:r>
      <w:hyperlink r:id="rId11">
        <w:r>
          <w:rPr>
            <w:rFonts w:ascii="Arial" w:eastAsia="Arial" w:hAnsi="Arial" w:cs="Arial"/>
            <w:color w:val="1155CC"/>
            <w:u w:val="single"/>
          </w:rPr>
          <w:t>https://revista.enap.gov.br/index.php/RSP/article/download/402/409/1524</w:t>
        </w:r>
      </w:hyperlink>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NEVES, L. M. W. (org.). </w:t>
      </w:r>
      <w:r>
        <w:rPr>
          <w:rFonts w:ascii="Arial" w:eastAsia="Arial" w:hAnsi="Arial" w:cs="Arial"/>
          <w:i/>
        </w:rPr>
        <w:t>A nova pedagogia da hegemonia</w:t>
      </w:r>
      <w:r>
        <w:rPr>
          <w:rFonts w:ascii="Arial" w:eastAsia="Arial" w:hAnsi="Arial" w:cs="Arial"/>
        </w:rPr>
        <w:t>: estratégias da burguesia brasileira para educar o consenso na atualidade. São Paulo: Xamã, 2005.</w:t>
      </w:r>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PERONI, V. M. e CAETANO, M. R. </w:t>
      </w:r>
      <w:r>
        <w:rPr>
          <w:rFonts w:ascii="Arial" w:eastAsia="Arial" w:hAnsi="Arial" w:cs="Arial"/>
          <w:i/>
        </w:rPr>
        <w:t>Redefinições no papel do Estado</w:t>
      </w:r>
      <w:r>
        <w:rPr>
          <w:rFonts w:ascii="Arial" w:eastAsia="Arial" w:hAnsi="Arial" w:cs="Arial"/>
        </w:rPr>
        <w:t>: terceira via, novo desenvolvimentismo e as parcerias público-privadas na educação. IX Anped Sul, 2012.</w:t>
      </w:r>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RICH, A. </w:t>
      </w:r>
      <w:r>
        <w:rPr>
          <w:rFonts w:ascii="Arial" w:eastAsia="Arial" w:hAnsi="Arial" w:cs="Arial"/>
          <w:i/>
        </w:rPr>
        <w:t>Think tanks, public policies and politics of expertise</w:t>
      </w:r>
      <w:r>
        <w:rPr>
          <w:rFonts w:ascii="Arial" w:eastAsia="Arial" w:hAnsi="Arial" w:cs="Arial"/>
        </w:rPr>
        <w:t>. City college of New York, Cambridge University Press. 2004.</w:t>
      </w:r>
    </w:p>
    <w:p w:rsidR="00556636" w:rsidRDefault="007D368B">
      <w:pPr>
        <w:pStyle w:val="normal0"/>
        <w:shd w:val="clear" w:color="auto" w:fill="FFFFFF"/>
        <w:spacing w:line="308" w:lineRule="auto"/>
        <w:rPr>
          <w:rFonts w:ascii="Arial" w:eastAsia="Arial" w:hAnsi="Arial" w:cs="Arial"/>
          <w:color w:val="1155CC"/>
          <w:u w:val="single"/>
        </w:rPr>
      </w:pPr>
      <w:r>
        <w:rPr>
          <w:rFonts w:ascii="Arial" w:eastAsia="Arial" w:hAnsi="Arial" w:cs="Arial"/>
        </w:rPr>
        <w:t xml:space="preserve">ROBERTSON, S. L. A estranha não morte da privatização neoliberal na Estratégia 2020 para a educação do Banco Mundial. </w:t>
      </w:r>
      <w:r>
        <w:rPr>
          <w:rFonts w:ascii="Arial" w:eastAsia="Arial" w:hAnsi="Arial" w:cs="Arial"/>
          <w:i/>
        </w:rPr>
        <w:t>Revista Brasileira de Educação</w:t>
      </w:r>
      <w:r>
        <w:rPr>
          <w:rFonts w:ascii="Arial" w:eastAsia="Arial" w:hAnsi="Arial" w:cs="Arial"/>
        </w:rPr>
        <w:t xml:space="preserve">, 17(50), 2012. p. 283–302. Disponível em: </w:t>
      </w:r>
      <w:hyperlink r:id="rId12">
        <w:r>
          <w:rPr>
            <w:rFonts w:ascii="Arial" w:eastAsia="Arial" w:hAnsi="Arial" w:cs="Arial"/>
            <w:color w:val="1155CC"/>
            <w:u w:val="single"/>
          </w:rPr>
          <w:t>https://doi.org/10.1590/S1413-24782012000200003</w:t>
        </w:r>
      </w:hyperlink>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TODOS PELA EDUCAÇÃO. </w:t>
      </w:r>
      <w:r>
        <w:rPr>
          <w:rFonts w:ascii="Arial" w:eastAsia="Arial" w:hAnsi="Arial" w:cs="Arial"/>
          <w:i/>
        </w:rPr>
        <w:t>De olho nas metas – 2009</w:t>
      </w:r>
      <w:r>
        <w:rPr>
          <w:rFonts w:ascii="Arial" w:eastAsia="Arial" w:hAnsi="Arial" w:cs="Arial"/>
        </w:rPr>
        <w:t xml:space="preserve">: segundo relatório de acompanhamento das 5 metas do movimento Todos Pela Educação. São Paulo, 2009. Disponível em: </w:t>
      </w:r>
      <w:hyperlink r:id="rId13">
        <w:r>
          <w:rPr>
            <w:rFonts w:ascii="Arial" w:eastAsia="Arial" w:hAnsi="Arial" w:cs="Arial"/>
            <w:color w:val="1155CC"/>
            <w:u w:val="single"/>
          </w:rPr>
          <w:t>https://www.todospelaeducacao.org.br/_uploads/_posts/144.pdf</w:t>
        </w:r>
      </w:hyperlink>
      <w:r>
        <w:rPr>
          <w:rFonts w:ascii="Arial" w:eastAsia="Arial" w:hAnsi="Arial" w:cs="Arial"/>
        </w:rPr>
        <w:t>.</w:t>
      </w:r>
    </w:p>
    <w:p w:rsidR="00556636" w:rsidRDefault="007D368B">
      <w:pPr>
        <w:pStyle w:val="normal0"/>
        <w:shd w:val="clear" w:color="auto" w:fill="FFFFFF"/>
        <w:spacing w:line="308" w:lineRule="auto"/>
        <w:rPr>
          <w:rFonts w:ascii="Arial" w:eastAsia="Arial" w:hAnsi="Arial" w:cs="Arial"/>
          <w:color w:val="1155CC"/>
          <w:u w:val="single"/>
        </w:rPr>
      </w:pPr>
      <w:r>
        <w:rPr>
          <w:rFonts w:ascii="Arial" w:eastAsia="Arial" w:hAnsi="Arial" w:cs="Arial"/>
        </w:rPr>
        <w:lastRenderedPageBreak/>
        <w:t xml:space="preserve">VARGAS, N.; MARQUES, R.M. </w:t>
      </w:r>
      <w:r>
        <w:rPr>
          <w:rFonts w:ascii="Arial" w:eastAsia="Arial" w:hAnsi="Arial" w:cs="Arial"/>
          <w:i/>
        </w:rPr>
        <w:t>Os think tanks liberais no Brasil e a educação</w:t>
      </w:r>
      <w:r>
        <w:rPr>
          <w:rFonts w:ascii="Arial" w:eastAsia="Arial" w:hAnsi="Arial" w:cs="Arial"/>
        </w:rPr>
        <w:t xml:space="preserve">. Le Monde Diplomatic Brasil - Diplo online – Neoliberalismo, 2022. Disponível em: </w:t>
      </w:r>
      <w:hyperlink r:id="rId14">
        <w:r>
          <w:rPr>
            <w:rFonts w:ascii="Arial" w:eastAsia="Arial" w:hAnsi="Arial" w:cs="Arial"/>
            <w:color w:val="1155CC"/>
            <w:u w:val="single"/>
          </w:rPr>
          <w:t>https://diplomatique.org.br/os-think-tanks-liberais-no-brasil-e-a-educacao/</w:t>
        </w:r>
      </w:hyperlink>
    </w:p>
    <w:p w:rsidR="00556636" w:rsidRDefault="007D368B">
      <w:pPr>
        <w:pStyle w:val="normal0"/>
        <w:shd w:val="clear" w:color="auto" w:fill="FFFFFF"/>
        <w:spacing w:line="308" w:lineRule="auto"/>
        <w:rPr>
          <w:rFonts w:ascii="Arial" w:eastAsia="Arial" w:hAnsi="Arial" w:cs="Arial"/>
        </w:rPr>
      </w:pPr>
      <w:r>
        <w:rPr>
          <w:rFonts w:ascii="Arial" w:eastAsia="Arial" w:hAnsi="Arial" w:cs="Arial"/>
        </w:rPr>
        <w:t xml:space="preserve">WILLIAMSON, J. </w:t>
      </w:r>
      <w:r>
        <w:rPr>
          <w:rFonts w:ascii="Arial" w:eastAsia="Arial" w:hAnsi="Arial" w:cs="Arial"/>
          <w:i/>
        </w:rPr>
        <w:t>Democracy and the “Washington Consensus”</w:t>
      </w:r>
      <w:r>
        <w:rPr>
          <w:rFonts w:ascii="Arial" w:eastAsia="Arial" w:hAnsi="Arial" w:cs="Arial"/>
        </w:rPr>
        <w:t>. World Development, n. 21, p. 1.329-1.336, 1993.</w:t>
      </w:r>
    </w:p>
    <w:p w:rsidR="00556636" w:rsidRDefault="00556636">
      <w:pPr>
        <w:pStyle w:val="normal0"/>
        <w:pBdr>
          <w:top w:val="nil"/>
          <w:left w:val="nil"/>
          <w:bottom w:val="nil"/>
          <w:right w:val="nil"/>
          <w:between w:val="nil"/>
        </w:pBdr>
        <w:spacing w:after="0" w:line="240" w:lineRule="auto"/>
        <w:rPr>
          <w:rFonts w:ascii="Arial" w:eastAsia="Arial" w:hAnsi="Arial" w:cs="Arial"/>
        </w:rPr>
      </w:pPr>
    </w:p>
    <w:p w:rsidR="00556636" w:rsidRDefault="00556636">
      <w:pPr>
        <w:pStyle w:val="normal0"/>
        <w:spacing w:after="0" w:line="360" w:lineRule="auto"/>
        <w:jc w:val="both"/>
        <w:rPr>
          <w:rFonts w:ascii="Arial" w:eastAsia="Arial" w:hAnsi="Arial" w:cs="Arial"/>
        </w:rPr>
      </w:pPr>
    </w:p>
    <w:sectPr w:rsidR="00556636" w:rsidSect="00556636">
      <w:headerReference w:type="default" r:id="rId15"/>
      <w:pgSz w:w="11906" w:h="16838"/>
      <w:pgMar w:top="1701" w:right="1134"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B30" w:rsidRDefault="00222B30" w:rsidP="00556636">
      <w:pPr>
        <w:spacing w:after="0" w:line="240" w:lineRule="auto"/>
      </w:pPr>
      <w:r>
        <w:separator/>
      </w:r>
    </w:p>
  </w:endnote>
  <w:endnote w:type="continuationSeparator" w:id="1">
    <w:p w:rsidR="00222B30" w:rsidRDefault="00222B30" w:rsidP="00556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B30" w:rsidRDefault="00222B30" w:rsidP="00556636">
      <w:pPr>
        <w:spacing w:after="0" w:line="240" w:lineRule="auto"/>
      </w:pPr>
      <w:r>
        <w:separator/>
      </w:r>
    </w:p>
  </w:footnote>
  <w:footnote w:type="continuationSeparator" w:id="1">
    <w:p w:rsidR="00222B30" w:rsidRDefault="00222B30" w:rsidP="00556636">
      <w:pPr>
        <w:spacing w:after="0" w:line="240" w:lineRule="auto"/>
      </w:pPr>
      <w:r>
        <w:continuationSeparator/>
      </w:r>
    </w:p>
  </w:footnote>
  <w:footnote w:id="2">
    <w:p w:rsidR="00556636" w:rsidRDefault="007D368B">
      <w:pPr>
        <w:pStyle w:val="normal0"/>
        <w:pBdr>
          <w:top w:val="nil"/>
          <w:left w:val="nil"/>
          <w:bottom w:val="nil"/>
          <w:right w:val="nil"/>
          <w:between w:val="nil"/>
        </w:pBdr>
        <w:spacing w:after="0"/>
        <w:rPr>
          <w:color w:val="000000"/>
          <w:sz w:val="20"/>
          <w:szCs w:val="20"/>
        </w:rPr>
      </w:pPr>
      <w:r>
        <w:rPr>
          <w:vertAlign w:val="superscript"/>
        </w:rPr>
        <w:footnoteRef/>
      </w:r>
      <w:r w:rsidRPr="00FA06C2">
        <w:rPr>
          <w:rFonts w:ascii="Arial" w:hAnsi="Arial" w:cs="Arial"/>
          <w:color w:val="000000"/>
          <w:sz w:val="20"/>
          <w:szCs w:val="20"/>
        </w:rPr>
        <w:t xml:space="preserve"> </w:t>
      </w:r>
      <w:r w:rsidRPr="00FA06C2">
        <w:rPr>
          <w:rFonts w:ascii="Arial" w:hAnsi="Arial" w:cs="Arial"/>
          <w:color w:val="000000"/>
          <w:sz w:val="18"/>
          <w:szCs w:val="18"/>
        </w:rPr>
        <w:t xml:space="preserve">Este artigo toma por base parte da tese de doutorado intitulada “(De)colonialidade e Economização da educação: Disputas em torno da formação dos estudantes no contexto do Novo Ensino Médio em Santa Catarina/Brasil”, defendida </w:t>
      </w:r>
      <w:r w:rsidR="0064407C">
        <w:rPr>
          <w:rFonts w:ascii="Arial" w:hAnsi="Arial" w:cs="Arial"/>
          <w:color w:val="000000"/>
          <w:sz w:val="18"/>
          <w:szCs w:val="18"/>
        </w:rPr>
        <w:t xml:space="preserve">por Suzan A. Pozzer </w:t>
      </w:r>
      <w:r w:rsidRPr="00FA06C2">
        <w:rPr>
          <w:rFonts w:ascii="Arial" w:hAnsi="Arial" w:cs="Arial"/>
          <w:color w:val="000000"/>
          <w:sz w:val="18"/>
          <w:szCs w:val="18"/>
        </w:rPr>
        <w:t>em junho de 2025 na Universidade de Salamanca, sob orientação do Prof. Dr. José María Hernández Díaz.</w:t>
      </w:r>
    </w:p>
  </w:footnote>
  <w:footnote w:id="3">
    <w:p w:rsidR="00556636" w:rsidRDefault="007D368B">
      <w:pPr>
        <w:pStyle w:val="normal0"/>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Doutora em Educação. Universidade de Salamanca. Contato: </w:t>
      </w:r>
      <w:hyperlink r:id="rId1">
        <w:r>
          <w:rPr>
            <w:rFonts w:ascii="Arial" w:eastAsia="Arial" w:hAnsi="Arial" w:cs="Arial"/>
            <w:color w:val="0000FF"/>
            <w:sz w:val="18"/>
            <w:szCs w:val="18"/>
            <w:u w:val="single"/>
          </w:rPr>
          <w:t>suzanalberton@usal.es</w:t>
        </w:r>
      </w:hyperlink>
    </w:p>
  </w:footnote>
  <w:footnote w:id="4">
    <w:p w:rsidR="00556636" w:rsidRDefault="007D368B">
      <w:pPr>
        <w:pStyle w:val="normal0"/>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w:eastAsia="Arial" w:hAnsi="Arial" w:cs="Arial"/>
          <w:color w:val="000000"/>
          <w:sz w:val="18"/>
          <w:szCs w:val="18"/>
        </w:rPr>
        <w:t>Doutor em Educação. Universidade Regional de Blumenau – FURB e Secretaria de Estado da Educação de Santa Catarina – SED/SC. Contato:</w:t>
      </w:r>
      <w:r>
        <w:t xml:space="preserve"> </w:t>
      </w:r>
      <w:hyperlink r:id="rId2">
        <w:r>
          <w:rPr>
            <w:rFonts w:ascii="Arial" w:eastAsia="Arial" w:hAnsi="Arial" w:cs="Arial"/>
            <w:color w:val="0000FF"/>
            <w:sz w:val="18"/>
            <w:szCs w:val="18"/>
            <w:u w:val="single"/>
          </w:rPr>
          <w:t>adecrirp@gmail.com</w:t>
        </w:r>
      </w:hyperlink>
      <w:r>
        <w:rPr>
          <w:rFonts w:ascii="Arial" w:eastAsia="Arial" w:hAnsi="Arial" w:cs="Arial"/>
          <w:color w:val="000000"/>
          <w:sz w:val="18"/>
          <w:szCs w:val="18"/>
        </w:rPr>
        <w:t xml:space="preserve"> </w:t>
      </w:r>
    </w:p>
  </w:footnote>
  <w:footnote w:id="5">
    <w:p w:rsidR="00556636" w:rsidRDefault="007D368B">
      <w:pPr>
        <w:pStyle w:val="normal0"/>
        <w:spacing w:after="0" w:line="240" w:lineRule="auto"/>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 xml:space="preserve">O termo </w:t>
      </w:r>
      <w:r>
        <w:rPr>
          <w:rFonts w:ascii="Arial" w:eastAsia="Arial" w:hAnsi="Arial" w:cs="Arial"/>
          <w:i/>
          <w:sz w:val="18"/>
          <w:szCs w:val="18"/>
        </w:rPr>
        <w:t>Think Tanks</w:t>
      </w:r>
      <w:r>
        <w:rPr>
          <w:rFonts w:ascii="Arial" w:eastAsia="Arial" w:hAnsi="Arial" w:cs="Arial"/>
          <w:sz w:val="18"/>
          <w:szCs w:val="18"/>
        </w:rPr>
        <w:t>, segundo McGann e Weaver (2002), surgiu nos Estados Unidos durante a segunda guerra mundial para designar o espaço seguro onde eram discutidas estratégias militares que, segundo Rich (2004), este período foi caracterizado pela instabilidade política e social decorrentes da Revolução Industrial.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36" w:rsidRDefault="007D368B">
    <w:pPr>
      <w:pStyle w:val="normal0"/>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allowOverlap="1">
          <wp:simplePos x="0" y="0"/>
          <wp:positionH relativeFrom="column">
            <wp:posOffset>-1088389</wp:posOffset>
          </wp:positionH>
          <wp:positionV relativeFrom="paragraph">
            <wp:posOffset>-433069</wp:posOffset>
          </wp:positionV>
          <wp:extent cx="7561580" cy="106597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1580" cy="10659745"/>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hyphenationZone w:val="425"/>
  <w:characterSpacingControl w:val="doNotCompress"/>
  <w:footnotePr>
    <w:footnote w:id="0"/>
    <w:footnote w:id="1"/>
  </w:footnotePr>
  <w:endnotePr>
    <w:endnote w:id="0"/>
    <w:endnote w:id="1"/>
  </w:endnotePr>
  <w:compat/>
  <w:rsids>
    <w:rsidRoot w:val="00556636"/>
    <w:rsid w:val="00222B30"/>
    <w:rsid w:val="00556636"/>
    <w:rsid w:val="0064407C"/>
    <w:rsid w:val="007D368B"/>
    <w:rsid w:val="00822F5F"/>
    <w:rsid w:val="00FA06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5F"/>
  </w:style>
  <w:style w:type="paragraph" w:styleId="Ttulo1">
    <w:name w:val="heading 1"/>
    <w:basedOn w:val="normal0"/>
    <w:next w:val="normal0"/>
    <w:autoRedefine/>
    <w:hidden/>
    <w:qFormat/>
    <w:rsid w:val="00556636"/>
    <w:pPr>
      <w:keepNext/>
      <w:keepLines/>
      <w:suppressAutoHyphens/>
      <w:spacing w:before="360" w:after="80"/>
      <w:ind w:leftChars="-1" w:left="-1" w:hangingChars="1" w:hanging="1"/>
      <w:textDirection w:val="btLr"/>
      <w:textAlignment w:val="top"/>
      <w:outlineLvl w:val="0"/>
    </w:pPr>
    <w:rPr>
      <w:rFonts w:ascii="Aptos Display" w:eastAsia="Times New Roman" w:hAnsi="Aptos Display"/>
      <w:color w:val="0F4761"/>
      <w:position w:val="-1"/>
      <w:sz w:val="40"/>
      <w:szCs w:val="40"/>
    </w:rPr>
  </w:style>
  <w:style w:type="paragraph" w:styleId="Ttulo2">
    <w:name w:val="heading 2"/>
    <w:basedOn w:val="normal0"/>
    <w:next w:val="normal0"/>
    <w:autoRedefine/>
    <w:hidden/>
    <w:qFormat/>
    <w:rsid w:val="00556636"/>
    <w:pPr>
      <w:keepNext/>
      <w:keepLines/>
      <w:suppressAutoHyphens/>
      <w:spacing w:before="160" w:after="80"/>
      <w:ind w:leftChars="-1" w:left="-1" w:hangingChars="1" w:hanging="1"/>
      <w:textDirection w:val="btLr"/>
      <w:textAlignment w:val="top"/>
      <w:outlineLvl w:val="1"/>
    </w:pPr>
    <w:rPr>
      <w:rFonts w:ascii="Aptos Display" w:eastAsia="Times New Roman" w:hAnsi="Aptos Display"/>
      <w:color w:val="0F4761"/>
      <w:position w:val="-1"/>
      <w:sz w:val="32"/>
      <w:szCs w:val="32"/>
    </w:rPr>
  </w:style>
  <w:style w:type="paragraph" w:styleId="Ttulo3">
    <w:name w:val="heading 3"/>
    <w:basedOn w:val="normal0"/>
    <w:next w:val="normal0"/>
    <w:autoRedefine/>
    <w:hidden/>
    <w:qFormat/>
    <w:rsid w:val="00556636"/>
    <w:pPr>
      <w:keepNext/>
      <w:keepLines/>
      <w:suppressAutoHyphens/>
      <w:spacing w:before="160" w:after="80"/>
      <w:ind w:leftChars="-1" w:left="-1" w:hangingChars="1" w:hanging="1"/>
      <w:textDirection w:val="btLr"/>
      <w:textAlignment w:val="top"/>
      <w:outlineLvl w:val="2"/>
    </w:pPr>
    <w:rPr>
      <w:color w:val="0F4761"/>
      <w:position w:val="-1"/>
      <w:sz w:val="28"/>
      <w:szCs w:val="28"/>
    </w:rPr>
  </w:style>
  <w:style w:type="paragraph" w:styleId="Ttulo4">
    <w:name w:val="heading 4"/>
    <w:basedOn w:val="normal0"/>
    <w:next w:val="normal0"/>
    <w:autoRedefine/>
    <w:hidden/>
    <w:qFormat/>
    <w:rsid w:val="00556636"/>
    <w:pPr>
      <w:keepNext/>
      <w:keepLines/>
      <w:suppressAutoHyphens/>
      <w:spacing w:before="80" w:after="40"/>
      <w:ind w:leftChars="-1" w:left="-1" w:hangingChars="1" w:hanging="1"/>
      <w:textDirection w:val="btLr"/>
      <w:textAlignment w:val="top"/>
      <w:outlineLvl w:val="3"/>
    </w:pPr>
    <w:rPr>
      <w:i/>
      <w:iCs/>
      <w:color w:val="0F4761"/>
      <w:position w:val="-1"/>
      <w:sz w:val="20"/>
      <w:szCs w:val="20"/>
    </w:rPr>
  </w:style>
  <w:style w:type="paragraph" w:styleId="Ttulo5">
    <w:name w:val="heading 5"/>
    <w:basedOn w:val="normal0"/>
    <w:next w:val="normal0"/>
    <w:autoRedefine/>
    <w:hidden/>
    <w:qFormat/>
    <w:rsid w:val="00556636"/>
    <w:pPr>
      <w:keepNext/>
      <w:keepLines/>
      <w:suppressAutoHyphens/>
      <w:spacing w:before="80" w:after="40"/>
      <w:ind w:leftChars="-1" w:left="-1" w:hangingChars="1" w:hanging="1"/>
      <w:textDirection w:val="btLr"/>
      <w:textAlignment w:val="top"/>
      <w:outlineLvl w:val="4"/>
    </w:pPr>
    <w:rPr>
      <w:color w:val="0F4761"/>
      <w:position w:val="-1"/>
      <w:sz w:val="20"/>
      <w:szCs w:val="20"/>
    </w:rPr>
  </w:style>
  <w:style w:type="paragraph" w:styleId="Ttulo6">
    <w:name w:val="heading 6"/>
    <w:basedOn w:val="normal0"/>
    <w:next w:val="normal0"/>
    <w:autoRedefine/>
    <w:hidden/>
    <w:qFormat/>
    <w:rsid w:val="00556636"/>
    <w:pPr>
      <w:keepNext/>
      <w:keepLines/>
      <w:suppressAutoHyphens/>
      <w:spacing w:before="40" w:after="0"/>
      <w:ind w:leftChars="-1" w:left="-1" w:hangingChars="1" w:hanging="1"/>
      <w:textDirection w:val="btLr"/>
      <w:textAlignment w:val="top"/>
      <w:outlineLvl w:val="5"/>
    </w:pPr>
    <w:rPr>
      <w:i/>
      <w:iCs/>
      <w:color w:val="595959"/>
      <w:position w:val="-1"/>
      <w:sz w:val="20"/>
      <w:szCs w:val="20"/>
    </w:rPr>
  </w:style>
  <w:style w:type="paragraph" w:styleId="Ttulo7">
    <w:name w:val="heading 7"/>
    <w:basedOn w:val="normal0"/>
    <w:next w:val="normal0"/>
    <w:autoRedefine/>
    <w:hidden/>
    <w:qFormat/>
    <w:rsid w:val="00556636"/>
    <w:pPr>
      <w:keepNext/>
      <w:keepLines/>
      <w:suppressAutoHyphens/>
      <w:spacing w:before="40" w:after="0"/>
      <w:ind w:leftChars="-1" w:left="-1" w:hangingChars="1" w:hanging="1"/>
      <w:textDirection w:val="btLr"/>
      <w:textAlignment w:val="top"/>
      <w:outlineLvl w:val="6"/>
    </w:pPr>
    <w:rPr>
      <w:color w:val="595959"/>
      <w:position w:val="-1"/>
      <w:sz w:val="20"/>
      <w:szCs w:val="20"/>
    </w:rPr>
  </w:style>
  <w:style w:type="paragraph" w:styleId="Ttulo8">
    <w:name w:val="heading 8"/>
    <w:basedOn w:val="normal0"/>
    <w:next w:val="normal0"/>
    <w:autoRedefine/>
    <w:hidden/>
    <w:qFormat/>
    <w:rsid w:val="00556636"/>
    <w:pPr>
      <w:keepNext/>
      <w:keepLines/>
      <w:suppressAutoHyphens/>
      <w:spacing w:after="0"/>
      <w:ind w:leftChars="-1" w:left="-1" w:hangingChars="1" w:hanging="1"/>
      <w:textDirection w:val="btLr"/>
      <w:textAlignment w:val="top"/>
      <w:outlineLvl w:val="7"/>
    </w:pPr>
    <w:rPr>
      <w:i/>
      <w:iCs/>
      <w:color w:val="272727"/>
      <w:position w:val="-1"/>
      <w:sz w:val="20"/>
      <w:szCs w:val="20"/>
    </w:rPr>
  </w:style>
  <w:style w:type="paragraph" w:styleId="Ttulo9">
    <w:name w:val="heading 9"/>
    <w:basedOn w:val="normal0"/>
    <w:next w:val="normal0"/>
    <w:autoRedefine/>
    <w:hidden/>
    <w:qFormat/>
    <w:rsid w:val="00556636"/>
    <w:pPr>
      <w:keepNext/>
      <w:keepLines/>
      <w:suppressAutoHyphens/>
      <w:spacing w:after="0"/>
      <w:ind w:leftChars="-1" w:left="-1" w:hangingChars="1" w:hanging="1"/>
      <w:textDirection w:val="btLr"/>
      <w:textAlignment w:val="top"/>
      <w:outlineLvl w:val="8"/>
    </w:pPr>
    <w:rPr>
      <w:color w:val="272727"/>
      <w:position w:val="-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556636"/>
  </w:style>
  <w:style w:type="table" w:customStyle="1" w:styleId="TableNormal">
    <w:name w:val="TableNormal"/>
    <w:rsid w:val="00556636"/>
    <w:tblPr>
      <w:tblCellMar>
        <w:top w:w="0" w:type="dxa"/>
        <w:left w:w="0" w:type="dxa"/>
        <w:bottom w:w="0" w:type="dxa"/>
        <w:right w:w="0" w:type="dxa"/>
      </w:tblCellMar>
    </w:tblPr>
  </w:style>
  <w:style w:type="paragraph" w:styleId="Ttulo">
    <w:name w:val="Title"/>
    <w:basedOn w:val="normal0"/>
    <w:next w:val="normal0"/>
    <w:autoRedefine/>
    <w:hidden/>
    <w:qFormat/>
    <w:rsid w:val="00556636"/>
    <w:pPr>
      <w:suppressAutoHyphens/>
      <w:spacing w:after="80" w:line="240" w:lineRule="auto"/>
      <w:ind w:leftChars="-1" w:left="-1" w:hangingChars="1" w:hanging="1"/>
      <w:contextualSpacing/>
      <w:textDirection w:val="btLr"/>
      <w:textAlignment w:val="top"/>
      <w:outlineLvl w:val="0"/>
    </w:pPr>
    <w:rPr>
      <w:rFonts w:ascii="Aptos Display" w:eastAsia="Times New Roman" w:hAnsi="Aptos Display"/>
      <w:spacing w:val="-10"/>
      <w:kern w:val="28"/>
      <w:position w:val="-1"/>
      <w:sz w:val="56"/>
      <w:szCs w:val="56"/>
    </w:rPr>
  </w:style>
  <w:style w:type="character" w:customStyle="1" w:styleId="Ttulo1Char">
    <w:name w:val="Título 1 Char"/>
    <w:autoRedefine/>
    <w:hidden/>
    <w:qFormat/>
    <w:rsid w:val="00556636"/>
    <w:rPr>
      <w:rFonts w:ascii="Aptos Display" w:eastAsia="Times New Roman" w:hAnsi="Aptos Display" w:cs="Times New Roman"/>
      <w:color w:val="0F4761"/>
      <w:w w:val="100"/>
      <w:position w:val="-1"/>
      <w:sz w:val="40"/>
      <w:szCs w:val="40"/>
      <w:effect w:val="none"/>
      <w:vertAlign w:val="baseline"/>
      <w:cs w:val="0"/>
      <w:em w:val="none"/>
    </w:rPr>
  </w:style>
  <w:style w:type="character" w:customStyle="1" w:styleId="Ttulo2Char">
    <w:name w:val="Título 2 Char"/>
    <w:autoRedefine/>
    <w:hidden/>
    <w:qFormat/>
    <w:rsid w:val="00556636"/>
    <w:rPr>
      <w:rFonts w:ascii="Aptos Display" w:eastAsia="Times New Roman" w:hAnsi="Aptos Display" w:cs="Times New Roman"/>
      <w:color w:val="0F4761"/>
      <w:w w:val="100"/>
      <w:position w:val="-1"/>
      <w:sz w:val="32"/>
      <w:szCs w:val="32"/>
      <w:effect w:val="none"/>
      <w:vertAlign w:val="baseline"/>
      <w:cs w:val="0"/>
      <w:em w:val="none"/>
    </w:rPr>
  </w:style>
  <w:style w:type="character" w:customStyle="1" w:styleId="Ttulo3Char">
    <w:name w:val="Título 3 Char"/>
    <w:autoRedefine/>
    <w:hidden/>
    <w:qFormat/>
    <w:rsid w:val="00556636"/>
    <w:rPr>
      <w:color w:val="0F4761"/>
      <w:w w:val="100"/>
      <w:position w:val="-1"/>
      <w:sz w:val="28"/>
      <w:szCs w:val="28"/>
      <w:effect w:val="none"/>
      <w:vertAlign w:val="baseline"/>
      <w:cs w:val="0"/>
      <w:em w:val="none"/>
    </w:rPr>
  </w:style>
  <w:style w:type="character" w:customStyle="1" w:styleId="Ttulo4Char">
    <w:name w:val="Título 4 Char"/>
    <w:autoRedefine/>
    <w:hidden/>
    <w:qFormat/>
    <w:rsid w:val="00556636"/>
    <w:rPr>
      <w:i/>
      <w:iCs/>
      <w:color w:val="0F4761"/>
      <w:w w:val="100"/>
      <w:position w:val="-1"/>
      <w:effect w:val="none"/>
      <w:vertAlign w:val="baseline"/>
      <w:cs w:val="0"/>
      <w:em w:val="none"/>
    </w:rPr>
  </w:style>
  <w:style w:type="character" w:customStyle="1" w:styleId="Ttulo5Char">
    <w:name w:val="Título 5 Char"/>
    <w:autoRedefine/>
    <w:hidden/>
    <w:qFormat/>
    <w:rsid w:val="00556636"/>
    <w:rPr>
      <w:color w:val="0F4761"/>
      <w:w w:val="100"/>
      <w:position w:val="-1"/>
      <w:effect w:val="none"/>
      <w:vertAlign w:val="baseline"/>
      <w:cs w:val="0"/>
      <w:em w:val="none"/>
    </w:rPr>
  </w:style>
  <w:style w:type="character" w:customStyle="1" w:styleId="Ttulo6Char">
    <w:name w:val="Título 6 Char"/>
    <w:autoRedefine/>
    <w:hidden/>
    <w:qFormat/>
    <w:rsid w:val="00556636"/>
    <w:rPr>
      <w:i/>
      <w:iCs/>
      <w:color w:val="595959"/>
      <w:w w:val="100"/>
      <w:position w:val="-1"/>
      <w:effect w:val="none"/>
      <w:vertAlign w:val="baseline"/>
      <w:cs w:val="0"/>
      <w:em w:val="none"/>
    </w:rPr>
  </w:style>
  <w:style w:type="character" w:customStyle="1" w:styleId="Ttulo7Char">
    <w:name w:val="Título 7 Char"/>
    <w:autoRedefine/>
    <w:hidden/>
    <w:qFormat/>
    <w:rsid w:val="00556636"/>
    <w:rPr>
      <w:color w:val="595959"/>
      <w:w w:val="100"/>
      <w:position w:val="-1"/>
      <w:effect w:val="none"/>
      <w:vertAlign w:val="baseline"/>
      <w:cs w:val="0"/>
      <w:em w:val="none"/>
    </w:rPr>
  </w:style>
  <w:style w:type="character" w:customStyle="1" w:styleId="Ttulo8Char">
    <w:name w:val="Título 8 Char"/>
    <w:autoRedefine/>
    <w:hidden/>
    <w:qFormat/>
    <w:rsid w:val="00556636"/>
    <w:rPr>
      <w:i/>
      <w:iCs/>
      <w:color w:val="272727"/>
      <w:w w:val="100"/>
      <w:position w:val="-1"/>
      <w:effect w:val="none"/>
      <w:vertAlign w:val="baseline"/>
      <w:cs w:val="0"/>
      <w:em w:val="none"/>
    </w:rPr>
  </w:style>
  <w:style w:type="character" w:customStyle="1" w:styleId="Ttulo9Char">
    <w:name w:val="Título 9 Char"/>
    <w:autoRedefine/>
    <w:hidden/>
    <w:qFormat/>
    <w:rsid w:val="00556636"/>
    <w:rPr>
      <w:color w:val="272727"/>
      <w:w w:val="100"/>
      <w:position w:val="-1"/>
      <w:effect w:val="none"/>
      <w:vertAlign w:val="baseline"/>
      <w:cs w:val="0"/>
      <w:em w:val="none"/>
    </w:rPr>
  </w:style>
  <w:style w:type="character" w:customStyle="1" w:styleId="TtuloChar">
    <w:name w:val="Título Char"/>
    <w:autoRedefine/>
    <w:hidden/>
    <w:qFormat/>
    <w:rsid w:val="00556636"/>
    <w:rPr>
      <w:rFonts w:ascii="Aptos Display" w:eastAsia="Times New Roman" w:hAnsi="Aptos Display" w:cs="Times New Roman"/>
      <w:spacing w:val="-10"/>
      <w:w w:val="100"/>
      <w:kern w:val="28"/>
      <w:position w:val="-1"/>
      <w:sz w:val="56"/>
      <w:szCs w:val="56"/>
      <w:effect w:val="none"/>
      <w:vertAlign w:val="baseline"/>
      <w:cs w:val="0"/>
      <w:em w:val="none"/>
    </w:rPr>
  </w:style>
  <w:style w:type="paragraph" w:styleId="Subttulo">
    <w:name w:val="Subtitle"/>
    <w:basedOn w:val="normal0"/>
    <w:next w:val="normal0"/>
    <w:rsid w:val="00556636"/>
    <w:pPr>
      <w:keepNext/>
      <w:keepLines/>
      <w:spacing w:before="360" w:after="80"/>
    </w:pPr>
    <w:rPr>
      <w:rFonts w:ascii="Georgia" w:eastAsia="Georgia" w:hAnsi="Georgia" w:cs="Georgia"/>
      <w:i/>
      <w:color w:val="666666"/>
      <w:sz w:val="48"/>
      <w:szCs w:val="48"/>
    </w:rPr>
  </w:style>
  <w:style w:type="character" w:customStyle="1" w:styleId="SubttuloChar">
    <w:name w:val="Subtítulo Char"/>
    <w:autoRedefine/>
    <w:hidden/>
    <w:qFormat/>
    <w:rsid w:val="00556636"/>
    <w:rPr>
      <w:color w:val="595959"/>
      <w:spacing w:val="15"/>
      <w:w w:val="100"/>
      <w:position w:val="-1"/>
      <w:sz w:val="28"/>
      <w:szCs w:val="28"/>
      <w:effect w:val="none"/>
      <w:vertAlign w:val="baseline"/>
      <w:cs w:val="0"/>
      <w:em w:val="none"/>
    </w:rPr>
  </w:style>
  <w:style w:type="paragraph" w:styleId="Citao">
    <w:name w:val="Quote"/>
    <w:basedOn w:val="normal0"/>
    <w:next w:val="normal0"/>
    <w:autoRedefine/>
    <w:hidden/>
    <w:qFormat/>
    <w:rsid w:val="00556636"/>
    <w:pPr>
      <w:suppressAutoHyphens/>
      <w:spacing w:before="160"/>
      <w:ind w:leftChars="-1" w:left="-1" w:hangingChars="1" w:hanging="1"/>
      <w:jc w:val="center"/>
      <w:textDirection w:val="btLr"/>
      <w:textAlignment w:val="top"/>
      <w:outlineLvl w:val="0"/>
    </w:pPr>
    <w:rPr>
      <w:i/>
      <w:iCs/>
      <w:color w:val="404040"/>
      <w:position w:val="-1"/>
      <w:sz w:val="20"/>
      <w:szCs w:val="20"/>
    </w:rPr>
  </w:style>
  <w:style w:type="character" w:customStyle="1" w:styleId="CitaoChar">
    <w:name w:val="Citação Char"/>
    <w:autoRedefine/>
    <w:hidden/>
    <w:qFormat/>
    <w:rsid w:val="00556636"/>
    <w:rPr>
      <w:i/>
      <w:iCs/>
      <w:color w:val="404040"/>
      <w:w w:val="100"/>
      <w:position w:val="-1"/>
      <w:effect w:val="none"/>
      <w:vertAlign w:val="baseline"/>
      <w:cs w:val="0"/>
      <w:em w:val="none"/>
    </w:rPr>
  </w:style>
  <w:style w:type="paragraph" w:styleId="PargrafodaLista">
    <w:name w:val="List Paragraph"/>
    <w:basedOn w:val="normal0"/>
    <w:autoRedefine/>
    <w:hidden/>
    <w:qFormat/>
    <w:rsid w:val="00556636"/>
    <w:pPr>
      <w:suppressAutoHyphens/>
      <w:ind w:leftChars="-1" w:left="720" w:hangingChars="1" w:hanging="1"/>
      <w:contextualSpacing/>
      <w:textDirection w:val="btLr"/>
      <w:textAlignment w:val="top"/>
      <w:outlineLvl w:val="0"/>
    </w:pPr>
    <w:rPr>
      <w:kern w:val="2"/>
      <w:position w:val="-1"/>
      <w:lang w:eastAsia="en-US"/>
    </w:rPr>
  </w:style>
  <w:style w:type="character" w:styleId="nfaseIntensa">
    <w:name w:val="Intense Emphasis"/>
    <w:autoRedefine/>
    <w:hidden/>
    <w:qFormat/>
    <w:rsid w:val="00556636"/>
    <w:rPr>
      <w:i/>
      <w:iCs/>
      <w:color w:val="0F4761"/>
      <w:w w:val="100"/>
      <w:position w:val="-1"/>
      <w:effect w:val="none"/>
      <w:vertAlign w:val="baseline"/>
      <w:cs w:val="0"/>
      <w:em w:val="none"/>
    </w:rPr>
  </w:style>
  <w:style w:type="paragraph" w:styleId="CitaoIntensa">
    <w:name w:val="Intense Quote"/>
    <w:basedOn w:val="normal0"/>
    <w:next w:val="normal0"/>
    <w:autoRedefine/>
    <w:hidden/>
    <w:qFormat/>
    <w:rsid w:val="00556636"/>
    <w:pPr>
      <w:pBdr>
        <w:top w:val="single" w:sz="4" w:space="10" w:color="0F4761"/>
        <w:bottom w:val="single" w:sz="4" w:space="10" w:color="0F4761"/>
      </w:pBdr>
      <w:suppressAutoHyphens/>
      <w:spacing w:before="360" w:after="360"/>
      <w:ind w:leftChars="-1" w:left="864" w:right="864" w:hangingChars="1" w:hanging="1"/>
      <w:jc w:val="center"/>
      <w:textDirection w:val="btLr"/>
      <w:textAlignment w:val="top"/>
      <w:outlineLvl w:val="0"/>
    </w:pPr>
    <w:rPr>
      <w:i/>
      <w:iCs/>
      <w:color w:val="0F4761"/>
      <w:position w:val="-1"/>
      <w:sz w:val="20"/>
      <w:szCs w:val="20"/>
    </w:rPr>
  </w:style>
  <w:style w:type="character" w:customStyle="1" w:styleId="CitaoIntensaChar">
    <w:name w:val="Citação Intensa Char"/>
    <w:autoRedefine/>
    <w:hidden/>
    <w:qFormat/>
    <w:rsid w:val="00556636"/>
    <w:rPr>
      <w:i/>
      <w:iCs/>
      <w:color w:val="0F4761"/>
      <w:w w:val="100"/>
      <w:position w:val="-1"/>
      <w:effect w:val="none"/>
      <w:vertAlign w:val="baseline"/>
      <w:cs w:val="0"/>
      <w:em w:val="none"/>
    </w:rPr>
  </w:style>
  <w:style w:type="character" w:styleId="RefernciaIntensa">
    <w:name w:val="Intense Reference"/>
    <w:autoRedefine/>
    <w:hidden/>
    <w:qFormat/>
    <w:rsid w:val="00556636"/>
    <w:rPr>
      <w:b/>
      <w:bCs/>
      <w:smallCaps/>
      <w:color w:val="0F4761"/>
      <w:spacing w:val="5"/>
      <w:w w:val="100"/>
      <w:position w:val="-1"/>
      <w:effect w:val="none"/>
      <w:vertAlign w:val="baseline"/>
      <w:cs w:val="0"/>
      <w:em w:val="none"/>
    </w:rPr>
  </w:style>
  <w:style w:type="paragraph" w:styleId="Cabealho">
    <w:name w:val="header"/>
    <w:basedOn w:val="normal0"/>
    <w:autoRedefine/>
    <w:hidden/>
    <w:qFormat/>
    <w:rsid w:val="00556636"/>
    <w:pPr>
      <w:tabs>
        <w:tab w:val="center" w:pos="4252"/>
        <w:tab w:val="right" w:pos="8504"/>
      </w:tabs>
      <w:suppressAutoHyphens/>
      <w:spacing w:after="0" w:line="240" w:lineRule="auto"/>
      <w:ind w:leftChars="-1" w:left="-1" w:hangingChars="1" w:hanging="1"/>
      <w:textDirection w:val="btLr"/>
      <w:textAlignment w:val="top"/>
      <w:outlineLvl w:val="0"/>
    </w:pPr>
    <w:rPr>
      <w:kern w:val="2"/>
      <w:position w:val="-1"/>
      <w:lang w:eastAsia="en-US"/>
    </w:rPr>
  </w:style>
  <w:style w:type="character" w:customStyle="1" w:styleId="CabealhoChar">
    <w:name w:val="Cabeçalho Char"/>
    <w:basedOn w:val="Fontepargpadro"/>
    <w:autoRedefine/>
    <w:hidden/>
    <w:qFormat/>
    <w:rsid w:val="00556636"/>
    <w:rPr>
      <w:w w:val="100"/>
      <w:position w:val="-1"/>
      <w:effect w:val="none"/>
      <w:vertAlign w:val="baseline"/>
      <w:cs w:val="0"/>
      <w:em w:val="none"/>
    </w:rPr>
  </w:style>
  <w:style w:type="paragraph" w:styleId="Rodap">
    <w:name w:val="footer"/>
    <w:basedOn w:val="normal0"/>
    <w:autoRedefine/>
    <w:hidden/>
    <w:qFormat/>
    <w:rsid w:val="00556636"/>
    <w:pPr>
      <w:tabs>
        <w:tab w:val="center" w:pos="4252"/>
        <w:tab w:val="right" w:pos="8504"/>
      </w:tabs>
      <w:suppressAutoHyphens/>
      <w:spacing w:after="0" w:line="240" w:lineRule="auto"/>
      <w:ind w:leftChars="-1" w:left="-1" w:hangingChars="1" w:hanging="1"/>
      <w:textDirection w:val="btLr"/>
      <w:textAlignment w:val="top"/>
      <w:outlineLvl w:val="0"/>
    </w:pPr>
    <w:rPr>
      <w:kern w:val="2"/>
      <w:position w:val="-1"/>
      <w:lang w:eastAsia="en-US"/>
    </w:rPr>
  </w:style>
  <w:style w:type="character" w:customStyle="1" w:styleId="RodapChar">
    <w:name w:val="Rodapé Char"/>
    <w:basedOn w:val="Fontepargpadro"/>
    <w:autoRedefine/>
    <w:hidden/>
    <w:qFormat/>
    <w:rsid w:val="00556636"/>
    <w:rPr>
      <w:w w:val="100"/>
      <w:position w:val="-1"/>
      <w:effect w:val="none"/>
      <w:vertAlign w:val="baseline"/>
      <w:cs w:val="0"/>
      <w:em w:val="none"/>
    </w:rPr>
  </w:style>
  <w:style w:type="paragraph" w:styleId="NormalWeb">
    <w:name w:val="Normal (Web)"/>
    <w:basedOn w:val="normal0"/>
    <w:autoRedefine/>
    <w:hidden/>
    <w:qFormat/>
    <w:rsid w:val="00556636"/>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rPr>
  </w:style>
  <w:style w:type="character" w:customStyle="1" w:styleId="apple-tab-span">
    <w:name w:val="apple-tab-span"/>
    <w:basedOn w:val="Fontepargpadro"/>
    <w:autoRedefine/>
    <w:hidden/>
    <w:qFormat/>
    <w:rsid w:val="00556636"/>
    <w:rPr>
      <w:w w:val="100"/>
      <w:position w:val="-1"/>
      <w:effect w:val="none"/>
      <w:vertAlign w:val="baseline"/>
      <w:cs w:val="0"/>
      <w:em w:val="none"/>
    </w:rPr>
  </w:style>
  <w:style w:type="character" w:styleId="Forte">
    <w:name w:val="Strong"/>
    <w:basedOn w:val="Fontepargpadro"/>
    <w:autoRedefine/>
    <w:hidden/>
    <w:qFormat/>
    <w:rsid w:val="00556636"/>
    <w:rPr>
      <w:b/>
      <w:bCs/>
      <w:w w:val="100"/>
      <w:position w:val="-1"/>
      <w:effect w:val="none"/>
      <w:vertAlign w:val="baseline"/>
      <w:cs w:val="0"/>
      <w:em w:val="none"/>
    </w:rPr>
  </w:style>
  <w:style w:type="character" w:styleId="Hyperlink">
    <w:name w:val="Hyperlink"/>
    <w:basedOn w:val="Fontepargpadro"/>
    <w:autoRedefine/>
    <w:hidden/>
    <w:qFormat/>
    <w:rsid w:val="00556636"/>
    <w:rPr>
      <w:color w:val="0000FF"/>
      <w:w w:val="100"/>
      <w:position w:val="-1"/>
      <w:u w:val="single"/>
      <w:effect w:val="none"/>
      <w:vertAlign w:val="baseline"/>
      <w:cs w:val="0"/>
      <w:em w:val="none"/>
    </w:rPr>
  </w:style>
  <w:style w:type="paragraph" w:styleId="Textodenotaderodap">
    <w:name w:val="footnote text"/>
    <w:basedOn w:val="normal0"/>
    <w:autoRedefine/>
    <w:hidden/>
    <w:qFormat/>
    <w:rsid w:val="00556636"/>
    <w:pPr>
      <w:suppressAutoHyphens/>
      <w:ind w:leftChars="-1" w:left="-1" w:hangingChars="1" w:hanging="1"/>
      <w:textDirection w:val="btLr"/>
      <w:textAlignment w:val="top"/>
      <w:outlineLvl w:val="0"/>
    </w:pPr>
    <w:rPr>
      <w:kern w:val="2"/>
      <w:position w:val="-1"/>
      <w:sz w:val="20"/>
      <w:szCs w:val="20"/>
      <w:lang w:eastAsia="en-US"/>
    </w:rPr>
  </w:style>
  <w:style w:type="character" w:customStyle="1" w:styleId="TextodenotaderodapChar">
    <w:name w:val="Texto de nota de rodapé Char"/>
    <w:basedOn w:val="Fontepargpadro"/>
    <w:autoRedefine/>
    <w:hidden/>
    <w:qFormat/>
    <w:rsid w:val="00556636"/>
    <w:rPr>
      <w:w w:val="100"/>
      <w:kern w:val="2"/>
      <w:position w:val="-1"/>
      <w:effect w:val="none"/>
      <w:vertAlign w:val="baseline"/>
      <w:cs w:val="0"/>
      <w:em w:val="none"/>
      <w:lang w:eastAsia="en-US"/>
    </w:rPr>
  </w:style>
  <w:style w:type="character" w:styleId="Refdenotaderodap">
    <w:name w:val="footnote reference"/>
    <w:basedOn w:val="Fontepargpadro"/>
    <w:autoRedefine/>
    <w:hidden/>
    <w:qFormat/>
    <w:rsid w:val="00556636"/>
    <w:rPr>
      <w:w w:val="100"/>
      <w:position w:val="-1"/>
      <w:effect w:val="none"/>
      <w:vertAlign w:val="superscript"/>
      <w:cs w:val="0"/>
      <w:em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enap.gov.br/pt/acontece/noticias/afinal-o-que-e-um" TargetMode="External"/><Relationship Id="rId13" Type="http://schemas.openxmlformats.org/officeDocument/2006/relationships/hyperlink" Target="https://www.todospelaeducacao.org.br/_uploads/_posts/144.pdf" TargetMode="External"/><Relationship Id="rId3" Type="http://schemas.openxmlformats.org/officeDocument/2006/relationships/settings" Target="settings.xml"/><Relationship Id="rId7" Type="http://schemas.openxmlformats.org/officeDocument/2006/relationships/hyperlink" Target="https://basenacionalcomum.mec.gov.br/" TargetMode="External"/><Relationship Id="rId12" Type="http://schemas.openxmlformats.org/officeDocument/2006/relationships/hyperlink" Target="https://doi.org/10.1590/S1413-247820120002000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vista.enap.gov.br/index.php/RSP/article/download/402/409/15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epository.upenn.edu/entities/publication/07977660-60a1-4a63-9646%20031d4610f1c0" TargetMode="External"/><Relationship Id="rId4" Type="http://schemas.openxmlformats.org/officeDocument/2006/relationships/webSettings" Target="webSettings.xml"/><Relationship Id="rId9" Type="http://schemas.openxmlformats.org/officeDocument/2006/relationships/hyperlink" Target="https://www.ibge.gov.br/" TargetMode="External"/><Relationship Id="rId14" Type="http://schemas.openxmlformats.org/officeDocument/2006/relationships/hyperlink" Target="https://diplomatique.org.br/os-think-tanks-liberais-no-brasil-e-a-educaca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decrirp@gmail.com" TargetMode="External"/><Relationship Id="rId1" Type="http://schemas.openxmlformats.org/officeDocument/2006/relationships/hyperlink" Target="mailto:suzanalberton@us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2IvlEf6vdRQGrBj4RjtpSsKUHQ==">CgMxLjA4AHIhMXZPMEVXRkpMTTNtYmliNGlqTVdPNEZEUHFHaHdmOWZP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3779</Words>
  <Characters>20412</Characters>
  <Application>Microsoft Office Word</Application>
  <DocSecurity>0</DocSecurity>
  <Lines>170</Lines>
  <Paragraphs>48</Paragraphs>
  <ScaleCrop>false</ScaleCrop>
  <Company>HP Inc.</Company>
  <LinksUpToDate>false</LinksUpToDate>
  <CharactersWithSpaces>24143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Neto - Netinho</dc:creator>
  <cp:lastModifiedBy>adecir.pozzer</cp:lastModifiedBy>
  <cp:revision>3</cp:revision>
  <dcterms:created xsi:type="dcterms:W3CDTF">2025-08-09T00:19:00Z</dcterms:created>
  <dcterms:modified xsi:type="dcterms:W3CDTF">2025-08-09T00:20:00Z</dcterms:modified>
</cp:coreProperties>
</file>