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55F7C" w14:textId="77777777" w:rsidR="00C12CB7" w:rsidRDefault="00C12C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E1D1759" w14:textId="77777777" w:rsidR="00C12CB7" w:rsidRDefault="005B4B34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Dentro da Favela o Ritmo é outro: Os processos artísticos de transgressão dos corpos de 150 a 170Bpm.</w:t>
      </w:r>
    </w:p>
    <w:p w14:paraId="39C72983" w14:textId="09AC4D08" w:rsidR="00FE50DE" w:rsidRDefault="00FE50DE" w:rsidP="00FE50DE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SANTOS, Artur Vinicius Amaro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z w:val="24"/>
          <w:szCs w:val="24"/>
        </w:rPr>
        <w:t>Graduando em Letras: Português – Literaturas/ UFRJ</w:t>
      </w:r>
      <w:r>
        <w:rPr>
          <w:rFonts w:ascii="Arial" w:eastAsia="Arial" w:hAnsi="Arial" w:cs="Arial"/>
          <w:sz w:val="24"/>
          <w:szCs w:val="24"/>
        </w:rPr>
        <w:t>;</w:t>
      </w:r>
    </w:p>
    <w:p w14:paraId="6D15A279" w14:textId="32625BD5" w:rsidR="00404585" w:rsidRDefault="00FE50DE" w:rsidP="00FE50DE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  <w:r>
        <w:rPr>
          <w:rFonts w:ascii="Arial" w:eastAsia="Arial" w:hAnsi="Arial" w:cs="Arial"/>
          <w:sz w:val="24"/>
          <w:szCs w:val="24"/>
        </w:rPr>
        <w:t>arturviniciusamaro@gmail.com</w:t>
      </w:r>
    </w:p>
    <w:p w14:paraId="61DC48AE" w14:textId="77777777" w:rsidR="00FE50DE" w:rsidRDefault="00FE50DE" w:rsidP="00451FD5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</w:p>
    <w:p w14:paraId="7206E095" w14:textId="77777777" w:rsidR="00C12CB7" w:rsidRPr="00404585" w:rsidRDefault="00C12CB7" w:rsidP="00D03F58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</w:p>
    <w:p w14:paraId="0CE2B23D" w14:textId="77777777" w:rsidR="00C12CB7" w:rsidRDefault="00D73843">
      <w:pPr>
        <w:widowControl w:val="0"/>
        <w:spacing w:before="6" w:after="0" w:line="42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0AE1C385" w14:textId="77777777" w:rsidR="00236D12" w:rsidRPr="00236D12" w:rsidRDefault="00236D12" w:rsidP="00236D12">
      <w:pPr>
        <w:pStyle w:val="SemEspaamento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0" w:name="_heading=h.gjdgxs" w:colFirst="0" w:colLast="0"/>
      <w:bookmarkEnd w:id="0"/>
      <w:r w:rsidRPr="00236D12">
        <w:rPr>
          <w:rFonts w:asciiTheme="majorBidi" w:hAnsiTheme="majorBidi" w:cstheme="majorBidi"/>
          <w:sz w:val="24"/>
          <w:szCs w:val="24"/>
        </w:rPr>
        <w:t xml:space="preserve">Em 30 anos do movimento funk, se considerarmos como marco 0 o lançamento do LP “Funk Brasil” produzido pelo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Dj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Marlboro, o ritmo tomou conta do Brasil. Nesses 30 anos, os beats passaram gradativamente a ser mais elaborados, as letras sempre envolvidas em metáforas e metonímias ficaram mais envolventes e trouxeram à tona uma outra discussão do corpo. Se meados dos anos de 2010, com a implementação das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UPP’s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, os bailes Funk sendo proibidos e o funk começou a tomar um rumo mais comercial, para fora da periferia, com a decadência delas e a retomada popular dos seus próprios territórios os bailes voltaram a acontecer. Assim, essa linguagem passou a versar sobre a sensualidade e o encarceramento que a Necropolítica do Estado exerce sobre esses corpos de outro modo: mais ácido, mais explícito. Mas nessa retomada os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Bpm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(Batidas por Minuto) do som que embalava as noites já não dava mais conta de expressar como esses corpos, em seus movimentos cotidianos, sobreviviam e resistiam a essas tensos entre vida e morte no cotidiano.</w:t>
      </w:r>
    </w:p>
    <w:p w14:paraId="12167127" w14:textId="77777777" w:rsidR="00236D12" w:rsidRPr="00236D12" w:rsidRDefault="00236D12" w:rsidP="00236D12">
      <w:pPr>
        <w:pStyle w:val="SemEspaamento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6D12">
        <w:rPr>
          <w:rFonts w:asciiTheme="majorBidi" w:hAnsiTheme="majorBidi" w:cstheme="majorBidi"/>
          <w:sz w:val="24"/>
          <w:szCs w:val="24"/>
        </w:rPr>
        <w:t xml:space="preserve">É então que a tendência de produzir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Funk’s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em 150Bpm surge no fim de 2015 e explode em meados de 2016, se tornando sucesso nacional e mudando o cenário do mercado da música brasileira. Mas esse sucesso se dá também pela força que o Baile da Gaiola teve enquanto discurso de promoção dessa aceleração, afinal, foi o baile da Gaiola, conduzido pelo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Dj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Rennan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da Penha, que se deu sentido ao discurso desses corpos, mostrando sua potência. Nesse novo cenário, a periferia passa a produzir ritmos e sensações a partir das músicas em diálogo com esses sujeitos mostrando como esses corpos se relacionam com os atravessamentos dos territórios e resistem às imposições territoriais que tentam limitá-los. Obviamente que o 150Bpm, que já era tendência dentro das favelas muito antes de estourar nas rádios caiu no gosto popular e começou a produzir os grandes hits e os </w:t>
      </w:r>
      <w:r w:rsidRPr="00236D12">
        <w:rPr>
          <w:rFonts w:asciiTheme="majorBidi" w:hAnsiTheme="majorBidi" w:cstheme="majorBidi"/>
          <w:sz w:val="24"/>
          <w:szCs w:val="24"/>
        </w:rPr>
        <w:lastRenderedPageBreak/>
        <w:t xml:space="preserve">sujeitos que dominaram a cena.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Mc’s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com Kevin o Chris, Du Black e Cabelinho e os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Dj’s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Rennan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da Penha, FP do Trem Bala e Iasmin Turbininha fizeram sucesso promovendo o 150Bpm e com isso a favela traçou novos rumos para voltar ao centro do fazer artístico do funk. Uma das precursoras nesse traçado de novos rumos foi a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Dj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 xml:space="preserve"> Iasmin Turbininha, que chega então a 170Bpm, com versos mais agressivos e um ritmo ainda mais envolvente.</w:t>
      </w:r>
    </w:p>
    <w:p w14:paraId="01FFA29D" w14:textId="77777777" w:rsidR="00236D12" w:rsidRPr="00236D12" w:rsidRDefault="00236D12" w:rsidP="00236D12">
      <w:pPr>
        <w:pStyle w:val="SemEspaamento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6D12">
        <w:rPr>
          <w:rFonts w:asciiTheme="majorBidi" w:hAnsiTheme="majorBidi" w:cstheme="majorBidi"/>
          <w:sz w:val="24"/>
          <w:szCs w:val="24"/>
        </w:rPr>
        <w:t xml:space="preserve">A presente comunicação pretende expor um pouco da trajetória do movimento 150 </w:t>
      </w:r>
      <w:proofErr w:type="spellStart"/>
      <w:r w:rsidRPr="00236D12">
        <w:rPr>
          <w:rFonts w:asciiTheme="majorBidi" w:hAnsiTheme="majorBidi" w:cstheme="majorBidi"/>
          <w:sz w:val="24"/>
          <w:szCs w:val="24"/>
        </w:rPr>
        <w:t>Bpm</w:t>
      </w:r>
      <w:proofErr w:type="spellEnd"/>
      <w:r w:rsidRPr="00236D12">
        <w:rPr>
          <w:rFonts w:asciiTheme="majorBidi" w:hAnsiTheme="majorBidi" w:cstheme="majorBidi"/>
          <w:sz w:val="24"/>
          <w:szCs w:val="24"/>
        </w:rPr>
        <w:t>, mostrando como a centralização da potência artística das favelas se dá não apenas nas letras, mas na construção do ritmo e no trabalho de linguagem que mostra as pulsões que atravessam as noites nos bailes funk. A ideia é mostrar como, mesmo depois de ser levado às margens para fora da comunidade o ritmo acelerou e continua se mostrando como estratégia de linguagem para limitar o funk da favela, apenas ao espaço da favela, já que é dentro da favela que a Necropolítica age, mostrando que “Dentro da Favela o Ritmo é Outro”.</w:t>
      </w:r>
    </w:p>
    <w:p w14:paraId="6379CD9F" w14:textId="77777777" w:rsidR="00404585" w:rsidRDefault="0040458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2D23CC7" w14:textId="77777777" w:rsidR="00C12CB7" w:rsidRDefault="00D738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404585">
        <w:rPr>
          <w:rFonts w:ascii="Arial" w:eastAsia="Arial" w:hAnsi="Arial" w:cs="Arial"/>
          <w:sz w:val="24"/>
          <w:szCs w:val="24"/>
        </w:rPr>
        <w:t>Funk</w:t>
      </w:r>
      <w:r>
        <w:rPr>
          <w:rFonts w:ascii="Arial" w:eastAsia="Arial" w:hAnsi="Arial" w:cs="Arial"/>
          <w:sz w:val="24"/>
          <w:szCs w:val="24"/>
        </w:rPr>
        <w:t xml:space="preserve">; </w:t>
      </w:r>
      <w:r w:rsidR="00404585">
        <w:rPr>
          <w:rFonts w:ascii="Arial" w:eastAsia="Arial" w:hAnsi="Arial" w:cs="Arial"/>
          <w:sz w:val="24"/>
          <w:szCs w:val="24"/>
        </w:rPr>
        <w:t>150Bpm</w:t>
      </w:r>
      <w:r>
        <w:rPr>
          <w:rFonts w:ascii="Arial" w:eastAsia="Arial" w:hAnsi="Arial" w:cs="Arial"/>
          <w:sz w:val="24"/>
          <w:szCs w:val="24"/>
        </w:rPr>
        <w:t xml:space="preserve">; </w:t>
      </w:r>
      <w:r w:rsidR="00404585">
        <w:rPr>
          <w:rFonts w:ascii="Arial" w:eastAsia="Arial" w:hAnsi="Arial" w:cs="Arial"/>
          <w:sz w:val="24"/>
          <w:szCs w:val="24"/>
        </w:rPr>
        <w:t>Favela</w:t>
      </w:r>
      <w:r>
        <w:rPr>
          <w:rFonts w:ascii="Arial" w:eastAsia="Arial" w:hAnsi="Arial" w:cs="Arial"/>
          <w:sz w:val="24"/>
          <w:szCs w:val="24"/>
        </w:rPr>
        <w:t>;</w:t>
      </w:r>
      <w:r w:rsidR="0040458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04585">
        <w:rPr>
          <w:rFonts w:ascii="Arial" w:eastAsia="Arial" w:hAnsi="Arial" w:cs="Arial"/>
          <w:sz w:val="24"/>
          <w:szCs w:val="24"/>
        </w:rPr>
        <w:t>Rennan</w:t>
      </w:r>
      <w:proofErr w:type="spellEnd"/>
      <w:r w:rsidR="00404585">
        <w:rPr>
          <w:rFonts w:ascii="Arial" w:eastAsia="Arial" w:hAnsi="Arial" w:cs="Arial"/>
          <w:sz w:val="24"/>
          <w:szCs w:val="24"/>
        </w:rPr>
        <w:t xml:space="preserve"> da Penha.</w:t>
      </w:r>
    </w:p>
    <w:p w14:paraId="66728D56" w14:textId="77777777" w:rsidR="00C12CB7" w:rsidRDefault="00C12CB7">
      <w:pPr>
        <w:rPr>
          <w:rFonts w:ascii="Arial" w:eastAsia="Arial" w:hAnsi="Arial" w:cs="Arial"/>
          <w:sz w:val="24"/>
          <w:szCs w:val="24"/>
        </w:rPr>
      </w:pPr>
    </w:p>
    <w:p w14:paraId="53A4FD6C" w14:textId="77777777" w:rsidR="00C12CB7" w:rsidRDefault="00D7384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 Bibliográficas</w:t>
      </w:r>
    </w:p>
    <w:p w14:paraId="7B9B08A0" w14:textId="77777777" w:rsidR="00A86208" w:rsidRPr="00AD663D" w:rsidRDefault="00A862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D663D">
        <w:rPr>
          <w:rFonts w:ascii="Arial" w:hAnsi="Arial" w:cs="Arial"/>
          <w:sz w:val="24"/>
          <w:szCs w:val="24"/>
        </w:rPr>
        <w:t xml:space="preserve">ACHUGAR, Hugo. </w:t>
      </w:r>
      <w:r w:rsidRPr="00AD663D">
        <w:rPr>
          <w:rFonts w:ascii="Arial" w:hAnsi="Arial" w:cs="Arial"/>
          <w:i/>
          <w:iCs/>
          <w:sz w:val="24"/>
          <w:szCs w:val="24"/>
        </w:rPr>
        <w:t>Planetas sem boca: escritos efêmeros sobre arte, cultura e literatura</w:t>
      </w:r>
      <w:r w:rsidRPr="00AD663D">
        <w:rPr>
          <w:rFonts w:ascii="Arial" w:hAnsi="Arial" w:cs="Arial"/>
          <w:sz w:val="24"/>
          <w:szCs w:val="24"/>
        </w:rPr>
        <w:t xml:space="preserve">. Tradução de </w:t>
      </w:r>
      <w:proofErr w:type="spellStart"/>
      <w:r w:rsidRPr="00AD663D">
        <w:rPr>
          <w:rFonts w:ascii="Arial" w:hAnsi="Arial" w:cs="Arial"/>
          <w:sz w:val="24"/>
          <w:szCs w:val="24"/>
        </w:rPr>
        <w:t>Lyslei</w:t>
      </w:r>
      <w:proofErr w:type="spellEnd"/>
      <w:r w:rsidRPr="00AD663D">
        <w:rPr>
          <w:rFonts w:ascii="Arial" w:hAnsi="Arial" w:cs="Arial"/>
          <w:sz w:val="24"/>
          <w:szCs w:val="24"/>
        </w:rPr>
        <w:t xml:space="preserve"> Nascimento. Belo Horizonte: Editora UFMG, 2006. </w:t>
      </w:r>
    </w:p>
    <w:p w14:paraId="05A6CDA7" w14:textId="77777777" w:rsidR="00C12CB7" w:rsidRPr="00AD663D" w:rsidRDefault="00A862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AD663D">
        <w:rPr>
          <w:rFonts w:ascii="Arial" w:hAnsi="Arial" w:cs="Arial"/>
          <w:sz w:val="24"/>
          <w:szCs w:val="24"/>
        </w:rPr>
        <w:t xml:space="preserve">BHABHA, </w:t>
      </w:r>
      <w:proofErr w:type="spellStart"/>
      <w:r w:rsidRPr="00AD663D">
        <w:rPr>
          <w:rFonts w:ascii="Arial" w:hAnsi="Arial" w:cs="Arial"/>
          <w:sz w:val="24"/>
          <w:szCs w:val="24"/>
        </w:rPr>
        <w:t>Homi</w:t>
      </w:r>
      <w:proofErr w:type="spellEnd"/>
      <w:r w:rsidRPr="00AD663D">
        <w:rPr>
          <w:rFonts w:ascii="Arial" w:hAnsi="Arial" w:cs="Arial"/>
          <w:sz w:val="24"/>
          <w:szCs w:val="24"/>
        </w:rPr>
        <w:t xml:space="preserve"> K. </w:t>
      </w:r>
      <w:r w:rsidRPr="00AD663D">
        <w:rPr>
          <w:rFonts w:ascii="Arial" w:hAnsi="Arial" w:cs="Arial"/>
          <w:i/>
          <w:iCs/>
          <w:sz w:val="24"/>
          <w:szCs w:val="24"/>
        </w:rPr>
        <w:t>O local da cultura</w:t>
      </w:r>
      <w:r w:rsidRPr="00AD663D">
        <w:rPr>
          <w:rFonts w:ascii="Arial" w:hAnsi="Arial" w:cs="Arial"/>
          <w:sz w:val="24"/>
          <w:szCs w:val="24"/>
        </w:rPr>
        <w:t xml:space="preserve"> [1949]. Tradução de </w:t>
      </w:r>
      <w:proofErr w:type="spellStart"/>
      <w:r w:rsidRPr="00AD663D">
        <w:rPr>
          <w:rFonts w:ascii="Arial" w:hAnsi="Arial" w:cs="Arial"/>
          <w:sz w:val="24"/>
          <w:szCs w:val="24"/>
        </w:rPr>
        <w:t>Myria</w:t>
      </w:r>
      <w:proofErr w:type="spellEnd"/>
      <w:r w:rsidRPr="00AD663D">
        <w:rPr>
          <w:rFonts w:ascii="Arial" w:hAnsi="Arial" w:cs="Arial"/>
          <w:sz w:val="24"/>
          <w:szCs w:val="24"/>
          <w:lang w:val="pt-PT"/>
        </w:rPr>
        <w:t xml:space="preserve">m Ávila, Eliana Lourenço Reis, Gláucia </w:t>
      </w:r>
      <w:proofErr w:type="spellStart"/>
      <w:r w:rsidRPr="00AD663D">
        <w:rPr>
          <w:rFonts w:ascii="Arial" w:hAnsi="Arial" w:cs="Arial"/>
          <w:sz w:val="24"/>
          <w:szCs w:val="24"/>
          <w:lang w:val="pt-PT"/>
        </w:rPr>
        <w:t>Renate</w:t>
      </w:r>
      <w:proofErr w:type="spellEnd"/>
      <w:r w:rsidRPr="00AD663D">
        <w:rPr>
          <w:rFonts w:ascii="Arial" w:hAnsi="Arial" w:cs="Arial"/>
          <w:sz w:val="24"/>
          <w:szCs w:val="24"/>
          <w:lang w:val="pt-PT"/>
        </w:rPr>
        <w:t xml:space="preserve"> Gonçalves. 2ª ed. Belo Horizonte: Editora UFMG, 2013.</w:t>
      </w:r>
    </w:p>
    <w:p w14:paraId="6B2C25F4" w14:textId="77777777" w:rsidR="00A86208" w:rsidRPr="00AD663D" w:rsidRDefault="00A862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AD663D">
        <w:rPr>
          <w:rFonts w:ascii="Arial" w:hAnsi="Arial" w:cs="Arial"/>
          <w:sz w:val="24"/>
          <w:szCs w:val="24"/>
          <w:lang w:val="pt-PT"/>
        </w:rPr>
        <w:t xml:space="preserve">HALL, Stuart. </w:t>
      </w:r>
      <w:r w:rsidRPr="00AD663D">
        <w:rPr>
          <w:rFonts w:ascii="Arial" w:hAnsi="Arial" w:cs="Arial"/>
          <w:i/>
          <w:iCs/>
          <w:sz w:val="24"/>
          <w:szCs w:val="24"/>
          <w:lang w:val="pt-PT"/>
        </w:rPr>
        <w:t>Cultura e Representação</w:t>
      </w:r>
      <w:r w:rsidRPr="00AD663D">
        <w:rPr>
          <w:rFonts w:ascii="Arial" w:hAnsi="Arial" w:cs="Arial"/>
          <w:sz w:val="24"/>
          <w:szCs w:val="24"/>
          <w:lang w:val="pt-PT"/>
        </w:rPr>
        <w:t xml:space="preserve"> / Stuart Hall; Organização e Revisão Técnica: Arthur </w:t>
      </w:r>
      <w:proofErr w:type="spellStart"/>
      <w:r w:rsidRPr="00AD663D">
        <w:rPr>
          <w:rFonts w:ascii="Arial" w:hAnsi="Arial" w:cs="Arial"/>
          <w:sz w:val="24"/>
          <w:szCs w:val="24"/>
          <w:lang w:val="pt-PT"/>
        </w:rPr>
        <w:t>Ituassu</w:t>
      </w:r>
      <w:proofErr w:type="spellEnd"/>
      <w:r w:rsidRPr="00AD663D">
        <w:rPr>
          <w:rFonts w:ascii="Arial" w:hAnsi="Arial" w:cs="Arial"/>
          <w:sz w:val="24"/>
          <w:szCs w:val="24"/>
          <w:lang w:val="pt-PT"/>
        </w:rPr>
        <w:t xml:space="preserve">; Tradução: Daniel Miranda e William Oliveira. – Rio de Janeiro : Ed. PUC-Rio : </w:t>
      </w:r>
      <w:proofErr w:type="spellStart"/>
      <w:r w:rsidRPr="00AD663D">
        <w:rPr>
          <w:rFonts w:ascii="Arial" w:hAnsi="Arial" w:cs="Arial"/>
          <w:sz w:val="24"/>
          <w:szCs w:val="24"/>
          <w:lang w:val="pt-PT"/>
        </w:rPr>
        <w:t>Apicuri</w:t>
      </w:r>
      <w:proofErr w:type="spellEnd"/>
      <w:r w:rsidRPr="00AD663D">
        <w:rPr>
          <w:rFonts w:ascii="Arial" w:hAnsi="Arial" w:cs="Arial"/>
          <w:sz w:val="24"/>
          <w:szCs w:val="24"/>
          <w:lang w:val="pt-PT"/>
        </w:rPr>
        <w:t>, 2016.</w:t>
      </w:r>
    </w:p>
    <w:p w14:paraId="17B8FAE1" w14:textId="77777777" w:rsidR="00A86208" w:rsidRPr="00AD663D" w:rsidRDefault="00A86208" w:rsidP="00A862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D663D">
        <w:rPr>
          <w:rFonts w:ascii="Arial" w:hAnsi="Arial" w:cs="Arial"/>
          <w:sz w:val="24"/>
          <w:szCs w:val="24"/>
          <w:lang w:val="pt-PT"/>
        </w:rPr>
        <w:t xml:space="preserve">MBEMBE, Achille. </w:t>
      </w:r>
      <w:r w:rsidRPr="00AD663D">
        <w:rPr>
          <w:rFonts w:ascii="Arial" w:hAnsi="Arial" w:cs="Arial"/>
          <w:i/>
          <w:iCs/>
          <w:sz w:val="24"/>
          <w:szCs w:val="24"/>
          <w:lang w:val="pt-PT"/>
        </w:rPr>
        <w:t xml:space="preserve">Necropolítica: </w:t>
      </w:r>
      <w:proofErr w:type="spellStart"/>
      <w:r w:rsidRPr="00AD663D">
        <w:rPr>
          <w:rFonts w:ascii="Arial" w:hAnsi="Arial" w:cs="Arial"/>
          <w:i/>
          <w:iCs/>
          <w:sz w:val="24"/>
          <w:szCs w:val="24"/>
          <w:lang w:val="pt-PT"/>
        </w:rPr>
        <w:t>biopoder</w:t>
      </w:r>
      <w:proofErr w:type="spellEnd"/>
      <w:r w:rsidRPr="00AD663D">
        <w:rPr>
          <w:rFonts w:ascii="Arial" w:hAnsi="Arial" w:cs="Arial"/>
          <w:i/>
          <w:iCs/>
          <w:sz w:val="24"/>
          <w:szCs w:val="24"/>
          <w:lang w:val="pt-PT"/>
        </w:rPr>
        <w:t>, soberania, estado de</w:t>
      </w:r>
      <w:r w:rsidRPr="00AD663D">
        <w:rPr>
          <w:rFonts w:ascii="Arial" w:hAnsi="Arial" w:cs="Arial"/>
          <w:i/>
          <w:iCs/>
          <w:sz w:val="24"/>
          <w:szCs w:val="24"/>
        </w:rPr>
        <w:t xml:space="preserve"> exceção, política de morte</w:t>
      </w:r>
      <w:r w:rsidRPr="00AD663D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AD663D">
        <w:rPr>
          <w:rFonts w:ascii="Arial" w:hAnsi="Arial" w:cs="Arial"/>
          <w:sz w:val="24"/>
          <w:szCs w:val="24"/>
        </w:rPr>
        <w:t>Achille</w:t>
      </w:r>
      <w:proofErr w:type="spellEnd"/>
      <w:r w:rsidRPr="00AD66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663D">
        <w:rPr>
          <w:rFonts w:ascii="Arial" w:hAnsi="Arial" w:cs="Arial"/>
          <w:sz w:val="24"/>
          <w:szCs w:val="24"/>
        </w:rPr>
        <w:t>Mbembe</w:t>
      </w:r>
      <w:proofErr w:type="spellEnd"/>
      <w:r w:rsidRPr="00AD663D">
        <w:rPr>
          <w:rFonts w:ascii="Arial" w:hAnsi="Arial" w:cs="Arial"/>
          <w:sz w:val="24"/>
          <w:szCs w:val="24"/>
        </w:rPr>
        <w:t xml:space="preserve"> ; traduzido por Renata </w:t>
      </w:r>
      <w:proofErr w:type="spellStart"/>
      <w:r w:rsidRPr="00AD663D">
        <w:rPr>
          <w:rFonts w:ascii="Arial" w:hAnsi="Arial" w:cs="Arial"/>
          <w:sz w:val="24"/>
          <w:szCs w:val="24"/>
        </w:rPr>
        <w:t>Santini</w:t>
      </w:r>
      <w:proofErr w:type="spellEnd"/>
      <w:r w:rsidRPr="00AD663D">
        <w:rPr>
          <w:rFonts w:ascii="Arial" w:hAnsi="Arial" w:cs="Arial"/>
          <w:sz w:val="24"/>
          <w:szCs w:val="24"/>
        </w:rPr>
        <w:t>. – São Paulo: n-1 edições, 2018.</w:t>
      </w:r>
    </w:p>
    <w:p w14:paraId="2E7D3952" w14:textId="77777777" w:rsidR="00A86208" w:rsidRPr="00AD663D" w:rsidRDefault="00A8620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D663D">
        <w:rPr>
          <w:rFonts w:ascii="Arial" w:hAnsi="Arial" w:cs="Arial"/>
          <w:sz w:val="24"/>
          <w:szCs w:val="24"/>
        </w:rPr>
        <w:lastRenderedPageBreak/>
        <w:t xml:space="preserve">SPIVAK, </w:t>
      </w:r>
      <w:proofErr w:type="spellStart"/>
      <w:r w:rsidRPr="00AD663D">
        <w:rPr>
          <w:rFonts w:ascii="Arial" w:hAnsi="Arial" w:cs="Arial"/>
          <w:sz w:val="24"/>
          <w:szCs w:val="24"/>
        </w:rPr>
        <w:t>Gayatri</w:t>
      </w:r>
      <w:proofErr w:type="spellEnd"/>
      <w:r w:rsidRPr="00AD663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663D">
        <w:rPr>
          <w:rFonts w:ascii="Arial" w:hAnsi="Arial" w:cs="Arial"/>
          <w:sz w:val="24"/>
          <w:szCs w:val="24"/>
        </w:rPr>
        <w:t>Chakravotry</w:t>
      </w:r>
      <w:proofErr w:type="spellEnd"/>
      <w:r w:rsidRPr="00AD663D">
        <w:rPr>
          <w:rFonts w:ascii="Arial" w:hAnsi="Arial" w:cs="Arial"/>
          <w:i/>
          <w:iCs/>
          <w:sz w:val="24"/>
          <w:szCs w:val="24"/>
        </w:rPr>
        <w:t>. Pode o subalterno falar?</w:t>
      </w:r>
      <w:r w:rsidRPr="00AD663D">
        <w:rPr>
          <w:rFonts w:ascii="Arial" w:hAnsi="Arial" w:cs="Arial"/>
          <w:sz w:val="24"/>
          <w:szCs w:val="24"/>
        </w:rPr>
        <w:t xml:space="preserve"> [1942]. Tradução de Sandra Regina Goulart Almeida, Marcos Pereira Feitosa e André Pereira Feitosa. Belo Horizonte: Editora UFMG, 2010.</w:t>
      </w:r>
    </w:p>
    <w:sectPr w:rsidR="00A86208" w:rsidRPr="00AD66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583B7" w14:textId="77777777" w:rsidR="00ED0A0D" w:rsidRDefault="00ED0A0D">
      <w:pPr>
        <w:spacing w:after="0" w:line="240" w:lineRule="auto"/>
      </w:pPr>
      <w:r>
        <w:separator/>
      </w:r>
    </w:p>
  </w:endnote>
  <w:endnote w:type="continuationSeparator" w:id="0">
    <w:p w14:paraId="6D090309" w14:textId="77777777" w:rsidR="00ED0A0D" w:rsidRDefault="00ED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ED6E0" w14:textId="77777777" w:rsidR="00012C54" w:rsidRDefault="00012C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B31FE" w14:textId="77777777" w:rsidR="00C12CB7" w:rsidRDefault="00625E3F" w:rsidP="00625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object w:dxaOrig="13753" w:dyaOrig="1549" w14:anchorId="0C7359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8pt;height:66.6pt">
          <v:imagedata r:id="rId1" o:title=""/>
        </v:shape>
        <o:OLEObject Type="Embed" ProgID="CorelDraw.Graphic.17" ShapeID="_x0000_i1026" DrawAspect="Content" ObjectID="_1669399868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B5F8CA" w14:textId="77777777" w:rsidR="00012C54" w:rsidRDefault="00012C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46D14" w14:textId="77777777" w:rsidR="00ED0A0D" w:rsidRDefault="00ED0A0D">
      <w:pPr>
        <w:spacing w:after="0" w:line="240" w:lineRule="auto"/>
      </w:pPr>
      <w:r>
        <w:separator/>
      </w:r>
    </w:p>
  </w:footnote>
  <w:footnote w:type="continuationSeparator" w:id="0">
    <w:p w14:paraId="7C82B86B" w14:textId="77777777" w:rsidR="00ED0A0D" w:rsidRDefault="00ED0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62F2E" w14:textId="77777777" w:rsidR="00012C54" w:rsidRDefault="00012C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D8CF5" w14:textId="77777777" w:rsidR="00C12CB7" w:rsidRDefault="00625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jc w:val="both"/>
      <w:rPr>
        <w:color w:val="000000"/>
      </w:rPr>
    </w:pPr>
    <w:r>
      <w:object w:dxaOrig="13765" w:dyaOrig="2500" w14:anchorId="46A39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pt;height:108pt">
          <v:imagedata r:id="rId1" o:title=""/>
        </v:shape>
        <o:OLEObject Type="Embed" ProgID="CorelDraw.Graphic.17" ShapeID="_x0000_i1025" DrawAspect="Content" ObjectID="_1669399867" r:id="rId2"/>
      </w:object>
    </w:r>
    <w:r w:rsidR="00D73843">
      <w:rPr>
        <w:color w:val="00000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9A42C" w14:textId="77777777" w:rsidR="00012C54" w:rsidRDefault="00012C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CB7"/>
    <w:rsid w:val="00012C54"/>
    <w:rsid w:val="00140B6C"/>
    <w:rsid w:val="0017260C"/>
    <w:rsid w:val="00236D12"/>
    <w:rsid w:val="00373C42"/>
    <w:rsid w:val="00404585"/>
    <w:rsid w:val="00451FD5"/>
    <w:rsid w:val="005B4B34"/>
    <w:rsid w:val="00625E3F"/>
    <w:rsid w:val="00634E68"/>
    <w:rsid w:val="007854D9"/>
    <w:rsid w:val="00795CE3"/>
    <w:rsid w:val="007C326A"/>
    <w:rsid w:val="008554C3"/>
    <w:rsid w:val="0086379E"/>
    <w:rsid w:val="009438F6"/>
    <w:rsid w:val="00953DC6"/>
    <w:rsid w:val="00A102A8"/>
    <w:rsid w:val="00A86208"/>
    <w:rsid w:val="00AD663D"/>
    <w:rsid w:val="00C12CB7"/>
    <w:rsid w:val="00D03F58"/>
    <w:rsid w:val="00D73843"/>
    <w:rsid w:val="00ED0A0D"/>
    <w:rsid w:val="00EE06E2"/>
    <w:rsid w:val="00F3062C"/>
    <w:rsid w:val="00FE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B8D2B"/>
  <w15:docId w15:val="{F2514202-15B9-43B6-A079-32BB2835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0D80"/>
  </w:style>
  <w:style w:type="paragraph" w:styleId="Rodap">
    <w:name w:val="footer"/>
    <w:basedOn w:val="Normal"/>
    <w:link w:val="Rodap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0D80"/>
  </w:style>
  <w:style w:type="character" w:customStyle="1" w:styleId="a">
    <w:name w:val="_"/>
    <w:basedOn w:val="Fontepargpadro"/>
    <w:rsid w:val="004A404F"/>
  </w:style>
  <w:style w:type="character" w:customStyle="1" w:styleId="pg-1ff1">
    <w:name w:val="pg-1ff1"/>
    <w:basedOn w:val="Fontepargpadro"/>
    <w:rsid w:val="004A404F"/>
  </w:style>
  <w:style w:type="character" w:customStyle="1" w:styleId="pg-1fc1">
    <w:name w:val="pg-1fc1"/>
    <w:basedOn w:val="Fontepargpadro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6FD"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iPriority w:val="99"/>
    <w:semiHidden/>
    <w:unhideWhenUsed/>
    <w:rsid w:val="006566FD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36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36D1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fjxyo2VvmEtLETh4WeeDlMDZRQ==">AMUW2mWrASrpcPC7+PI1QkzJ6LW81Lw1K88yDovgq2U7HVidrLKHEm4X8lTkRNfACt3Lj6jjw3a96cv3XLiYdOIssyRN3z5lMYuTZT/jNHr0sVoGmJYbNnTYOtnh6SDz0/VNm1enk6VY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641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Vinicius Amaro</dc:creator>
  <cp:keywords/>
  <cp:lastModifiedBy>Artur Vinicius</cp:lastModifiedBy>
  <cp:revision>2</cp:revision>
  <cp:lastPrinted>2020-11-10T02:49:00Z</cp:lastPrinted>
  <dcterms:created xsi:type="dcterms:W3CDTF">2020-12-14T00:25:00Z</dcterms:created>
  <dcterms:modified xsi:type="dcterms:W3CDTF">2020-12-14T00:25:00Z</dcterms:modified>
</cp:coreProperties>
</file>