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04BE" w14:textId="77D702A3" w:rsidR="002F4395" w:rsidRPr="00E33F95" w:rsidRDefault="00DA1D53" w:rsidP="002F4395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DA1D53">
        <w:rPr>
          <w:rFonts w:ascii="Times New Roman" w:hAnsi="Times New Roman"/>
          <w:b/>
          <w:sz w:val="28"/>
          <w:szCs w:val="24"/>
          <w:lang w:val="en-US"/>
        </w:rPr>
        <w:t>THE GEN</w:t>
      </w:r>
      <w:r w:rsidR="00A93CB4">
        <w:rPr>
          <w:rFonts w:ascii="Times New Roman" w:hAnsi="Times New Roman"/>
          <w:b/>
          <w:sz w:val="28"/>
          <w:szCs w:val="24"/>
          <w:lang w:val="en-US"/>
        </w:rPr>
        <w:t>ERA</w:t>
      </w:r>
      <w:r w:rsidRPr="00DA1D53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A93CB4">
        <w:rPr>
          <w:rFonts w:ascii="Times New Roman" w:hAnsi="Times New Roman"/>
          <w:b/>
          <w:i/>
          <w:sz w:val="28"/>
          <w:szCs w:val="24"/>
          <w:lang w:val="en-US"/>
        </w:rPr>
        <w:t>R</w:t>
      </w:r>
      <w:r w:rsidR="00A93CB4" w:rsidRPr="00DA1D53">
        <w:rPr>
          <w:rFonts w:ascii="Times New Roman" w:hAnsi="Times New Roman"/>
          <w:b/>
          <w:i/>
          <w:sz w:val="28"/>
          <w:szCs w:val="24"/>
          <w:lang w:val="en-US"/>
        </w:rPr>
        <w:t>elicina</w:t>
      </w:r>
      <w:proofErr w:type="spellEnd"/>
      <w:r w:rsidR="00A93CB4" w:rsidRPr="00DA1D53">
        <w:rPr>
          <w:rFonts w:ascii="Times New Roman" w:hAnsi="Times New Roman"/>
          <w:b/>
          <w:i/>
          <w:sz w:val="28"/>
          <w:szCs w:val="24"/>
          <w:lang w:val="en-US"/>
        </w:rPr>
        <w:t xml:space="preserve"> </w:t>
      </w:r>
      <w:r w:rsidRPr="00DA1D53">
        <w:rPr>
          <w:rFonts w:ascii="Times New Roman" w:hAnsi="Times New Roman"/>
          <w:b/>
          <w:iCs/>
          <w:sz w:val="28"/>
          <w:szCs w:val="24"/>
          <w:lang w:val="en-US"/>
        </w:rPr>
        <w:t xml:space="preserve">AND </w:t>
      </w:r>
      <w:proofErr w:type="spellStart"/>
      <w:r w:rsidR="00A93CB4" w:rsidRPr="00A93CB4">
        <w:rPr>
          <w:rFonts w:ascii="Times New Roman" w:hAnsi="Times New Roman"/>
          <w:b/>
          <w:i/>
          <w:sz w:val="28"/>
          <w:szCs w:val="24"/>
          <w:lang w:val="en-US"/>
        </w:rPr>
        <w:t>Bulbothrix</w:t>
      </w:r>
      <w:proofErr w:type="spellEnd"/>
      <w:r w:rsidR="00495AA2">
        <w:rPr>
          <w:rFonts w:ascii="Times New Roman" w:hAnsi="Times New Roman"/>
          <w:b/>
          <w:iCs/>
          <w:sz w:val="28"/>
          <w:szCs w:val="24"/>
          <w:lang w:val="en-US"/>
        </w:rPr>
        <w:t xml:space="preserve"> (</w:t>
      </w:r>
      <w:proofErr w:type="spellStart"/>
      <w:r w:rsidR="00495AA2">
        <w:rPr>
          <w:rFonts w:ascii="Times New Roman" w:hAnsi="Times New Roman"/>
          <w:b/>
          <w:iCs/>
          <w:sz w:val="28"/>
          <w:szCs w:val="24"/>
          <w:lang w:val="en-US"/>
        </w:rPr>
        <w:t>Parmeliaceae</w:t>
      </w:r>
      <w:proofErr w:type="spellEnd"/>
      <w:r w:rsidR="00495AA2">
        <w:rPr>
          <w:rFonts w:ascii="Times New Roman" w:hAnsi="Times New Roman"/>
          <w:b/>
          <w:iCs/>
          <w:sz w:val="28"/>
          <w:szCs w:val="24"/>
          <w:lang w:val="en-US"/>
        </w:rPr>
        <w:t>)</w:t>
      </w:r>
      <w:r w:rsidRPr="00DA1D53">
        <w:rPr>
          <w:rFonts w:ascii="Times New Roman" w:hAnsi="Times New Roman"/>
          <w:b/>
          <w:iCs/>
          <w:sz w:val="28"/>
          <w:szCs w:val="24"/>
          <w:lang w:val="en-US"/>
        </w:rPr>
        <w:t xml:space="preserve"> FROM</w:t>
      </w:r>
      <w:r w:rsidRPr="00DA1D53">
        <w:rPr>
          <w:rFonts w:ascii="Times New Roman" w:hAnsi="Times New Roman"/>
          <w:b/>
          <w:sz w:val="28"/>
          <w:szCs w:val="24"/>
          <w:lang w:val="en-US"/>
        </w:rPr>
        <w:t xml:space="preserve"> VIETNAM</w:t>
      </w:r>
    </w:p>
    <w:p w14:paraId="4B3CCE48" w14:textId="5AE8F2AB" w:rsidR="002F4395" w:rsidRPr="00E33F95" w:rsidRDefault="00DA1D53" w:rsidP="002F4395">
      <w:pPr>
        <w:spacing w:after="12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Dong Liu</w:t>
      </w:r>
      <w:r w:rsidR="002F4395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A93CB4">
        <w:rPr>
          <w:rFonts w:ascii="Times New Roman" w:hAnsi="Times New Roman"/>
          <w:sz w:val="24"/>
          <w:szCs w:val="24"/>
          <w:vertAlign w:val="superscript"/>
          <w:lang w:val="en-US"/>
        </w:rPr>
        <w:t>,2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Run-Dong Liu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Jae-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Seou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Hur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="00A93CB4" w:rsidRPr="00A93CB4">
        <w:rPr>
          <w:rFonts w:ascii="Times New Roman" w:hAnsi="Times New Roman"/>
          <w:sz w:val="24"/>
          <w:szCs w:val="24"/>
          <w:lang w:val="en-US"/>
        </w:rPr>
        <w:t>Võ</w:t>
      </w:r>
      <w:proofErr w:type="spellEnd"/>
      <w:r w:rsidR="00A93CB4" w:rsidRPr="00A93C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93CB4" w:rsidRPr="00A93CB4">
        <w:rPr>
          <w:rFonts w:ascii="Times New Roman" w:hAnsi="Times New Roman"/>
          <w:sz w:val="24"/>
          <w:szCs w:val="24"/>
          <w:lang w:val="en-US"/>
        </w:rPr>
        <w:t>Thị</w:t>
      </w:r>
      <w:proofErr w:type="spellEnd"/>
      <w:r w:rsidR="00A93CB4" w:rsidRPr="00A93CB4">
        <w:rPr>
          <w:rFonts w:ascii="Times New Roman" w:hAnsi="Times New Roman"/>
          <w:sz w:val="24"/>
          <w:szCs w:val="24"/>
          <w:lang w:val="en-US"/>
        </w:rPr>
        <w:t xml:space="preserve"> Phi Giao</w:t>
      </w:r>
      <w:r w:rsidR="006C6BAE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</w:p>
    <w:p w14:paraId="76C27127" w14:textId="71665D26" w:rsidR="002F4395" w:rsidRPr="00E33F95" w:rsidRDefault="002F4395" w:rsidP="00FB4266">
      <w:pPr>
        <w:jc w:val="center"/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</w:pP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="00DA1D53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Korean Lichen Research Institute (</w:t>
      </w:r>
      <w:proofErr w:type="spellStart"/>
      <w:r w:rsidR="00DA1D53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KoLRI</w:t>
      </w:r>
      <w:proofErr w:type="spellEnd"/>
      <w:r w:rsidR="00DA1D53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), </w:t>
      </w:r>
      <w:proofErr w:type="spellStart"/>
      <w:r w:rsidR="00DA1D53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Sunchon</w:t>
      </w:r>
      <w:proofErr w:type="spellEnd"/>
      <w:r w:rsidR="00DA1D53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National University, South Korea</w:t>
      </w:r>
      <w:r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5E219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A93CB4" w:rsidRPr="00A93CB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Central South University of Forestry and Technology</w:t>
      </w:r>
      <w:r w:rsidR="00A93CB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, China</w:t>
      </w:r>
      <w:r w:rsidRPr="00E33F95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; </w:t>
      </w:r>
      <w:r w:rsidRPr="00E33F95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  <w:vertAlign w:val="superscript"/>
          <w:lang w:val="en-US"/>
        </w:rPr>
        <w:t>3</w:t>
      </w:r>
      <w:r w:rsidR="00A93CB4" w:rsidRPr="00A93CB4">
        <w:t xml:space="preserve"> </w:t>
      </w:r>
      <w:r w:rsidR="00A93CB4" w:rsidRPr="00A93CB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National University-</w:t>
      </w:r>
      <w:proofErr w:type="spellStart"/>
      <w:r w:rsidR="00A93CB4" w:rsidRPr="00A93CB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Hochiminh</w:t>
      </w:r>
      <w:proofErr w:type="spellEnd"/>
      <w:r w:rsidR="00A93CB4" w:rsidRPr="00A93CB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City</w:t>
      </w:r>
      <w:r w:rsidR="00A93CB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, Vietnam</w:t>
      </w:r>
      <w:r w:rsidR="0041562C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;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* </w:t>
      </w:r>
      <w:r w:rsidR="0041562C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 w:rsidR="00DA1D53">
        <w:rPr>
          <w:rFonts w:ascii="Times New Roman" w:hAnsi="Times New Roman"/>
          <w:color w:val="000000" w:themeColor="text1"/>
          <w:sz w:val="24"/>
          <w:szCs w:val="24"/>
          <w:lang w:val="en-US"/>
        </w:rPr>
        <w:t>liudong143@gmail.com</w:t>
      </w:r>
    </w:p>
    <w:p w14:paraId="1C7BCC92" w14:textId="77777777" w:rsidR="002F4395" w:rsidRPr="00E33F95" w:rsidRDefault="002F4395" w:rsidP="002F4395">
      <w:pPr>
        <w:rPr>
          <w:rStyle w:val="a3"/>
          <w:rFonts w:ascii="Times New Roman" w:hAnsi="Times New Roman"/>
          <w:sz w:val="24"/>
          <w:szCs w:val="24"/>
          <w:lang w:val="en-US"/>
        </w:rPr>
      </w:pPr>
    </w:p>
    <w:p w14:paraId="1348DDA8" w14:textId="2F156EDB" w:rsidR="00260A60" w:rsidRPr="00E33F95" w:rsidRDefault="00DA1D53" w:rsidP="00DF62C6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genera </w:t>
      </w:r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Relicina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(Hale &amp; </w:t>
      </w:r>
      <w:proofErr w:type="spellStart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Kurok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.)</w:t>
      </w:r>
      <w:r w:rsidRPr="00DA1D53">
        <w:rPr>
          <w:rFonts w:ascii="Times New Roman" w:hAnsi="Times New Roman" w:hint="eastAsia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Hale and </w:t>
      </w:r>
      <w:bookmarkStart w:id="1" w:name="_Hlk31359475"/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Bulbothrix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bookmarkEnd w:id="1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Hale were segregated from </w:t>
      </w:r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Parmelia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on the basis of their marginal </w:t>
      </w:r>
      <w:proofErr w:type="spellStart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bulbate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cilia. These two genera differ in the secondary metabolites of their upper cortex, that </w:t>
      </w:r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Relicina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contain </w:t>
      </w:r>
      <w:proofErr w:type="spellStart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usnic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acid and </w:t>
      </w:r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Bulbothrix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have atranorin. During the field excursion in the southern part of Vietnam, some specimens of </w:t>
      </w:r>
      <w:proofErr w:type="spellStart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Parmeliaceae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with </w:t>
      </w:r>
      <w:proofErr w:type="spellStart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bulbate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cilia were collected. </w:t>
      </w:r>
      <w:r w:rsid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M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orphological examination</w:t>
      </w:r>
      <w:r w:rsid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and description were made according to the Vietnamese specimens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secondary compound</w:t>
      </w:r>
      <w:r w:rsidR="00DF62C6">
        <w:rPr>
          <w:rFonts w:ascii="宋体" w:eastAsia="宋体" w:hAnsi="宋体" w:hint="eastAsia"/>
          <w:color w:val="000000"/>
          <w:sz w:val="24"/>
          <w:szCs w:val="24"/>
          <w:bdr w:val="none" w:sz="0" w:space="0" w:color="auto" w:frame="1"/>
          <w:lang w:val="en-US" w:eastAsia="zh-CN"/>
        </w:rPr>
        <w:t>s</w:t>
      </w:r>
      <w:r w:rsid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were confirmed by TLC and HPLC, 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and phylogenetic </w:t>
      </w:r>
      <w:r w:rsid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relationship 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were </w:t>
      </w:r>
      <w:r w:rsid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reconstructed based on </w:t>
      </w:r>
      <w:r w:rsidR="00777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three</w:t>
      </w:r>
      <w:r w:rsidR="00DF62C6" w:rsidRP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loci including the</w:t>
      </w:r>
      <w:r w:rsidR="00DF62C6">
        <w:rPr>
          <w:rFonts w:ascii="Times New Roman" w:eastAsia="宋体" w:hAnsi="Times New Roman" w:hint="eastAsia"/>
          <w:color w:val="000000"/>
          <w:sz w:val="24"/>
          <w:szCs w:val="24"/>
          <w:bdr w:val="none" w:sz="0" w:space="0" w:color="auto" w:frame="1"/>
          <w:lang w:val="en-US" w:eastAsia="zh-CN"/>
        </w:rPr>
        <w:t xml:space="preserve"> </w:t>
      </w:r>
      <w:r w:rsidR="00DF62C6" w:rsidRP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internal transcribed spacer (ITS) regions, the large subunit nuclear ribosomal RNA gene (</w:t>
      </w:r>
      <w:proofErr w:type="spellStart"/>
      <w:r w:rsidR="00DF62C6" w:rsidRP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nLSU</w:t>
      </w:r>
      <w:proofErr w:type="spellEnd"/>
      <w:r w:rsidR="00DF62C6" w:rsidRP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), the small subunit mitochondrial rRNA gene sequences (</w:t>
      </w:r>
      <w:proofErr w:type="spellStart"/>
      <w:r w:rsidR="00DF62C6" w:rsidRP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mtSSU</w:t>
      </w:r>
      <w:proofErr w:type="spellEnd"/>
      <w:r w:rsidR="00DF62C6" w:rsidRP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)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C76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</w:t>
      </w:r>
      <w:r w:rsidR="00C7672E" w:rsidRPr="00C76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onsequently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C76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these </w:t>
      </w:r>
      <w:r w:rsidR="00C7672E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specimens of </w:t>
      </w:r>
      <w:proofErr w:type="spellStart"/>
      <w:r w:rsidR="00C7672E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Parmeliaceae</w:t>
      </w:r>
      <w:proofErr w:type="spellEnd"/>
      <w:r w:rsidR="00C7672E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with </w:t>
      </w:r>
      <w:proofErr w:type="spellStart"/>
      <w:r w:rsidR="00C7672E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bulbate</w:t>
      </w:r>
      <w:proofErr w:type="spellEnd"/>
      <w:r w:rsidR="00C7672E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cilia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belong to two genera</w:t>
      </w:r>
      <w:r w:rsidR="006C2C7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Relicina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Bulbothrix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of which the genus </w:t>
      </w:r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Relicina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was first</w:t>
      </w:r>
      <w:r w:rsidR="006C2C7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ly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reported from Vietnam, one species </w:t>
      </w:r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Relicina</w:t>
      </w:r>
      <w:proofErr w:type="spellEnd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albicans 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D. Liu &amp; J.S. </w:t>
      </w:r>
      <w:proofErr w:type="spellStart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Hur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is newly described, </w:t>
      </w:r>
      <w:r w:rsid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four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species</w:t>
      </w:r>
      <w:r w:rsidR="006C2C7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DF62C6"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Bulbothrix</w:t>
      </w:r>
      <w:proofErr w:type="spellEnd"/>
      <w:r w:rsidR="00DF62C6"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DF62C6"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asiatica</w:t>
      </w:r>
      <w:proofErr w:type="spellEnd"/>
      <w:r w:rsidR="00DF62C6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Y. Y. Zhang &amp; Li S. Wang</w:t>
      </w:r>
      <w:r w:rsid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DF62C6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Relicina</w:t>
      </w:r>
      <w:proofErr w:type="spellEnd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abstrusa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(Vain.) Hale</w:t>
      </w:r>
      <w:r w:rsid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6C2C7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C2C7D" w:rsidRPr="006C2C7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</w:t>
      </w:r>
      <w:r w:rsidR="006C2C7D" w:rsidRPr="006C2C7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6C2C7D" w:rsidRPr="006C2C7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C2C7D" w:rsidRPr="006C2C7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amphithrix</w:t>
      </w:r>
      <w:proofErr w:type="spellEnd"/>
      <w:r w:rsidR="006C2C7D" w:rsidRPr="006C2C7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Hale</w:t>
      </w:r>
      <w:r w:rsidR="006C2C7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DF62C6" w:rsidRPr="00DF62C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DF62C6"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</w:t>
      </w:r>
      <w:r w:rsidR="006C2C7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DF62C6"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DF62C6" w:rsidRPr="00DA1D5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gemmulosa</w:t>
      </w:r>
      <w:proofErr w:type="spellEnd"/>
      <w:r w:rsidR="00DF62C6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(</w:t>
      </w:r>
      <w:proofErr w:type="spellStart"/>
      <w:r w:rsidR="00DF62C6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Kurok</w:t>
      </w:r>
      <w:proofErr w:type="spellEnd"/>
      <w:r w:rsidR="00DF62C6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.) </w:t>
      </w:r>
      <w:proofErr w:type="spellStart"/>
      <w:r w:rsidR="00DF62C6"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Streimann</w:t>
      </w:r>
      <w:proofErr w:type="spellEnd"/>
      <w:r w:rsidRPr="00DA1D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were newly reported from Vietnam. </w:t>
      </w:r>
      <w:r w:rsidR="00DF62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In addition, </w:t>
      </w:r>
      <w:r w:rsidR="00DF62C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DA1D5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he illustration and key to genera </w:t>
      </w:r>
      <w:proofErr w:type="spellStart"/>
      <w:r w:rsidRPr="00DA1D53">
        <w:rPr>
          <w:rFonts w:ascii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Relicina</w:t>
      </w:r>
      <w:proofErr w:type="spellEnd"/>
      <w:r w:rsidRPr="00DA1D5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proofErr w:type="spellStart"/>
      <w:r w:rsidRPr="00DA1D53">
        <w:rPr>
          <w:rFonts w:ascii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Bulbothrix</w:t>
      </w:r>
      <w:proofErr w:type="spellEnd"/>
      <w:r w:rsidRPr="00DA1D5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in Vietnam were </w:t>
      </w:r>
      <w:r w:rsidR="00777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provided</w:t>
      </w:r>
      <w:r w:rsidRPr="00DA1D5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in this study.</w:t>
      </w:r>
    </w:p>
    <w:sectPr w:rsidR="00260A60" w:rsidRPr="00E33F95" w:rsidSect="00E3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C0216"/>
    <w:rsid w:val="000F146E"/>
    <w:rsid w:val="00200EAE"/>
    <w:rsid w:val="00215F6C"/>
    <w:rsid w:val="00226CB5"/>
    <w:rsid w:val="002416A1"/>
    <w:rsid w:val="00260A60"/>
    <w:rsid w:val="002F4395"/>
    <w:rsid w:val="0041562C"/>
    <w:rsid w:val="00495AA2"/>
    <w:rsid w:val="004E5461"/>
    <w:rsid w:val="005E219A"/>
    <w:rsid w:val="0062477E"/>
    <w:rsid w:val="006C2C7D"/>
    <w:rsid w:val="006C6BAE"/>
    <w:rsid w:val="007777FF"/>
    <w:rsid w:val="007D60E1"/>
    <w:rsid w:val="00894CF2"/>
    <w:rsid w:val="0097731B"/>
    <w:rsid w:val="00A93CB4"/>
    <w:rsid w:val="00B63FA9"/>
    <w:rsid w:val="00BD2764"/>
    <w:rsid w:val="00C7672E"/>
    <w:rsid w:val="00D22A2A"/>
    <w:rsid w:val="00D33B09"/>
    <w:rsid w:val="00DA1D53"/>
    <w:rsid w:val="00DF62C6"/>
    <w:rsid w:val="00E33F95"/>
    <w:rsid w:val="00E74D8F"/>
    <w:rsid w:val="00E7764D"/>
    <w:rsid w:val="00F44110"/>
    <w:rsid w:val="00FB4266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69E52BFF-3A56-4577-BD90-DD4D0FB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2A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liu dong</cp:lastModifiedBy>
  <cp:revision>11</cp:revision>
  <dcterms:created xsi:type="dcterms:W3CDTF">2020-01-21T19:12:00Z</dcterms:created>
  <dcterms:modified xsi:type="dcterms:W3CDTF">2020-01-31T02:17:00Z</dcterms:modified>
</cp:coreProperties>
</file>