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E4692" w14:textId="77777777" w:rsidR="001637AA" w:rsidRDefault="001637AA" w:rsidP="002652C1">
      <w:pPr>
        <w:spacing w:after="0" w:line="360" w:lineRule="auto"/>
        <w:ind w:firstLine="851"/>
        <w:jc w:val="both"/>
        <w:rPr>
          <w:rFonts w:ascii="Candara" w:eastAsia="Times New Roman" w:hAnsi="Candara" w:cs="Times New Roman"/>
          <w:sz w:val="36"/>
          <w:szCs w:val="36"/>
        </w:rPr>
      </w:pPr>
    </w:p>
    <w:p w14:paraId="4276180F" w14:textId="0DC3902A" w:rsidR="002652C1" w:rsidRDefault="00145028" w:rsidP="002652C1">
      <w:pPr>
        <w:spacing w:after="0" w:line="360" w:lineRule="auto"/>
        <w:ind w:firstLine="851"/>
        <w:jc w:val="both"/>
        <w:rPr>
          <w:rFonts w:ascii="Candara" w:eastAsia="Candara" w:hAnsi="Candara" w:cs="Candara"/>
          <w:sz w:val="36"/>
          <w:szCs w:val="36"/>
        </w:rPr>
      </w:pPr>
      <w:r w:rsidRPr="00145028">
        <w:rPr>
          <w:rFonts w:ascii="Candara" w:eastAsia="Times New Roman" w:hAnsi="Candara" w:cs="Times New Roman"/>
          <w:sz w:val="36"/>
          <w:szCs w:val="36"/>
        </w:rPr>
        <w:t>Análise da Sustentabilidade dos Municípios Turísticos do Estado de Mato Grosso do Sul: Fase Colher</w:t>
      </w:r>
      <w:r w:rsidR="002652C1">
        <w:rPr>
          <w:rFonts w:ascii="Candara" w:eastAsia="Candara" w:hAnsi="Candara" w:cs="Candara"/>
          <w:sz w:val="36"/>
          <w:szCs w:val="36"/>
        </w:rPr>
        <w:t xml:space="preserve">  </w:t>
      </w:r>
    </w:p>
    <w:p w14:paraId="4785D57C" w14:textId="0A0F809B" w:rsidR="005B483D" w:rsidRDefault="00145028">
      <w:pPr>
        <w:spacing w:after="0" w:line="240" w:lineRule="auto"/>
        <w:ind w:left="175" w:right="37"/>
        <w:jc w:val="right"/>
        <w:rPr>
          <w:rFonts w:ascii="Candara" w:eastAsia="Candara" w:hAnsi="Candara" w:cs="Candara"/>
          <w:b/>
        </w:rPr>
      </w:pPr>
      <w:proofErr w:type="spellStart"/>
      <w:r>
        <w:rPr>
          <w:rFonts w:ascii="Candara" w:eastAsia="Candara" w:hAnsi="Candara" w:cs="Candara"/>
          <w:b/>
        </w:rPr>
        <w:t>Jorceli</w:t>
      </w:r>
      <w:proofErr w:type="spellEnd"/>
      <w:r>
        <w:rPr>
          <w:rFonts w:ascii="Candara" w:eastAsia="Candara" w:hAnsi="Candara" w:cs="Candara"/>
          <w:b/>
        </w:rPr>
        <w:t xml:space="preserve"> de Barros Chaparro</w:t>
      </w:r>
      <w:r w:rsidR="00CE7EE5">
        <w:rPr>
          <w:rFonts w:ascii="Candara" w:eastAsia="Candara" w:hAnsi="Candara" w:cs="Candara"/>
          <w:b/>
          <w:vertAlign w:val="superscript"/>
        </w:rPr>
        <w:footnoteReference w:id="1"/>
      </w:r>
    </w:p>
    <w:p w14:paraId="745BCE4F" w14:textId="52765BDC" w:rsidR="005B483D" w:rsidRDefault="00145028">
      <w:pPr>
        <w:spacing w:after="0" w:line="240" w:lineRule="auto"/>
        <w:ind w:left="175" w:right="37"/>
        <w:jc w:val="right"/>
        <w:rPr>
          <w:rFonts w:ascii="Candara" w:eastAsia="Candara" w:hAnsi="Candara" w:cs="Candara"/>
          <w:b/>
        </w:rPr>
      </w:pPr>
      <w:r>
        <w:rPr>
          <w:rFonts w:ascii="Candara" w:eastAsia="Candara" w:hAnsi="Candara" w:cs="Candara"/>
          <w:b/>
        </w:rPr>
        <w:t>Sandra Mara Pereira D’Arisbo</w:t>
      </w:r>
      <w:r w:rsidR="00CE7EE5">
        <w:rPr>
          <w:rFonts w:ascii="Candara" w:eastAsia="Candara" w:hAnsi="Candara" w:cs="Candara"/>
          <w:b/>
          <w:vertAlign w:val="superscript"/>
        </w:rPr>
        <w:footnoteReference w:id="2"/>
      </w:r>
    </w:p>
    <w:p w14:paraId="0106ABDB" w14:textId="57C0E2D9" w:rsidR="005B483D" w:rsidRDefault="00145028">
      <w:pPr>
        <w:spacing w:after="0" w:line="240" w:lineRule="auto"/>
        <w:ind w:left="175" w:right="37"/>
        <w:jc w:val="right"/>
        <w:rPr>
          <w:rFonts w:ascii="Candara" w:eastAsia="Candara" w:hAnsi="Candara" w:cs="Candara"/>
          <w:b/>
        </w:rPr>
      </w:pPr>
      <w:r>
        <w:rPr>
          <w:rFonts w:ascii="Candara" w:eastAsia="Candara" w:hAnsi="Candara" w:cs="Candara"/>
          <w:b/>
        </w:rPr>
        <w:t xml:space="preserve">Moacir </w:t>
      </w:r>
      <w:proofErr w:type="spellStart"/>
      <w:r>
        <w:rPr>
          <w:rFonts w:ascii="Candara" w:eastAsia="Candara" w:hAnsi="Candara" w:cs="Candara"/>
          <w:b/>
        </w:rPr>
        <w:t>Piffer</w:t>
      </w:r>
      <w:proofErr w:type="spellEnd"/>
      <w:r>
        <w:rPr>
          <w:rStyle w:val="Refdenotaderodap"/>
          <w:rFonts w:ascii="Candara" w:eastAsia="Candara" w:hAnsi="Candara" w:cs="Candara"/>
          <w:b/>
        </w:rPr>
        <w:footnoteReference w:id="3"/>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66A77F72" w14:textId="77777777" w:rsidR="004E35A9" w:rsidRPr="004E35A9" w:rsidRDefault="004E35A9" w:rsidP="004E35A9">
      <w:pPr>
        <w:autoSpaceDE w:val="0"/>
        <w:autoSpaceDN w:val="0"/>
        <w:adjustRightInd w:val="0"/>
        <w:spacing w:after="0" w:line="240" w:lineRule="auto"/>
        <w:jc w:val="both"/>
        <w:rPr>
          <w:rFonts w:ascii="Candara" w:hAnsi="Candara" w:cs="Times New Roman"/>
        </w:rPr>
      </w:pPr>
      <w:r w:rsidRPr="004E35A9">
        <w:rPr>
          <w:rFonts w:ascii="Candara" w:eastAsia="Times New Roman" w:hAnsi="Candara" w:cs="Times New Roman"/>
          <w:spacing w:val="-4"/>
        </w:rPr>
        <w:t xml:space="preserve">A sustentabilidade tem o seu pilar fundamental na busca da relação harmoniosa entre o homem e o meio ambiente. Nessa ótica, é importante a interrelação dos aspectos que os envolvem: ambiental, social e econômico. Com isso, surgiram formas de mensurar essa relação, como por exemplo os indicadores de sustentabilidade. Uma dessas ferramentas é o Barômetro da Sustentabilidade (BS), criado por </w:t>
      </w:r>
      <w:r w:rsidRPr="004E35A9">
        <w:rPr>
          <w:rFonts w:ascii="Candara" w:hAnsi="Candara" w:cs="Times New Roman"/>
        </w:rPr>
        <w:t>Robert Prescott-Allen</w:t>
      </w:r>
      <w:r w:rsidRPr="004E35A9">
        <w:rPr>
          <w:rFonts w:ascii="Candara" w:eastAsia="Times New Roman" w:hAnsi="Candara" w:cs="Times New Roman"/>
          <w:spacing w:val="-4"/>
        </w:rPr>
        <w:t xml:space="preserve">. Sendo assim, o objetivo deste artigo consiste em </w:t>
      </w:r>
      <w:r w:rsidRPr="004E35A9">
        <w:rPr>
          <w:rFonts w:ascii="Candara" w:hAnsi="Candara" w:cs="Times New Roman"/>
          <w:spacing w:val="-4"/>
        </w:rPr>
        <w:t xml:space="preserve">identificar como estão os municípios do estágio Colher (Aquidauana, Bodoquena, Bonito, Campo Grande, Corumbá, Costa Rica, Dourados e Jardim), no aspecto da sustentabilidade, a partir da análise realizada pelo Barômetro da Sustentabilidade (BS). Para atender o objetivo proposto, utilizou-se de uma abordagem quantitativa e qualitativa, com sua característica descritiva e exploratória. </w:t>
      </w:r>
      <w:r w:rsidRPr="004E35A9">
        <w:rPr>
          <w:rFonts w:ascii="Candara" w:hAnsi="Candara" w:cs="Times New Roman"/>
        </w:rPr>
        <w:t xml:space="preserve">Os resultados obtidos apontaram que </w:t>
      </w:r>
      <w:r w:rsidRPr="004E35A9">
        <w:rPr>
          <w:rFonts w:ascii="Candara" w:eastAsia="Times New Roman" w:hAnsi="Candara" w:cs="Times New Roman"/>
        </w:rPr>
        <w:t>Campo Grande é o município que se destaca, posicionando-se na faixa “Adequada” (</w:t>
      </w:r>
      <w:r w:rsidRPr="004E35A9">
        <w:rPr>
          <w:rFonts w:ascii="Candara" w:hAnsi="Candara" w:cs="Times New Roman"/>
        </w:rPr>
        <w:t xml:space="preserve">aceitável.) do BS, enquanto Corumbá </w:t>
      </w:r>
      <w:r w:rsidRPr="004E35A9">
        <w:rPr>
          <w:rFonts w:ascii="Candara" w:eastAsia="Times New Roman" w:hAnsi="Candara" w:cs="Times New Roman"/>
        </w:rPr>
        <w:t>apresenta uma situação desafiadora, com indicadores baixos.</w:t>
      </w:r>
    </w:p>
    <w:p w14:paraId="23249AC7" w14:textId="77777777" w:rsidR="005B483D" w:rsidRPr="004E35A9" w:rsidRDefault="005B483D">
      <w:pPr>
        <w:pBdr>
          <w:top w:val="nil"/>
          <w:left w:val="nil"/>
          <w:bottom w:val="nil"/>
          <w:right w:val="nil"/>
          <w:between w:val="nil"/>
        </w:pBdr>
        <w:spacing w:after="0" w:line="240" w:lineRule="auto"/>
        <w:jc w:val="both"/>
        <w:rPr>
          <w:rFonts w:ascii="Candara" w:eastAsia="Candara" w:hAnsi="Candara" w:cs="Candara"/>
          <w:color w:val="000000"/>
        </w:rPr>
      </w:pPr>
    </w:p>
    <w:p w14:paraId="4E527F69" w14:textId="3EA09591" w:rsidR="005B483D" w:rsidRPr="004E35A9" w:rsidRDefault="00CE7EE5">
      <w:pPr>
        <w:tabs>
          <w:tab w:val="left" w:pos="2385"/>
        </w:tabs>
        <w:spacing w:after="0" w:line="240" w:lineRule="auto"/>
        <w:jc w:val="both"/>
        <w:rPr>
          <w:rFonts w:ascii="Candara" w:eastAsia="Candara" w:hAnsi="Candara" w:cs="Candara"/>
        </w:rPr>
      </w:pPr>
      <w:r w:rsidRPr="004E35A9">
        <w:rPr>
          <w:rFonts w:ascii="Candara" w:eastAsia="Candara" w:hAnsi="Candara" w:cs="Candara"/>
          <w:b/>
        </w:rPr>
        <w:t>Palavras-chave:</w:t>
      </w:r>
      <w:r w:rsidRPr="004E35A9">
        <w:rPr>
          <w:rFonts w:ascii="Candara" w:eastAsia="Candara" w:hAnsi="Candara" w:cs="Candara"/>
        </w:rPr>
        <w:t xml:space="preserve"> </w:t>
      </w:r>
      <w:r w:rsidR="004E35A9" w:rsidRPr="004E35A9">
        <w:rPr>
          <w:rFonts w:ascii="Candara" w:eastAsia="Times New Roman" w:hAnsi="Candara" w:cs="Times New Roman"/>
        </w:rPr>
        <w:t>destino turístico; sustentabilidade; barômetro da sustentabilidade (BS); Mato Grosso do Sul; Brasil</w:t>
      </w:r>
      <w:r w:rsidRPr="004E35A9">
        <w:rPr>
          <w:rFonts w:ascii="Candara" w:eastAsia="Candara" w:hAnsi="Candara" w:cs="Candara"/>
        </w:rPr>
        <w:t xml:space="preserve">. </w:t>
      </w:r>
    </w:p>
    <w:p w14:paraId="4DEEC50C" w14:textId="77777777" w:rsidR="005B483D" w:rsidRDefault="005B483D">
      <w:pPr>
        <w:spacing w:after="120" w:line="360" w:lineRule="auto"/>
        <w:jc w:val="both"/>
        <w:rPr>
          <w:rFonts w:ascii="Candara" w:eastAsia="Candara" w:hAnsi="Candara" w:cs="Candara"/>
          <w:sz w:val="24"/>
          <w:szCs w:val="24"/>
        </w:rPr>
      </w:pPr>
    </w:p>
    <w:p w14:paraId="0F226F22" w14:textId="0670BC8D" w:rsidR="005B483D" w:rsidRPr="004E35A9" w:rsidRDefault="004E35A9">
      <w:pPr>
        <w:spacing w:after="0" w:line="240" w:lineRule="auto"/>
        <w:ind w:firstLine="851"/>
        <w:jc w:val="both"/>
        <w:rPr>
          <w:rFonts w:ascii="Candara" w:eastAsia="Candara" w:hAnsi="Candara" w:cs="Candara"/>
          <w:sz w:val="36"/>
          <w:szCs w:val="36"/>
        </w:rPr>
      </w:pPr>
      <w:r w:rsidRPr="004E35A9">
        <w:rPr>
          <w:rStyle w:val="rynqvb"/>
          <w:rFonts w:ascii="Candara" w:hAnsi="Candara" w:cs="Times New Roman"/>
          <w:sz w:val="36"/>
          <w:szCs w:val="36"/>
          <w:lang w:val="en"/>
        </w:rPr>
        <w:lastRenderedPageBreak/>
        <w:t>Sustainability Analysis of Tourist Municipalities in the State of Mato Grosso do Sul: "</w:t>
      </w:r>
      <w:proofErr w:type="spellStart"/>
      <w:r w:rsidRPr="004E35A9">
        <w:rPr>
          <w:rStyle w:val="rynqvb"/>
          <w:rFonts w:ascii="Candara" w:hAnsi="Candara" w:cs="Times New Roman"/>
          <w:sz w:val="36"/>
          <w:szCs w:val="36"/>
          <w:lang w:val="en"/>
        </w:rPr>
        <w:t>Colher</w:t>
      </w:r>
      <w:proofErr w:type="spellEnd"/>
      <w:r w:rsidRPr="004E35A9">
        <w:rPr>
          <w:rStyle w:val="rynqvb"/>
          <w:rFonts w:ascii="Candara" w:hAnsi="Candara" w:cs="Times New Roman"/>
          <w:sz w:val="36"/>
          <w:szCs w:val="36"/>
          <w:lang w:val="en"/>
        </w:rPr>
        <w:t>" Phase</w:t>
      </w:r>
    </w:p>
    <w:p w14:paraId="370E292B" w14:textId="77777777" w:rsidR="005B483D" w:rsidRDefault="005B483D" w:rsidP="002859DB">
      <w:pPr>
        <w:spacing w:after="0" w:line="240" w:lineRule="auto"/>
        <w:jc w:val="both"/>
        <w:rPr>
          <w:rFonts w:ascii="Candara" w:eastAsia="Candara" w:hAnsi="Candara" w:cs="Candara"/>
          <w:b/>
        </w:rPr>
      </w:pPr>
    </w:p>
    <w:p w14:paraId="13AB6338" w14:textId="77777777" w:rsidR="002859DB" w:rsidRDefault="002859DB" w:rsidP="002859DB">
      <w:pPr>
        <w:spacing w:after="0" w:line="240" w:lineRule="auto"/>
        <w:jc w:val="both"/>
        <w:rPr>
          <w:rFonts w:ascii="Candara" w:eastAsia="Candara" w:hAnsi="Candara" w:cs="Candara"/>
          <w:b/>
        </w:rPr>
      </w:pPr>
    </w:p>
    <w:p w14:paraId="354E2AD7" w14:textId="77777777"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12CE5A3E" w14:textId="77777777" w:rsidR="005B483D" w:rsidRDefault="005B483D">
      <w:pPr>
        <w:spacing w:after="0" w:line="240" w:lineRule="auto"/>
        <w:jc w:val="both"/>
        <w:rPr>
          <w:rFonts w:ascii="Candara" w:eastAsia="Candara" w:hAnsi="Candara" w:cs="Candara"/>
          <w:color w:val="202124"/>
        </w:rPr>
      </w:pPr>
    </w:p>
    <w:p w14:paraId="1168B1BA" w14:textId="7D99BE75" w:rsidR="005B483D" w:rsidRPr="007E2F9B" w:rsidRDefault="004E35A9">
      <w:pPr>
        <w:spacing w:after="0" w:line="240" w:lineRule="auto"/>
        <w:jc w:val="both"/>
        <w:rPr>
          <w:rFonts w:ascii="Candara" w:eastAsia="Candara" w:hAnsi="Candara" w:cs="Candara"/>
          <w:lang w:val="en"/>
        </w:rPr>
      </w:pPr>
      <w:r w:rsidRPr="004E35A9">
        <w:rPr>
          <w:rStyle w:val="rynqvb"/>
          <w:rFonts w:ascii="Candara" w:hAnsi="Candara" w:cs="Times New Roman"/>
          <w:lang w:val="en"/>
        </w:rPr>
        <w:t>Sustainability has its fundamental pillar in the search for a harmonious relationship between man and the environment.</w:t>
      </w:r>
      <w:r w:rsidRPr="004E35A9">
        <w:rPr>
          <w:rStyle w:val="hwtze"/>
          <w:rFonts w:ascii="Candara" w:hAnsi="Candara" w:cs="Times New Roman"/>
          <w:lang w:val="en"/>
        </w:rPr>
        <w:t xml:space="preserve"> </w:t>
      </w:r>
      <w:r w:rsidRPr="004E35A9">
        <w:rPr>
          <w:rStyle w:val="rynqvb"/>
          <w:rFonts w:ascii="Candara" w:hAnsi="Candara" w:cs="Times New Roman"/>
          <w:lang w:val="en"/>
        </w:rPr>
        <w:t>From this perspective, the interrelationship of the aspects that involve them is important: environmental, social and economic.</w:t>
      </w:r>
      <w:r w:rsidRPr="004E35A9">
        <w:rPr>
          <w:rStyle w:val="hwtze"/>
          <w:rFonts w:ascii="Candara" w:hAnsi="Candara" w:cs="Times New Roman"/>
          <w:lang w:val="en"/>
        </w:rPr>
        <w:t xml:space="preserve"> </w:t>
      </w:r>
      <w:r w:rsidRPr="004E35A9">
        <w:rPr>
          <w:rStyle w:val="rynqvb"/>
          <w:rFonts w:ascii="Candara" w:hAnsi="Candara" w:cs="Times New Roman"/>
          <w:lang w:val="en"/>
        </w:rPr>
        <w:t>As a result, ways of measuring this relationship have emerged, such as sustainability indicators.</w:t>
      </w:r>
      <w:r w:rsidRPr="004E35A9">
        <w:rPr>
          <w:rStyle w:val="hwtze"/>
          <w:rFonts w:ascii="Candara" w:hAnsi="Candara" w:cs="Times New Roman"/>
          <w:lang w:val="en"/>
        </w:rPr>
        <w:t xml:space="preserve"> </w:t>
      </w:r>
      <w:r w:rsidRPr="004E35A9">
        <w:rPr>
          <w:rStyle w:val="rynqvb"/>
          <w:rFonts w:ascii="Candara" w:hAnsi="Candara" w:cs="Times New Roman"/>
          <w:lang w:val="en"/>
        </w:rPr>
        <w:t>One such tool is the Sustainability Barometer (BS), created by Robert Prescott-Allen.</w:t>
      </w:r>
      <w:r w:rsidRPr="004E35A9">
        <w:rPr>
          <w:rStyle w:val="hwtze"/>
          <w:rFonts w:ascii="Candara" w:hAnsi="Candara" w:cs="Times New Roman"/>
          <w:lang w:val="en"/>
        </w:rPr>
        <w:t xml:space="preserve"> </w:t>
      </w:r>
      <w:r w:rsidRPr="004E35A9">
        <w:rPr>
          <w:rStyle w:val="rynqvb"/>
          <w:rFonts w:ascii="Candara" w:hAnsi="Candara" w:cs="Times New Roman"/>
          <w:lang w:val="en"/>
        </w:rPr>
        <w:t xml:space="preserve">Therefore, the objective of this article is to identify how the municipalities in the </w:t>
      </w:r>
      <w:proofErr w:type="spellStart"/>
      <w:r w:rsidRPr="004E35A9">
        <w:rPr>
          <w:rStyle w:val="rynqvb"/>
          <w:rFonts w:ascii="Candara" w:hAnsi="Candara" w:cs="Times New Roman"/>
          <w:lang w:val="en"/>
        </w:rPr>
        <w:t>Colher</w:t>
      </w:r>
      <w:proofErr w:type="spellEnd"/>
      <w:r w:rsidRPr="004E35A9">
        <w:rPr>
          <w:rStyle w:val="rynqvb"/>
          <w:rFonts w:ascii="Candara" w:hAnsi="Candara" w:cs="Times New Roman"/>
          <w:lang w:val="en"/>
        </w:rPr>
        <w:t xml:space="preserve"> stage (</w:t>
      </w:r>
      <w:proofErr w:type="spellStart"/>
      <w:r w:rsidRPr="004E35A9">
        <w:rPr>
          <w:rStyle w:val="rynqvb"/>
          <w:rFonts w:ascii="Candara" w:hAnsi="Candara" w:cs="Times New Roman"/>
          <w:lang w:val="en"/>
        </w:rPr>
        <w:t>Aquidauana</w:t>
      </w:r>
      <w:proofErr w:type="spellEnd"/>
      <w:r w:rsidRPr="004E35A9">
        <w:rPr>
          <w:rStyle w:val="rynqvb"/>
          <w:rFonts w:ascii="Candara" w:hAnsi="Candara" w:cs="Times New Roman"/>
          <w:lang w:val="en"/>
        </w:rPr>
        <w:t xml:space="preserve">, </w:t>
      </w:r>
      <w:proofErr w:type="spellStart"/>
      <w:r w:rsidRPr="004E35A9">
        <w:rPr>
          <w:rStyle w:val="rynqvb"/>
          <w:rFonts w:ascii="Candara" w:hAnsi="Candara" w:cs="Times New Roman"/>
          <w:lang w:val="en"/>
        </w:rPr>
        <w:t>Bodoquena</w:t>
      </w:r>
      <w:proofErr w:type="spellEnd"/>
      <w:r w:rsidRPr="004E35A9">
        <w:rPr>
          <w:rStyle w:val="rynqvb"/>
          <w:rFonts w:ascii="Candara" w:hAnsi="Candara" w:cs="Times New Roman"/>
          <w:lang w:val="en"/>
        </w:rPr>
        <w:t xml:space="preserve">, Bonito, Campo Grande, Corumbá, Costa Rica, </w:t>
      </w:r>
      <w:proofErr w:type="spellStart"/>
      <w:r w:rsidRPr="004E35A9">
        <w:rPr>
          <w:rStyle w:val="rynqvb"/>
          <w:rFonts w:ascii="Candara" w:hAnsi="Candara" w:cs="Times New Roman"/>
          <w:lang w:val="en"/>
        </w:rPr>
        <w:t>Dourados</w:t>
      </w:r>
      <w:proofErr w:type="spellEnd"/>
      <w:r w:rsidRPr="004E35A9">
        <w:rPr>
          <w:rStyle w:val="rynqvb"/>
          <w:rFonts w:ascii="Candara" w:hAnsi="Candara" w:cs="Times New Roman"/>
          <w:lang w:val="en"/>
        </w:rPr>
        <w:t xml:space="preserve"> and Jardim) are doing in terms of sustainability, based on the analysis carried out by the Barometer of</w:t>
      </w:r>
      <w:r w:rsidRPr="004E35A9">
        <w:rPr>
          <w:rStyle w:val="hwtze"/>
          <w:rFonts w:ascii="Candara" w:hAnsi="Candara" w:cs="Times New Roman"/>
          <w:lang w:val="en"/>
        </w:rPr>
        <w:t xml:space="preserve"> </w:t>
      </w:r>
      <w:r w:rsidRPr="004E35A9">
        <w:rPr>
          <w:rStyle w:val="rynqvb"/>
          <w:rFonts w:ascii="Candara" w:hAnsi="Candara" w:cs="Times New Roman"/>
          <w:lang w:val="en"/>
        </w:rPr>
        <w:t>Sustainability (BS).</w:t>
      </w:r>
      <w:r w:rsidRPr="004E35A9">
        <w:rPr>
          <w:rStyle w:val="hwtze"/>
          <w:rFonts w:ascii="Candara" w:hAnsi="Candara" w:cs="Times New Roman"/>
          <w:lang w:val="en"/>
        </w:rPr>
        <w:t xml:space="preserve"> </w:t>
      </w:r>
      <w:proofErr w:type="gramStart"/>
      <w:r w:rsidRPr="004E35A9">
        <w:rPr>
          <w:rStyle w:val="rynqvb"/>
          <w:rFonts w:ascii="Candara" w:hAnsi="Candara" w:cs="Times New Roman"/>
          <w:lang w:val="en"/>
        </w:rPr>
        <w:t>In order to</w:t>
      </w:r>
      <w:proofErr w:type="gramEnd"/>
      <w:r w:rsidRPr="004E35A9">
        <w:rPr>
          <w:rStyle w:val="rynqvb"/>
          <w:rFonts w:ascii="Candara" w:hAnsi="Candara" w:cs="Times New Roman"/>
          <w:lang w:val="en"/>
        </w:rPr>
        <w:t xml:space="preserve"> meet the proposed objective, a quantitative and qualitative approach was used, with its descriptive and exploratory characteristics.</w:t>
      </w:r>
      <w:r w:rsidRPr="004E35A9">
        <w:rPr>
          <w:rStyle w:val="hwtze"/>
          <w:rFonts w:ascii="Candara" w:hAnsi="Candara" w:cs="Times New Roman"/>
          <w:lang w:val="en"/>
        </w:rPr>
        <w:t xml:space="preserve"> </w:t>
      </w:r>
      <w:r w:rsidRPr="004E35A9">
        <w:rPr>
          <w:rStyle w:val="rynqvb"/>
          <w:rFonts w:ascii="Candara" w:hAnsi="Candara" w:cs="Times New Roman"/>
          <w:lang w:val="en"/>
        </w:rPr>
        <w:t>The results obtained indicated that Campo Grande is the municipality that stands out, positioning itself in the “Adequate” (acceptable) range of the BS, while Corumbá presents a challenging situation, with low indicators</w:t>
      </w:r>
      <w:r w:rsidR="00CE7EE5" w:rsidRPr="007E2F9B">
        <w:rPr>
          <w:rFonts w:ascii="Candara" w:eastAsia="Candara" w:hAnsi="Candara" w:cs="Candara"/>
          <w:lang w:val="en"/>
        </w:rPr>
        <w:t>.</w:t>
      </w:r>
    </w:p>
    <w:p w14:paraId="7876DEB2" w14:textId="77777777" w:rsidR="005B483D" w:rsidRPr="007E2F9B" w:rsidRDefault="005B483D">
      <w:pPr>
        <w:jc w:val="both"/>
        <w:rPr>
          <w:rFonts w:ascii="Candara" w:eastAsia="Candara" w:hAnsi="Candara" w:cs="Candara"/>
          <w:color w:val="202124"/>
          <w:lang w:val="en"/>
        </w:rPr>
      </w:pPr>
    </w:p>
    <w:p w14:paraId="034A405D" w14:textId="3B59516F" w:rsidR="005B483D" w:rsidRDefault="00CE7EE5">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w:t>
      </w:r>
      <w:r w:rsidR="004E35A9" w:rsidRPr="004E35A9">
        <w:rPr>
          <w:rStyle w:val="rynqvb"/>
          <w:rFonts w:ascii="Candara" w:hAnsi="Candara" w:cs="Times New Roman"/>
          <w:lang w:val="en"/>
        </w:rPr>
        <w:t>tourist destination;</w:t>
      </w:r>
      <w:r w:rsidR="004E35A9" w:rsidRPr="004E35A9">
        <w:rPr>
          <w:rStyle w:val="hwtze"/>
          <w:rFonts w:ascii="Candara" w:hAnsi="Candara" w:cs="Times New Roman"/>
          <w:lang w:val="en"/>
        </w:rPr>
        <w:t xml:space="preserve"> </w:t>
      </w:r>
      <w:r w:rsidR="004E35A9" w:rsidRPr="004E35A9">
        <w:rPr>
          <w:rStyle w:val="rynqvb"/>
          <w:rFonts w:ascii="Candara" w:hAnsi="Candara" w:cs="Times New Roman"/>
          <w:lang w:val="en"/>
        </w:rPr>
        <w:t>sustainability;</w:t>
      </w:r>
      <w:r w:rsidR="004E35A9" w:rsidRPr="004E35A9">
        <w:rPr>
          <w:rStyle w:val="hwtze"/>
          <w:rFonts w:ascii="Candara" w:hAnsi="Candara" w:cs="Times New Roman"/>
          <w:lang w:val="en"/>
        </w:rPr>
        <w:t xml:space="preserve"> </w:t>
      </w:r>
      <w:r w:rsidR="004E35A9" w:rsidRPr="004E35A9">
        <w:rPr>
          <w:rStyle w:val="rynqvb"/>
          <w:rFonts w:ascii="Candara" w:hAnsi="Candara" w:cs="Times New Roman"/>
          <w:lang w:val="en"/>
        </w:rPr>
        <w:t xml:space="preserve">sustainability barometer (BS); Mato Grosso do Sul; </w:t>
      </w:r>
      <w:proofErr w:type="spellStart"/>
      <w:r w:rsidR="004E35A9" w:rsidRPr="004E35A9">
        <w:rPr>
          <w:rStyle w:val="rynqvb"/>
          <w:rFonts w:ascii="Candara" w:hAnsi="Candara" w:cs="Times New Roman"/>
          <w:lang w:val="en"/>
        </w:rPr>
        <w:t>Brasil</w:t>
      </w:r>
      <w:proofErr w:type="spellEnd"/>
      <w:r w:rsidR="004E35A9" w:rsidRPr="004E35A9">
        <w:rPr>
          <w:rStyle w:val="rynqvb"/>
          <w:rFonts w:ascii="Candara" w:hAnsi="Candara" w:cs="Times New Roman"/>
          <w:lang w:val="en"/>
        </w:rPr>
        <w:t>.</w:t>
      </w:r>
      <w:r w:rsidR="004E35A9">
        <w:rPr>
          <w:rStyle w:val="rynqvb"/>
          <w:rFonts w:ascii="Times New Roman" w:hAnsi="Times New Roman" w:cs="Times New Roman"/>
          <w:sz w:val="24"/>
          <w:szCs w:val="24"/>
          <w:lang w:val="en"/>
        </w:rPr>
        <w:t xml:space="preserve"> </w:t>
      </w:r>
    </w:p>
    <w:p w14:paraId="0E0F5831" w14:textId="77777777" w:rsidR="005B483D" w:rsidRPr="001637AA" w:rsidRDefault="005B483D">
      <w:pPr>
        <w:jc w:val="both"/>
        <w:rPr>
          <w:rFonts w:ascii="Candara" w:eastAsia="Candara" w:hAnsi="Candara" w:cs="Candara"/>
          <w:color w:val="FF6600"/>
          <w:sz w:val="24"/>
          <w:szCs w:val="24"/>
        </w:rPr>
      </w:pPr>
    </w:p>
    <w:p w14:paraId="7DB6FEDA" w14:textId="6405650F" w:rsidR="005B483D" w:rsidRDefault="00CE7EE5">
      <w:pPr>
        <w:spacing w:after="120" w:line="360" w:lineRule="auto"/>
        <w:ind w:firstLine="851"/>
        <w:jc w:val="both"/>
        <w:rPr>
          <w:rFonts w:ascii="Candara" w:eastAsia="Candara" w:hAnsi="Candara" w:cs="Candara"/>
          <w:sz w:val="28"/>
          <w:szCs w:val="28"/>
        </w:rPr>
      </w:pPr>
      <w:r>
        <w:rPr>
          <w:rFonts w:ascii="Candara" w:eastAsia="Candara" w:hAnsi="Candara" w:cs="Candara"/>
          <w:color w:val="000000"/>
          <w:sz w:val="28"/>
          <w:szCs w:val="28"/>
        </w:rPr>
        <w:t xml:space="preserve">1 </w:t>
      </w:r>
      <w:r w:rsidR="004E35A9">
        <w:rPr>
          <w:rFonts w:ascii="Candara" w:eastAsia="Candara" w:hAnsi="Candara" w:cs="Candara"/>
          <w:color w:val="000000"/>
          <w:sz w:val="28"/>
          <w:szCs w:val="28"/>
        </w:rPr>
        <w:t>Introdução</w:t>
      </w:r>
    </w:p>
    <w:p w14:paraId="4A678AD4" w14:textId="784A9948" w:rsidR="004E35A9" w:rsidRPr="004E35A9" w:rsidRDefault="004E35A9" w:rsidP="004E35A9">
      <w:pPr>
        <w:spacing w:after="0" w:line="360" w:lineRule="auto"/>
        <w:ind w:firstLine="850"/>
        <w:jc w:val="both"/>
        <w:rPr>
          <w:rFonts w:ascii="Candara" w:hAnsi="Candara" w:cs="Times New Roman"/>
          <w:color w:val="FF0000"/>
          <w:spacing w:val="-4"/>
          <w:sz w:val="24"/>
          <w:szCs w:val="24"/>
        </w:rPr>
      </w:pPr>
      <w:r w:rsidRPr="004E35A9">
        <w:rPr>
          <w:rFonts w:ascii="Candara" w:hAnsi="Candara" w:cs="Times New Roman"/>
          <w:spacing w:val="-4"/>
          <w:sz w:val="24"/>
          <w:szCs w:val="24"/>
        </w:rPr>
        <w:t>É na mudança ocorrida ao longo de um processo de revisão da relação entre homem e seu meio natural que emerge o conceito de desenvolvimento sustentável. Mas há um entendimento do termo sustentável como amparo as concepções de sustentabilidade e desenvolvimento sustentável, com a preocupação do uso consciente dos recursos existentes no presente para que gerações futuras possam ter continuidade no usufruto desses recursos naturais</w:t>
      </w:r>
      <w:r w:rsidR="00C701A8">
        <w:rPr>
          <w:rFonts w:ascii="Candara" w:hAnsi="Candara" w:cs="Times New Roman"/>
          <w:spacing w:val="-4"/>
          <w:sz w:val="24"/>
          <w:szCs w:val="24"/>
        </w:rPr>
        <w:t>, s</w:t>
      </w:r>
      <w:r w:rsidR="00C701A8" w:rsidRPr="004E35A9">
        <w:rPr>
          <w:rFonts w:ascii="Candara" w:eastAsia="Times New Roman" w:hAnsi="Candara" w:cs="Times New Roman"/>
          <w:spacing w:val="-4"/>
          <w:sz w:val="24"/>
          <w:szCs w:val="24"/>
        </w:rPr>
        <w:t xml:space="preserve">ubstanciadas da premissa da definição de desenvolvimento sustentável já citado no Relatório </w:t>
      </w:r>
      <w:proofErr w:type="spellStart"/>
      <w:r w:rsidR="00C701A8" w:rsidRPr="004E35A9">
        <w:rPr>
          <w:rFonts w:ascii="Candara" w:eastAsia="Times New Roman" w:hAnsi="Candara" w:cs="Times New Roman"/>
          <w:spacing w:val="-4"/>
          <w:sz w:val="24"/>
          <w:szCs w:val="24"/>
        </w:rPr>
        <w:t>Brundtland</w:t>
      </w:r>
      <w:proofErr w:type="spellEnd"/>
      <w:r w:rsidR="00C701A8" w:rsidRPr="004E35A9">
        <w:rPr>
          <w:rFonts w:ascii="Candara" w:eastAsia="Times New Roman" w:hAnsi="Candara" w:cs="Times New Roman"/>
          <w:spacing w:val="-4"/>
          <w:sz w:val="24"/>
          <w:szCs w:val="24"/>
        </w:rPr>
        <w:t xml:space="preserve"> – Nosso Futuro Comum </w:t>
      </w:r>
      <w:r w:rsidR="00C701A8" w:rsidRPr="004E35A9">
        <w:rPr>
          <w:rFonts w:ascii="Candara" w:eastAsia="Times New Roman" w:hAnsi="Candara" w:cs="Times New Roman"/>
          <w:spacing w:val="-4"/>
          <w:sz w:val="24"/>
          <w:szCs w:val="24"/>
        </w:rPr>
        <w:lastRenderedPageBreak/>
        <w:t>de 1987</w:t>
      </w:r>
      <w:r w:rsidRPr="004E35A9">
        <w:rPr>
          <w:rFonts w:ascii="Candara" w:hAnsi="Candara" w:cs="Times New Roman"/>
          <w:spacing w:val="-4"/>
          <w:sz w:val="24"/>
          <w:szCs w:val="24"/>
        </w:rPr>
        <w:t xml:space="preserve"> (</w:t>
      </w:r>
      <w:proofErr w:type="spellStart"/>
      <w:r w:rsidRPr="004E35A9">
        <w:rPr>
          <w:rFonts w:ascii="Candara" w:hAnsi="Candara" w:cs="Times New Roman"/>
          <w:spacing w:val="-4"/>
          <w:sz w:val="24"/>
          <w:szCs w:val="24"/>
        </w:rPr>
        <w:t>B</w:t>
      </w:r>
      <w:r>
        <w:rPr>
          <w:rFonts w:ascii="Candara" w:hAnsi="Candara" w:cs="Times New Roman"/>
          <w:spacing w:val="-4"/>
          <w:sz w:val="24"/>
          <w:szCs w:val="24"/>
        </w:rPr>
        <w:t>ellen</w:t>
      </w:r>
      <w:proofErr w:type="spellEnd"/>
      <w:r w:rsidRPr="004E35A9">
        <w:rPr>
          <w:rFonts w:ascii="Candara" w:hAnsi="Candara" w:cs="Times New Roman"/>
          <w:spacing w:val="-4"/>
          <w:sz w:val="24"/>
          <w:szCs w:val="24"/>
        </w:rPr>
        <w:t xml:space="preserve">, 2004; </w:t>
      </w:r>
      <w:proofErr w:type="spellStart"/>
      <w:r w:rsidRPr="004E35A9">
        <w:rPr>
          <w:rFonts w:ascii="Candara" w:eastAsia="Times New Roman" w:hAnsi="Candara" w:cs="Times New Roman"/>
          <w:spacing w:val="-4"/>
          <w:sz w:val="24"/>
          <w:szCs w:val="24"/>
        </w:rPr>
        <w:t>F</w:t>
      </w:r>
      <w:r>
        <w:rPr>
          <w:rFonts w:ascii="Candara" w:eastAsia="Times New Roman" w:hAnsi="Candara" w:cs="Times New Roman"/>
          <w:spacing w:val="-4"/>
          <w:sz w:val="24"/>
          <w:szCs w:val="24"/>
        </w:rPr>
        <w:t>eil</w:t>
      </w:r>
      <w:proofErr w:type="spellEnd"/>
      <w:r w:rsidRPr="004E35A9">
        <w:rPr>
          <w:rFonts w:ascii="Candara" w:eastAsia="Times New Roman" w:hAnsi="Candara" w:cs="Times New Roman"/>
          <w:spacing w:val="-4"/>
          <w:sz w:val="24"/>
          <w:szCs w:val="24"/>
        </w:rPr>
        <w:t xml:space="preserve"> </w:t>
      </w:r>
      <w:r>
        <w:rPr>
          <w:rFonts w:ascii="Candara" w:eastAsia="Times New Roman" w:hAnsi="Candara" w:cs="Times New Roman"/>
          <w:spacing w:val="-4"/>
          <w:sz w:val="24"/>
          <w:szCs w:val="24"/>
        </w:rPr>
        <w:t>e</w:t>
      </w:r>
      <w:r w:rsidRPr="004E35A9">
        <w:rPr>
          <w:rFonts w:ascii="Candara" w:eastAsia="Times New Roman" w:hAnsi="Candara" w:cs="Times New Roman"/>
          <w:spacing w:val="-4"/>
          <w:sz w:val="24"/>
          <w:szCs w:val="24"/>
        </w:rPr>
        <w:t xml:space="preserve"> </w:t>
      </w:r>
      <w:r>
        <w:rPr>
          <w:rFonts w:ascii="Candara" w:eastAsia="Times New Roman" w:hAnsi="Candara" w:cs="Times New Roman"/>
          <w:spacing w:val="-4"/>
          <w:sz w:val="24"/>
          <w:szCs w:val="24"/>
        </w:rPr>
        <w:t>S</w:t>
      </w:r>
      <w:r w:rsidRPr="004E35A9">
        <w:rPr>
          <w:rFonts w:ascii="Candara" w:eastAsia="Times New Roman" w:hAnsi="Candara" w:cs="Times New Roman"/>
          <w:spacing w:val="-4"/>
          <w:sz w:val="24"/>
          <w:szCs w:val="24"/>
        </w:rPr>
        <w:t>chreiber, 2017</w:t>
      </w:r>
      <w:r w:rsidR="00C701A8">
        <w:rPr>
          <w:rFonts w:ascii="Candara" w:eastAsia="Times New Roman" w:hAnsi="Candara" w:cs="Times New Roman"/>
          <w:spacing w:val="-4"/>
          <w:sz w:val="24"/>
          <w:szCs w:val="24"/>
        </w:rPr>
        <w:t xml:space="preserve">; </w:t>
      </w:r>
      <w:r w:rsidR="00C701A8" w:rsidRPr="004E35A9">
        <w:rPr>
          <w:rFonts w:ascii="Candara" w:eastAsia="Times New Roman" w:hAnsi="Candara" w:cs="Times New Roman"/>
          <w:spacing w:val="-4"/>
          <w:sz w:val="24"/>
          <w:szCs w:val="24"/>
        </w:rPr>
        <w:t xml:space="preserve">(Comissão Mundial Sobre Meio Ambiente </w:t>
      </w:r>
      <w:r w:rsidR="00C701A8">
        <w:rPr>
          <w:rFonts w:ascii="Candara" w:eastAsia="Times New Roman" w:hAnsi="Candara" w:cs="Times New Roman"/>
          <w:spacing w:val="-4"/>
          <w:sz w:val="24"/>
          <w:szCs w:val="24"/>
        </w:rPr>
        <w:t>e</w:t>
      </w:r>
      <w:r w:rsidR="00C701A8" w:rsidRPr="004E35A9">
        <w:rPr>
          <w:rFonts w:ascii="Candara" w:eastAsia="Times New Roman" w:hAnsi="Candara" w:cs="Times New Roman"/>
          <w:spacing w:val="-4"/>
          <w:sz w:val="24"/>
          <w:szCs w:val="24"/>
        </w:rPr>
        <w:t xml:space="preserve"> Desenvolvimento, 1991</w:t>
      </w:r>
      <w:r w:rsidR="00C701A8">
        <w:rPr>
          <w:rFonts w:ascii="Candara" w:eastAsia="Times New Roman" w:hAnsi="Candara" w:cs="Times New Roman"/>
          <w:spacing w:val="-4"/>
          <w:sz w:val="24"/>
          <w:szCs w:val="24"/>
        </w:rPr>
        <w:t>)</w:t>
      </w:r>
    </w:p>
    <w:p w14:paraId="6CC21AB1" w14:textId="28C0E625" w:rsidR="004E35A9" w:rsidRPr="004E35A9" w:rsidRDefault="002859DB" w:rsidP="004E35A9">
      <w:pPr>
        <w:spacing w:after="0" w:line="360" w:lineRule="auto"/>
        <w:ind w:firstLine="860"/>
        <w:jc w:val="both"/>
        <w:rPr>
          <w:rFonts w:ascii="Candara" w:eastAsia="Times New Roman" w:hAnsi="Candara" w:cs="Times New Roman"/>
          <w:color w:val="231F20"/>
          <w:spacing w:val="-5"/>
          <w:sz w:val="24"/>
          <w:szCs w:val="24"/>
        </w:rPr>
      </w:pPr>
      <w:r>
        <w:rPr>
          <w:rFonts w:ascii="Candara" w:eastAsia="Times New Roman" w:hAnsi="Candara" w:cs="Times New Roman"/>
          <w:spacing w:val="-5"/>
          <w:sz w:val="24"/>
          <w:szCs w:val="24"/>
        </w:rPr>
        <w:t>F</w:t>
      </w:r>
      <w:r w:rsidR="004E35A9" w:rsidRPr="004E35A9">
        <w:rPr>
          <w:rFonts w:ascii="Candara" w:eastAsia="Times New Roman" w:hAnsi="Candara" w:cs="Times New Roman"/>
          <w:spacing w:val="-5"/>
          <w:sz w:val="24"/>
          <w:szCs w:val="24"/>
        </w:rPr>
        <w:t>ica evidente que o eixo principal do conceito de sustentabilidade é a ênfase da harmonia na relação entre o homem e o meio ambiente. E para que haja a qualidade nesse envolvimento homem e o meio, é essencial a simbiose entre os 3 aspectos que os envolvem: ambiental, social e econômico (</w:t>
      </w:r>
      <w:proofErr w:type="spellStart"/>
      <w:r w:rsidR="004E35A9" w:rsidRPr="004E35A9">
        <w:rPr>
          <w:rFonts w:ascii="Candara" w:eastAsia="Times New Roman" w:hAnsi="Candara" w:cs="Times New Roman"/>
          <w:spacing w:val="-5"/>
          <w:sz w:val="24"/>
          <w:szCs w:val="24"/>
        </w:rPr>
        <w:t>Feil</w:t>
      </w:r>
      <w:proofErr w:type="spellEnd"/>
      <w:r w:rsidR="004E35A9" w:rsidRPr="004E35A9">
        <w:rPr>
          <w:rFonts w:ascii="Candara" w:eastAsia="Times New Roman" w:hAnsi="Candara" w:cs="Times New Roman"/>
          <w:spacing w:val="-5"/>
          <w:sz w:val="24"/>
          <w:szCs w:val="24"/>
        </w:rPr>
        <w:t xml:space="preserve"> </w:t>
      </w:r>
      <w:r w:rsidR="004E35A9">
        <w:rPr>
          <w:rFonts w:ascii="Candara" w:eastAsia="Times New Roman" w:hAnsi="Candara" w:cs="Times New Roman"/>
          <w:spacing w:val="-5"/>
          <w:sz w:val="24"/>
          <w:szCs w:val="24"/>
        </w:rPr>
        <w:t>e</w:t>
      </w:r>
      <w:r w:rsidR="004E35A9" w:rsidRPr="004E35A9">
        <w:rPr>
          <w:rFonts w:ascii="Candara" w:eastAsia="Times New Roman" w:hAnsi="Candara" w:cs="Times New Roman"/>
          <w:spacing w:val="-5"/>
          <w:sz w:val="24"/>
          <w:szCs w:val="24"/>
        </w:rPr>
        <w:t xml:space="preserve"> Schreiber, 2017).</w:t>
      </w:r>
    </w:p>
    <w:p w14:paraId="6D86F49B" w14:textId="77777777" w:rsidR="004E35A9" w:rsidRPr="004E35A9" w:rsidRDefault="004E35A9" w:rsidP="004E35A9">
      <w:pPr>
        <w:spacing w:after="0" w:line="360" w:lineRule="auto"/>
        <w:ind w:firstLine="850"/>
        <w:jc w:val="both"/>
        <w:rPr>
          <w:rFonts w:ascii="Candara" w:eastAsia="Times New Roman" w:hAnsi="Candara" w:cs="Times New Roman"/>
          <w:spacing w:val="-5"/>
          <w:sz w:val="24"/>
          <w:szCs w:val="24"/>
        </w:rPr>
      </w:pPr>
      <w:r w:rsidRPr="004E35A9">
        <w:rPr>
          <w:rFonts w:ascii="Candara" w:hAnsi="Candara" w:cs="Times New Roman"/>
          <w:spacing w:val="-5"/>
          <w:sz w:val="24"/>
          <w:szCs w:val="24"/>
          <w:shd w:val="clear" w:color="auto" w:fill="FFFFFF"/>
        </w:rPr>
        <w:t xml:space="preserve">O turismo é uma atividade multifacetada, que traz em seu bojo várias externalidades, tanto positivas como negativas, já que abarca os mais diversos setores da sociedade. Como resultado, os autores </w:t>
      </w:r>
      <w:r w:rsidRPr="004E35A9">
        <w:rPr>
          <w:rFonts w:ascii="Candara" w:hAnsi="Candara" w:cs="Times New Roman"/>
          <w:spacing w:val="-5"/>
          <w:sz w:val="24"/>
          <w:szCs w:val="24"/>
        </w:rPr>
        <w:t xml:space="preserve">Cooper </w:t>
      </w:r>
      <w:r w:rsidRPr="004E35A9">
        <w:rPr>
          <w:rFonts w:ascii="Candara" w:hAnsi="Candara" w:cs="Times New Roman"/>
          <w:i/>
          <w:iCs/>
          <w:spacing w:val="-5"/>
          <w:sz w:val="24"/>
          <w:szCs w:val="24"/>
        </w:rPr>
        <w:t>et al (</w:t>
      </w:r>
      <w:r w:rsidRPr="004E35A9">
        <w:rPr>
          <w:rFonts w:ascii="Candara" w:hAnsi="Candara" w:cs="Times New Roman"/>
          <w:spacing w:val="-5"/>
          <w:sz w:val="24"/>
          <w:szCs w:val="24"/>
        </w:rPr>
        <w:t>2001)</w:t>
      </w:r>
      <w:r w:rsidRPr="004E35A9">
        <w:rPr>
          <w:rFonts w:ascii="Candara" w:hAnsi="Candara" w:cs="Times New Roman"/>
          <w:spacing w:val="-5"/>
          <w:sz w:val="24"/>
          <w:szCs w:val="24"/>
          <w:shd w:val="clear" w:color="auto" w:fill="FFFFFF"/>
        </w:rPr>
        <w:t xml:space="preserve"> apontam que a cadeia turística tem impacto direto sobre o ambiente, social e econômico.  </w:t>
      </w:r>
    </w:p>
    <w:p w14:paraId="6D62D0DF" w14:textId="2D21C858" w:rsidR="004E35A9" w:rsidRPr="004E35A9" w:rsidRDefault="004E35A9" w:rsidP="004E35A9">
      <w:pPr>
        <w:spacing w:after="0" w:line="360" w:lineRule="auto"/>
        <w:ind w:firstLine="850"/>
        <w:jc w:val="both"/>
        <w:rPr>
          <w:rFonts w:ascii="Candara" w:hAnsi="Candara" w:cs="Times New Roman"/>
          <w:spacing w:val="-5"/>
          <w:sz w:val="24"/>
          <w:szCs w:val="24"/>
        </w:rPr>
      </w:pPr>
      <w:r w:rsidRPr="004E35A9">
        <w:rPr>
          <w:rFonts w:ascii="Candara" w:hAnsi="Candara" w:cs="Times New Roman"/>
          <w:spacing w:val="-5"/>
          <w:sz w:val="24"/>
          <w:szCs w:val="24"/>
        </w:rPr>
        <w:t>A visibilidade do turismo no Brasil precede do seu potencial de atração aos mais variados segmentos e mercados</w:t>
      </w:r>
      <w:r w:rsidR="00347CDA">
        <w:rPr>
          <w:rFonts w:ascii="Candara" w:hAnsi="Candara" w:cs="Times New Roman"/>
          <w:spacing w:val="-5"/>
          <w:sz w:val="24"/>
          <w:szCs w:val="24"/>
        </w:rPr>
        <w:t xml:space="preserve"> que o coloca </w:t>
      </w:r>
      <w:r w:rsidRPr="004E35A9">
        <w:rPr>
          <w:rFonts w:ascii="Candara" w:hAnsi="Candara" w:cs="Times New Roman"/>
          <w:spacing w:val="-5"/>
          <w:sz w:val="24"/>
          <w:szCs w:val="24"/>
        </w:rPr>
        <w:t>entre as maiores economias mundiais (</w:t>
      </w:r>
      <w:proofErr w:type="spellStart"/>
      <w:r w:rsidRPr="004E35A9">
        <w:rPr>
          <w:rFonts w:ascii="Candara" w:hAnsi="Candara" w:cs="Times New Roman"/>
          <w:spacing w:val="-5"/>
          <w:sz w:val="24"/>
          <w:szCs w:val="24"/>
        </w:rPr>
        <w:t>Lohmann</w:t>
      </w:r>
      <w:proofErr w:type="spellEnd"/>
      <w:r w:rsidRPr="004E35A9">
        <w:rPr>
          <w:rFonts w:ascii="Candara" w:hAnsi="Candara" w:cs="Times New Roman"/>
          <w:spacing w:val="-5"/>
          <w:sz w:val="24"/>
          <w:szCs w:val="24"/>
        </w:rPr>
        <w:t xml:space="preserve"> &amp; </w:t>
      </w:r>
      <w:proofErr w:type="spellStart"/>
      <w:r w:rsidRPr="004E35A9">
        <w:rPr>
          <w:rFonts w:ascii="Candara" w:hAnsi="Candara" w:cs="Times New Roman"/>
          <w:spacing w:val="-5"/>
          <w:sz w:val="24"/>
          <w:szCs w:val="24"/>
        </w:rPr>
        <w:t>Dredge</w:t>
      </w:r>
      <w:proofErr w:type="spellEnd"/>
      <w:r w:rsidRPr="004E35A9">
        <w:rPr>
          <w:rFonts w:ascii="Candara" w:hAnsi="Candara" w:cs="Times New Roman"/>
          <w:spacing w:val="-5"/>
          <w:sz w:val="24"/>
          <w:szCs w:val="24"/>
        </w:rPr>
        <w:t xml:space="preserve">, 2012). Ainda quanto aos segmentos, os autores </w:t>
      </w:r>
      <w:proofErr w:type="spellStart"/>
      <w:r w:rsidR="00C534AB" w:rsidRPr="004E35A9">
        <w:rPr>
          <w:rFonts w:ascii="Candara" w:hAnsi="Candara" w:cs="Times New Roman"/>
          <w:spacing w:val="-5"/>
          <w:sz w:val="24"/>
          <w:szCs w:val="24"/>
        </w:rPr>
        <w:t>Lohmann</w:t>
      </w:r>
      <w:proofErr w:type="spellEnd"/>
      <w:r w:rsidR="00C534AB" w:rsidRPr="004E35A9">
        <w:rPr>
          <w:rFonts w:ascii="Candara" w:hAnsi="Candara" w:cs="Times New Roman"/>
          <w:spacing w:val="-5"/>
          <w:sz w:val="24"/>
          <w:szCs w:val="24"/>
        </w:rPr>
        <w:t xml:space="preserve"> et</w:t>
      </w:r>
      <w:r w:rsidRPr="004E35A9">
        <w:rPr>
          <w:rFonts w:ascii="Candara" w:hAnsi="Candara" w:cs="Times New Roman"/>
          <w:i/>
          <w:iCs/>
          <w:spacing w:val="-5"/>
          <w:sz w:val="24"/>
          <w:szCs w:val="24"/>
        </w:rPr>
        <w:t xml:space="preserve"> al</w:t>
      </w:r>
      <w:r w:rsidRPr="004E35A9">
        <w:rPr>
          <w:rFonts w:ascii="Candara" w:hAnsi="Candara" w:cs="Times New Roman"/>
          <w:spacing w:val="-5"/>
          <w:sz w:val="24"/>
          <w:szCs w:val="24"/>
        </w:rPr>
        <w:t xml:space="preserve"> (2022) mostram que na região Centro-Oeste, </w:t>
      </w:r>
      <w:proofErr w:type="gramStart"/>
      <w:r w:rsidRPr="004E35A9">
        <w:rPr>
          <w:rFonts w:ascii="Candara" w:hAnsi="Candara" w:cs="Times New Roman"/>
          <w:spacing w:val="-5"/>
          <w:sz w:val="24"/>
          <w:szCs w:val="24"/>
        </w:rPr>
        <w:t>os eixos Pantanal-Bonito tem</w:t>
      </w:r>
      <w:proofErr w:type="gramEnd"/>
      <w:r w:rsidRPr="004E35A9">
        <w:rPr>
          <w:rFonts w:ascii="Candara" w:hAnsi="Candara" w:cs="Times New Roman"/>
          <w:spacing w:val="-5"/>
          <w:sz w:val="24"/>
          <w:szCs w:val="24"/>
        </w:rPr>
        <w:t xml:space="preserve"> o suporte nas atividades de ecoturismo.</w:t>
      </w:r>
    </w:p>
    <w:p w14:paraId="02F3F0E1" w14:textId="77777777" w:rsidR="004E35A9" w:rsidRPr="004E35A9" w:rsidRDefault="004E35A9" w:rsidP="004E35A9">
      <w:pPr>
        <w:spacing w:after="0" w:line="360" w:lineRule="auto"/>
        <w:ind w:firstLine="850"/>
        <w:jc w:val="both"/>
        <w:rPr>
          <w:rFonts w:ascii="Candara" w:hAnsi="Candara" w:cs="Times New Roman"/>
          <w:spacing w:val="-4"/>
          <w:sz w:val="24"/>
          <w:szCs w:val="24"/>
        </w:rPr>
      </w:pPr>
      <w:r w:rsidRPr="004E35A9">
        <w:rPr>
          <w:rFonts w:ascii="Candara" w:hAnsi="Candara" w:cs="Times New Roman"/>
          <w:spacing w:val="-4"/>
          <w:sz w:val="24"/>
          <w:szCs w:val="24"/>
        </w:rPr>
        <w:t xml:space="preserve">Os eixos turísticos Pantanal e Bonito estão localizados no estado de Mato Grosso do Sul, que em 2021 institucionalizou a classificação turística, adotada a partir da Portaria FUNDTUR n. 09, de 05 de outubro de 2021. Em entendimento geral, o conteúdo dessa portaria identifica o estágio turístico do município, com intuito de estabelecimento de planejamento segmentado. Portanto, derivando-se em 4 etapas a saber: Semear, Nascer, Frutificar e Colher.  </w:t>
      </w:r>
    </w:p>
    <w:p w14:paraId="636C9093" w14:textId="77777777" w:rsidR="004E35A9" w:rsidRPr="004E35A9" w:rsidRDefault="004E35A9" w:rsidP="004E35A9">
      <w:pPr>
        <w:spacing w:after="0" w:line="360" w:lineRule="auto"/>
        <w:ind w:firstLine="850"/>
        <w:jc w:val="both"/>
        <w:rPr>
          <w:rFonts w:ascii="Candara" w:hAnsi="Candara" w:cs="Times New Roman"/>
          <w:spacing w:val="-5"/>
          <w:sz w:val="24"/>
          <w:szCs w:val="24"/>
        </w:rPr>
      </w:pPr>
      <w:r w:rsidRPr="004E35A9">
        <w:rPr>
          <w:rFonts w:ascii="Candara" w:hAnsi="Candara" w:cs="Times New Roman"/>
          <w:spacing w:val="-5"/>
          <w:sz w:val="24"/>
          <w:szCs w:val="24"/>
        </w:rPr>
        <w:t xml:space="preserve">Deste modo, </w:t>
      </w:r>
      <w:r w:rsidRPr="004E35A9">
        <w:rPr>
          <w:rFonts w:ascii="Candara" w:eastAsia="Times New Roman" w:hAnsi="Candara" w:cs="Times New Roman"/>
          <w:spacing w:val="-5"/>
          <w:sz w:val="24"/>
          <w:szCs w:val="24"/>
        </w:rPr>
        <w:t xml:space="preserve">surge a necessidade de conhecer como estão as dimensões da sustentabilidade dos municípios turísticos do estado do Mato Grosso do Sul, com o </w:t>
      </w:r>
      <w:r w:rsidRPr="004E35A9">
        <w:rPr>
          <w:rFonts w:ascii="Candara" w:hAnsi="Candara" w:cs="Times New Roman"/>
          <w:spacing w:val="-5"/>
          <w:sz w:val="24"/>
          <w:szCs w:val="24"/>
        </w:rPr>
        <w:t xml:space="preserve">objetivo de identificar como estão os municípios do estágio Colher (Aquidauana, </w:t>
      </w:r>
      <w:r w:rsidRPr="004E35A9">
        <w:rPr>
          <w:rFonts w:ascii="Candara" w:hAnsi="Candara" w:cs="Times New Roman"/>
          <w:spacing w:val="-5"/>
          <w:sz w:val="24"/>
          <w:szCs w:val="24"/>
        </w:rPr>
        <w:lastRenderedPageBreak/>
        <w:t>Bodoquena, Bonito, Campo Grande, Corumbá, Costa Rica, Dourados e Jardim), no aspecto da sustentabilidade, a partir da análise realizada pelo Barômetro da Sustentabilidade (BS). Para atingir o objetivo, foi realizada uma pesquisa descritiva e exploratória, com coleta de dados secundários. Com relação ao BS, foram adaptadas as variáveis para análise, considerando a relação com a sustentabilidade.</w:t>
      </w:r>
    </w:p>
    <w:p w14:paraId="56F33105" w14:textId="77777777" w:rsidR="004E35A9" w:rsidRPr="00C534AB" w:rsidRDefault="004E35A9" w:rsidP="004E35A9">
      <w:pPr>
        <w:spacing w:after="0" w:line="360" w:lineRule="auto"/>
        <w:ind w:firstLine="720"/>
        <w:jc w:val="both"/>
        <w:rPr>
          <w:rFonts w:ascii="Candara" w:eastAsia="Times New Roman" w:hAnsi="Candara" w:cs="Times New Roman"/>
          <w:color w:val="000000"/>
          <w:spacing w:val="-8"/>
          <w:sz w:val="24"/>
          <w:szCs w:val="24"/>
        </w:rPr>
      </w:pPr>
      <w:r w:rsidRPr="00C534AB">
        <w:rPr>
          <w:rFonts w:ascii="Candara" w:eastAsia="Times New Roman" w:hAnsi="Candara" w:cs="Times New Roman"/>
          <w:spacing w:val="-8"/>
          <w:sz w:val="24"/>
          <w:szCs w:val="24"/>
        </w:rPr>
        <w:t>A relevância dessa pesquisa se dá na contribuição ao apresentar, aos órgãos de interesse, um diagnóstico de sustentabilidade dos municípios constantes no estágio Colher, prezando pela ideia de sugestão de melhorias e destinação da necessidade de ações.</w:t>
      </w:r>
    </w:p>
    <w:p w14:paraId="3D38D6A5" w14:textId="77777777" w:rsidR="004E35A9" w:rsidRDefault="004E35A9" w:rsidP="002859DB">
      <w:pPr>
        <w:jc w:val="both"/>
        <w:rPr>
          <w:rFonts w:ascii="Candara" w:eastAsia="Candara" w:hAnsi="Candara" w:cs="Candara"/>
          <w:sz w:val="24"/>
          <w:szCs w:val="24"/>
        </w:rPr>
      </w:pPr>
    </w:p>
    <w:p w14:paraId="3BF3C655" w14:textId="27BCD2F9" w:rsidR="004E35A9" w:rsidRDefault="004E35A9" w:rsidP="004E35A9">
      <w:pPr>
        <w:jc w:val="both"/>
        <w:rPr>
          <w:rFonts w:ascii="Candara" w:eastAsia="Candara" w:hAnsi="Candara" w:cs="Candara"/>
          <w:sz w:val="24"/>
          <w:szCs w:val="24"/>
        </w:rPr>
      </w:pPr>
      <w:r>
        <w:rPr>
          <w:rFonts w:ascii="Candara" w:eastAsia="Candara" w:hAnsi="Candara" w:cs="Candara"/>
          <w:color w:val="000000"/>
          <w:sz w:val="28"/>
          <w:szCs w:val="28"/>
        </w:rPr>
        <w:t xml:space="preserve">2 Turismo e Sustentabilidade </w:t>
      </w:r>
    </w:p>
    <w:p w14:paraId="59B33A04" w14:textId="77777777" w:rsidR="004E35A9" w:rsidRDefault="004E35A9" w:rsidP="00F369CC">
      <w:pPr>
        <w:spacing w:line="240" w:lineRule="auto"/>
        <w:ind w:firstLine="851"/>
        <w:jc w:val="both"/>
        <w:rPr>
          <w:rFonts w:ascii="Candara" w:eastAsia="Candara" w:hAnsi="Candara" w:cs="Candara"/>
          <w:sz w:val="24"/>
          <w:szCs w:val="24"/>
        </w:rPr>
      </w:pPr>
    </w:p>
    <w:p w14:paraId="4591071C" w14:textId="77777777" w:rsidR="004E35A9" w:rsidRPr="004E35A9" w:rsidRDefault="004E35A9" w:rsidP="004E35A9">
      <w:pPr>
        <w:autoSpaceDE w:val="0"/>
        <w:autoSpaceDN w:val="0"/>
        <w:adjustRightInd w:val="0"/>
        <w:spacing w:after="0" w:line="360" w:lineRule="auto"/>
        <w:ind w:firstLine="851"/>
        <w:jc w:val="both"/>
        <w:rPr>
          <w:rFonts w:ascii="Candara" w:hAnsi="Candara" w:cs="Times New Roman"/>
          <w:spacing w:val="-5"/>
          <w:sz w:val="24"/>
          <w:szCs w:val="24"/>
        </w:rPr>
      </w:pPr>
      <w:r w:rsidRPr="004E35A9">
        <w:rPr>
          <w:rFonts w:ascii="Candara" w:hAnsi="Candara" w:cs="Times New Roman"/>
          <w:spacing w:val="-5"/>
          <w:sz w:val="24"/>
          <w:szCs w:val="24"/>
        </w:rPr>
        <w:t>O turismo tem uma lacuna para um conceito unânime e aplicação universal, dada ser uma atividade versátil e multiplicadora, que ora versa do ponto vista econômico, ora como fenômeno social. Assim, as definições são apresentadas por diversos autores com enfoque para perspectivas do viés econômico, social, cultural.</w:t>
      </w:r>
    </w:p>
    <w:p w14:paraId="67CA9895" w14:textId="40A949D3" w:rsidR="004E35A9" w:rsidRPr="004E35A9" w:rsidRDefault="004E35A9" w:rsidP="004E35A9">
      <w:pPr>
        <w:pStyle w:val="Default"/>
        <w:spacing w:line="360" w:lineRule="auto"/>
        <w:ind w:firstLine="851"/>
        <w:jc w:val="both"/>
        <w:rPr>
          <w:rFonts w:ascii="Candara" w:hAnsi="Candara" w:cs="Times New Roman"/>
          <w:color w:val="000000" w:themeColor="text1"/>
          <w:spacing w:val="-5"/>
        </w:rPr>
      </w:pPr>
      <w:r w:rsidRPr="004E35A9">
        <w:rPr>
          <w:rFonts w:ascii="Candara" w:hAnsi="Candara" w:cs="Times New Roman"/>
          <w:color w:val="000000" w:themeColor="text1"/>
          <w:spacing w:val="-5"/>
        </w:rPr>
        <w:t xml:space="preserve">A expansão do turismo proporcionou uma mudança em sua leitura após a industrialização, passa do </w:t>
      </w:r>
      <w:r w:rsidRPr="004E35A9">
        <w:rPr>
          <w:rFonts w:ascii="Candara" w:hAnsi="Candara" w:cs="Times New Roman"/>
          <w:i/>
          <w:iCs/>
          <w:color w:val="000000" w:themeColor="text1"/>
          <w:spacing w:val="-5"/>
        </w:rPr>
        <w:t>status</w:t>
      </w:r>
      <w:r w:rsidRPr="004E35A9">
        <w:rPr>
          <w:rFonts w:ascii="Candara" w:hAnsi="Candara" w:cs="Times New Roman"/>
          <w:color w:val="000000" w:themeColor="text1"/>
          <w:spacing w:val="-5"/>
        </w:rPr>
        <w:t xml:space="preserve"> de complexo socioeconômico para uma das forças transformadoras no novo contexto, que perpassa por processo sociais e culturais não quantificáveis por completo, o que pode levar a mudanças estruturais na sociedade. (</w:t>
      </w:r>
      <w:proofErr w:type="spellStart"/>
      <w:r w:rsidRPr="004E35A9">
        <w:rPr>
          <w:rFonts w:ascii="Candara" w:hAnsi="Candara" w:cs="Times New Roman"/>
          <w:color w:val="000000" w:themeColor="text1"/>
          <w:spacing w:val="-5"/>
        </w:rPr>
        <w:t>Acerenza</w:t>
      </w:r>
      <w:proofErr w:type="spellEnd"/>
      <w:r w:rsidRPr="004E35A9">
        <w:rPr>
          <w:rFonts w:ascii="Candara" w:hAnsi="Candara" w:cs="Times New Roman"/>
          <w:color w:val="000000" w:themeColor="text1"/>
          <w:spacing w:val="-5"/>
        </w:rPr>
        <w:t xml:space="preserve">, 1991; Trigo, 1998; </w:t>
      </w:r>
      <w:proofErr w:type="spellStart"/>
      <w:r w:rsidRPr="004E35A9">
        <w:rPr>
          <w:rFonts w:ascii="Candara" w:hAnsi="Candara" w:cs="Times New Roman"/>
          <w:color w:val="000000" w:themeColor="text1"/>
          <w:spacing w:val="-5"/>
        </w:rPr>
        <w:t>Lickorisch</w:t>
      </w:r>
      <w:proofErr w:type="spellEnd"/>
      <w:r w:rsidRPr="004E35A9">
        <w:rPr>
          <w:rFonts w:ascii="Candara" w:hAnsi="Candara" w:cs="Times New Roman"/>
          <w:color w:val="000000" w:themeColor="text1"/>
          <w:spacing w:val="-5"/>
        </w:rPr>
        <w:t xml:space="preserve"> </w:t>
      </w:r>
      <w:r>
        <w:rPr>
          <w:rFonts w:ascii="Candara" w:hAnsi="Candara" w:cs="Times New Roman"/>
          <w:color w:val="000000" w:themeColor="text1"/>
          <w:spacing w:val="-5"/>
        </w:rPr>
        <w:t>e</w:t>
      </w:r>
      <w:r w:rsidRPr="004E35A9">
        <w:rPr>
          <w:rFonts w:ascii="Candara" w:hAnsi="Candara" w:cs="Times New Roman"/>
          <w:color w:val="000000" w:themeColor="text1"/>
          <w:spacing w:val="-5"/>
        </w:rPr>
        <w:t xml:space="preserve"> Jenkins, 2000). </w:t>
      </w:r>
    </w:p>
    <w:p w14:paraId="624C7D0B" w14:textId="1E3FED62" w:rsidR="004E35A9" w:rsidRDefault="004E35A9" w:rsidP="004E35A9">
      <w:pPr>
        <w:autoSpaceDE w:val="0"/>
        <w:autoSpaceDN w:val="0"/>
        <w:adjustRightInd w:val="0"/>
        <w:spacing w:after="0" w:line="360" w:lineRule="auto"/>
        <w:ind w:firstLine="851"/>
        <w:jc w:val="both"/>
        <w:rPr>
          <w:rFonts w:ascii="Candara" w:hAnsi="Candara" w:cs="Times New Roman"/>
          <w:spacing w:val="-5"/>
          <w:sz w:val="24"/>
          <w:szCs w:val="24"/>
        </w:rPr>
      </w:pPr>
      <w:r w:rsidRPr="004E35A9">
        <w:rPr>
          <w:rFonts w:ascii="Candara" w:hAnsi="Candara" w:cs="Times New Roman"/>
          <w:spacing w:val="-5"/>
          <w:sz w:val="24"/>
          <w:szCs w:val="24"/>
        </w:rPr>
        <w:t>O turismo sendo um fenômeno multifacetado, é abordado sob vários enfoques, assim, como lhe cabe também uma análise dessa relação com o todo que o envolve, por meio de uma compreensão de uma visão holística e sistêmica (</w:t>
      </w:r>
      <w:r>
        <w:rPr>
          <w:rFonts w:ascii="Candara" w:hAnsi="Candara" w:cs="Times New Roman"/>
          <w:spacing w:val="-5"/>
          <w:sz w:val="24"/>
          <w:szCs w:val="24"/>
        </w:rPr>
        <w:t>Chaparro</w:t>
      </w:r>
      <w:r w:rsidRPr="004E35A9">
        <w:rPr>
          <w:rFonts w:ascii="Candara" w:hAnsi="Candara" w:cs="Times New Roman"/>
          <w:spacing w:val="-5"/>
          <w:sz w:val="24"/>
          <w:szCs w:val="24"/>
        </w:rPr>
        <w:t xml:space="preserve">, 2017, p. 29). E </w:t>
      </w:r>
      <w:r w:rsidRPr="004E35A9">
        <w:rPr>
          <w:rFonts w:ascii="Candara" w:hAnsi="Candara" w:cs="Times New Roman"/>
          <w:spacing w:val="-5"/>
          <w:sz w:val="24"/>
          <w:szCs w:val="24"/>
        </w:rPr>
        <w:lastRenderedPageBreak/>
        <w:t>nisso Beni (2001) expõe três tendências para definição de Turismo: a econômica, a técnica e a holística, portanto, deve ser compreendida e estudada como um sistema aberto.</w:t>
      </w:r>
    </w:p>
    <w:p w14:paraId="3B3A37E2" w14:textId="0529CDAD" w:rsidR="00C534AB" w:rsidRPr="00C534AB" w:rsidRDefault="00C534AB" w:rsidP="004E35A9">
      <w:pPr>
        <w:autoSpaceDE w:val="0"/>
        <w:autoSpaceDN w:val="0"/>
        <w:adjustRightInd w:val="0"/>
        <w:spacing w:after="0" w:line="360" w:lineRule="auto"/>
        <w:ind w:firstLine="851"/>
        <w:jc w:val="both"/>
        <w:rPr>
          <w:rFonts w:ascii="Candara" w:hAnsi="Candara" w:cs="Times New Roman"/>
          <w:spacing w:val="-6"/>
          <w:sz w:val="24"/>
          <w:szCs w:val="24"/>
        </w:rPr>
      </w:pPr>
      <w:r w:rsidRPr="00C534AB">
        <w:rPr>
          <w:rFonts w:ascii="Candara" w:hAnsi="Candara" w:cs="Times New Roman"/>
          <w:spacing w:val="-6"/>
          <w:sz w:val="24"/>
          <w:szCs w:val="24"/>
        </w:rPr>
        <w:t xml:space="preserve">No quesito cultural </w:t>
      </w:r>
      <w:proofErr w:type="spellStart"/>
      <w:r w:rsidRPr="00C534AB">
        <w:rPr>
          <w:rFonts w:ascii="Candara" w:hAnsi="Candara" w:cs="Times New Roman"/>
          <w:spacing w:val="-6"/>
          <w:sz w:val="24"/>
          <w:szCs w:val="24"/>
        </w:rPr>
        <w:t>Lickorisch</w:t>
      </w:r>
      <w:proofErr w:type="spellEnd"/>
      <w:r w:rsidRPr="00C534AB">
        <w:rPr>
          <w:rFonts w:ascii="Candara" w:hAnsi="Candara" w:cs="Times New Roman"/>
          <w:spacing w:val="-6"/>
          <w:sz w:val="24"/>
          <w:szCs w:val="24"/>
        </w:rPr>
        <w:t xml:space="preserve"> e Jenkins (2000, p. 108) ressaltam a importância de proteger e manter a herança cultural, </w:t>
      </w:r>
      <w:r w:rsidR="00F369CC">
        <w:rPr>
          <w:rFonts w:ascii="Candara" w:hAnsi="Candara" w:cs="Times New Roman"/>
          <w:spacing w:val="-6"/>
          <w:sz w:val="24"/>
          <w:szCs w:val="24"/>
        </w:rPr>
        <w:t>respeitando</w:t>
      </w:r>
      <w:r w:rsidRPr="00C534AB">
        <w:rPr>
          <w:rFonts w:ascii="Candara" w:hAnsi="Candara" w:cs="Times New Roman"/>
          <w:spacing w:val="-6"/>
          <w:sz w:val="24"/>
          <w:szCs w:val="24"/>
        </w:rPr>
        <w:t xml:space="preserve"> o ambiente físico e humano. O que pode inferir, que a partir de todos os elementos embutidos nos conceitos apresentados desaguam para a sustentabilidade</w:t>
      </w:r>
      <w:r w:rsidRPr="00C534AB">
        <w:rPr>
          <w:rFonts w:ascii="Candara" w:hAnsi="Candara" w:cs="Times New Roman"/>
          <w:spacing w:val="-6"/>
          <w:sz w:val="24"/>
          <w:szCs w:val="24"/>
        </w:rPr>
        <w:t>.</w:t>
      </w:r>
    </w:p>
    <w:p w14:paraId="03D81AEC" w14:textId="77777777" w:rsidR="004E35A9" w:rsidRPr="002859DB" w:rsidRDefault="004E35A9" w:rsidP="004E35A9">
      <w:pPr>
        <w:autoSpaceDE w:val="0"/>
        <w:autoSpaceDN w:val="0"/>
        <w:adjustRightInd w:val="0"/>
        <w:spacing w:after="0" w:line="360" w:lineRule="auto"/>
        <w:ind w:firstLine="851"/>
        <w:jc w:val="both"/>
        <w:rPr>
          <w:rFonts w:ascii="Candara" w:hAnsi="Candara" w:cs="Times New Roman"/>
          <w:sz w:val="24"/>
          <w:szCs w:val="24"/>
        </w:rPr>
      </w:pPr>
      <w:r w:rsidRPr="002859DB">
        <w:rPr>
          <w:rFonts w:ascii="Candara" w:hAnsi="Candara" w:cs="Times New Roman"/>
          <w:sz w:val="24"/>
          <w:szCs w:val="24"/>
        </w:rPr>
        <w:t xml:space="preserve">A sustentabilidade é um tema constante nos debates que envolve o turismo, o motivo é a própria complexidade desse fenômeno, e ainda é de se considerar que o setor tem o seu potencial de crescimento na economia. Para Irving </w:t>
      </w:r>
      <w:r w:rsidRPr="002859DB">
        <w:rPr>
          <w:rFonts w:ascii="Candara" w:hAnsi="Candara" w:cs="Times New Roman"/>
          <w:i/>
          <w:iCs/>
          <w:sz w:val="24"/>
          <w:szCs w:val="24"/>
        </w:rPr>
        <w:t>et al</w:t>
      </w:r>
      <w:r w:rsidRPr="002859DB">
        <w:rPr>
          <w:rFonts w:ascii="Candara" w:hAnsi="Candara" w:cs="Times New Roman"/>
          <w:sz w:val="24"/>
          <w:szCs w:val="24"/>
        </w:rPr>
        <w:t xml:space="preserve"> (2005), o crescimento do turismo gera demanda de incorporação de possibilidades para planejamento, que envolva emprego, renda, benefícios econômicos, sociais e ambientais, inclusão e transformação social. </w:t>
      </w:r>
    </w:p>
    <w:p w14:paraId="148D77E6" w14:textId="36A7E111" w:rsidR="004E35A9" w:rsidRPr="00B51BCD" w:rsidRDefault="004E35A9" w:rsidP="004E35A9">
      <w:pPr>
        <w:pStyle w:val="NormalWeb"/>
        <w:shd w:val="clear" w:color="auto" w:fill="FFFFFF"/>
        <w:spacing w:before="0" w:beforeAutospacing="0" w:after="0" w:afterAutospacing="0" w:line="360" w:lineRule="auto"/>
        <w:ind w:firstLine="851"/>
        <w:jc w:val="both"/>
        <w:rPr>
          <w:rFonts w:ascii="Candara" w:hAnsi="Candara"/>
          <w:spacing w:val="-4"/>
        </w:rPr>
      </w:pPr>
      <w:r w:rsidRPr="002859DB">
        <w:rPr>
          <w:rFonts w:ascii="Candara" w:hAnsi="Candara"/>
          <w:color w:val="000000" w:themeColor="text1"/>
          <w:spacing w:val="-4"/>
        </w:rPr>
        <w:t>Cabe contextualizar que a conscientização sobre a importância do desenvolvimento sustentável do setor do turismo, teve impulso após a realização da Conferência das Nações Unidas sobre Meio Ambiente e Desenvolvimento (CNUMAD), que ocorreu em 1992 na cidade do Rio de Janeiro, advindo como resultado a Agenda 21, que deu as diretrizes para o desenvolvimento sustentável para o turismo</w:t>
      </w:r>
      <w:r w:rsidR="00B51BCD">
        <w:rPr>
          <w:rFonts w:ascii="Candara" w:hAnsi="Candara"/>
          <w:color w:val="000000" w:themeColor="text1"/>
          <w:spacing w:val="-4"/>
        </w:rPr>
        <w:t>.</w:t>
      </w:r>
    </w:p>
    <w:p w14:paraId="123D73D2" w14:textId="3080E83B" w:rsidR="004E35A9" w:rsidRPr="00C534AB" w:rsidRDefault="004E35A9" w:rsidP="004E35A9">
      <w:pPr>
        <w:autoSpaceDE w:val="0"/>
        <w:autoSpaceDN w:val="0"/>
        <w:adjustRightInd w:val="0"/>
        <w:spacing w:after="0" w:line="360" w:lineRule="auto"/>
        <w:ind w:firstLine="851"/>
        <w:jc w:val="both"/>
        <w:rPr>
          <w:rFonts w:ascii="Candara" w:hAnsi="Candara" w:cs="Times New Roman"/>
          <w:spacing w:val="-6"/>
          <w:sz w:val="24"/>
          <w:szCs w:val="24"/>
        </w:rPr>
      </w:pPr>
      <w:r w:rsidRPr="00C534AB">
        <w:rPr>
          <w:rFonts w:ascii="Candara" w:hAnsi="Candara" w:cs="Times New Roman"/>
          <w:spacing w:val="-6"/>
          <w:sz w:val="24"/>
          <w:szCs w:val="24"/>
        </w:rPr>
        <w:t>Dado que o turismo e o espaço estão intrinsecamente ligados, Yázigi (2002) destaca que é essencial conhecer o turismo como elo integrador do território, por meio de uma análise socioespacial</w:t>
      </w:r>
      <w:r w:rsidR="007E2F9B" w:rsidRPr="00C534AB">
        <w:rPr>
          <w:rFonts w:ascii="Candara" w:hAnsi="Candara" w:cs="Times New Roman"/>
          <w:spacing w:val="-6"/>
          <w:sz w:val="24"/>
          <w:szCs w:val="24"/>
        </w:rPr>
        <w:t xml:space="preserve">, </w:t>
      </w:r>
      <w:r w:rsidRPr="00C534AB">
        <w:rPr>
          <w:rFonts w:ascii="Candara" w:hAnsi="Candara" w:cs="Times New Roman"/>
          <w:spacing w:val="-6"/>
          <w:sz w:val="24"/>
          <w:szCs w:val="24"/>
        </w:rPr>
        <w:t xml:space="preserve">para entender plenamente a dimensão espacial que </w:t>
      </w:r>
      <w:r w:rsidR="00C701A8" w:rsidRPr="00C534AB">
        <w:rPr>
          <w:rFonts w:ascii="Candara" w:hAnsi="Candara" w:cs="Times New Roman"/>
          <w:spacing w:val="-6"/>
          <w:sz w:val="24"/>
          <w:szCs w:val="24"/>
        </w:rPr>
        <w:t xml:space="preserve">o </w:t>
      </w:r>
      <w:r w:rsidRPr="00C534AB">
        <w:rPr>
          <w:rFonts w:ascii="Candara" w:hAnsi="Candara" w:cs="Times New Roman"/>
          <w:spacing w:val="-6"/>
          <w:sz w:val="24"/>
          <w:szCs w:val="24"/>
        </w:rPr>
        <w:t>envolve</w:t>
      </w:r>
      <w:r w:rsidR="00ED20E8" w:rsidRPr="00C534AB">
        <w:rPr>
          <w:rFonts w:ascii="Candara" w:hAnsi="Candara" w:cs="Times New Roman"/>
          <w:spacing w:val="-6"/>
          <w:sz w:val="24"/>
          <w:szCs w:val="24"/>
        </w:rPr>
        <w:t>.</w:t>
      </w:r>
    </w:p>
    <w:p w14:paraId="06F1AD0A" w14:textId="0798566F" w:rsidR="004E35A9" w:rsidRPr="002859DB" w:rsidRDefault="004E35A9" w:rsidP="004E35A9">
      <w:pPr>
        <w:pStyle w:val="NormalWeb"/>
        <w:shd w:val="clear" w:color="auto" w:fill="FFFFFF"/>
        <w:spacing w:before="0" w:beforeAutospacing="0" w:after="0" w:afterAutospacing="0" w:line="360" w:lineRule="auto"/>
        <w:ind w:firstLine="851"/>
        <w:jc w:val="both"/>
        <w:rPr>
          <w:rFonts w:ascii="Candara" w:hAnsi="Candara"/>
          <w:spacing w:val="-6"/>
        </w:rPr>
      </w:pPr>
      <w:r w:rsidRPr="002859DB">
        <w:rPr>
          <w:rFonts w:ascii="Candara" w:hAnsi="Candara"/>
          <w:spacing w:val="-6"/>
        </w:rPr>
        <w:t xml:space="preserve">A sustentabilidade no turismo requer </w:t>
      </w:r>
      <w:r w:rsidR="00C534AB">
        <w:rPr>
          <w:rFonts w:ascii="Candara" w:hAnsi="Candara"/>
          <w:spacing w:val="-6"/>
        </w:rPr>
        <w:t xml:space="preserve">a </w:t>
      </w:r>
      <w:r w:rsidRPr="002859DB">
        <w:rPr>
          <w:rFonts w:ascii="Candara" w:hAnsi="Candara"/>
          <w:spacing w:val="-6"/>
        </w:rPr>
        <w:t xml:space="preserve">adoção de ferramentas que possam validá-la e avaliá-la em sua totalidade. </w:t>
      </w:r>
      <w:r w:rsidR="00ED20E8" w:rsidRPr="00ED20E8">
        <w:rPr>
          <w:rFonts w:ascii="Candara" w:hAnsi="Candara"/>
          <w:spacing w:val="-6"/>
        </w:rPr>
        <w:t xml:space="preserve">Para </w:t>
      </w:r>
      <w:proofErr w:type="spellStart"/>
      <w:r w:rsidRPr="002859DB">
        <w:rPr>
          <w:rFonts w:ascii="Candara" w:hAnsi="Candara"/>
          <w:spacing w:val="-6"/>
        </w:rPr>
        <w:t>Bellen</w:t>
      </w:r>
      <w:proofErr w:type="spellEnd"/>
      <w:r w:rsidRPr="002859DB">
        <w:rPr>
          <w:rFonts w:ascii="Candara" w:hAnsi="Candara"/>
          <w:spacing w:val="-6"/>
        </w:rPr>
        <w:t xml:space="preserve"> (2005), o processo de gestão demanda mensuração</w:t>
      </w:r>
      <w:r w:rsidR="00ED20E8">
        <w:rPr>
          <w:rFonts w:ascii="Candara" w:hAnsi="Candara"/>
          <w:spacing w:val="-6"/>
        </w:rPr>
        <w:t xml:space="preserve"> e incorporação de formas de medir o progresso da gestão e processo</w:t>
      </w:r>
      <w:r w:rsidRPr="002859DB">
        <w:rPr>
          <w:rFonts w:ascii="Candara" w:hAnsi="Candara"/>
          <w:spacing w:val="-6"/>
        </w:rPr>
        <w:t>, com os indicadores emergindo como ferramentas vitais nesse contexto.</w:t>
      </w:r>
    </w:p>
    <w:p w14:paraId="7446B807" w14:textId="77777777" w:rsidR="004E35A9" w:rsidRDefault="004E35A9" w:rsidP="00F369CC">
      <w:pPr>
        <w:spacing w:after="0" w:line="240" w:lineRule="auto"/>
        <w:jc w:val="both"/>
        <w:rPr>
          <w:rFonts w:ascii="Candara" w:eastAsia="Candara" w:hAnsi="Candara" w:cs="Candara"/>
          <w:sz w:val="24"/>
          <w:szCs w:val="24"/>
        </w:rPr>
      </w:pPr>
    </w:p>
    <w:p w14:paraId="68EA2859" w14:textId="042C9D94" w:rsidR="004E35A9" w:rsidRDefault="004E35A9" w:rsidP="004E35A9">
      <w:pPr>
        <w:jc w:val="both"/>
        <w:rPr>
          <w:rFonts w:ascii="Candara" w:eastAsia="Candara" w:hAnsi="Candara" w:cs="Candara"/>
          <w:sz w:val="24"/>
          <w:szCs w:val="24"/>
        </w:rPr>
      </w:pPr>
      <w:r>
        <w:rPr>
          <w:rFonts w:ascii="Candara" w:eastAsia="Candara" w:hAnsi="Candara" w:cs="Candara"/>
          <w:color w:val="000000"/>
          <w:sz w:val="28"/>
          <w:szCs w:val="28"/>
        </w:rPr>
        <w:t>3 O Barômetro da Sustentabilidade</w:t>
      </w:r>
    </w:p>
    <w:p w14:paraId="4B2B8A95" w14:textId="77777777" w:rsidR="004E35A9" w:rsidRDefault="004E35A9" w:rsidP="004E35A9">
      <w:pPr>
        <w:jc w:val="both"/>
        <w:rPr>
          <w:rFonts w:ascii="Candara" w:eastAsia="Candara" w:hAnsi="Candara" w:cs="Candara"/>
          <w:sz w:val="24"/>
          <w:szCs w:val="24"/>
        </w:rPr>
      </w:pPr>
    </w:p>
    <w:p w14:paraId="2318B06D" w14:textId="77777777" w:rsidR="004E35A9" w:rsidRPr="004E35A9" w:rsidRDefault="004E35A9" w:rsidP="004E35A9">
      <w:pPr>
        <w:autoSpaceDE w:val="0"/>
        <w:autoSpaceDN w:val="0"/>
        <w:adjustRightInd w:val="0"/>
        <w:spacing w:after="0" w:line="360" w:lineRule="auto"/>
        <w:ind w:firstLine="851"/>
        <w:jc w:val="both"/>
        <w:rPr>
          <w:rFonts w:ascii="Candara" w:hAnsi="Candara" w:cs="Times New Roman"/>
          <w:i/>
          <w:iCs/>
          <w:sz w:val="24"/>
          <w:szCs w:val="24"/>
        </w:rPr>
      </w:pPr>
      <w:r w:rsidRPr="004E35A9">
        <w:rPr>
          <w:rFonts w:ascii="Candara" w:hAnsi="Candara" w:cs="Times New Roman"/>
          <w:sz w:val="24"/>
          <w:szCs w:val="24"/>
        </w:rPr>
        <w:t xml:space="preserve">Existe uma gama de Sistemas de Indicadores de Sustentabilidade disponíveis, porém, de acordo </w:t>
      </w:r>
      <w:proofErr w:type="spellStart"/>
      <w:r w:rsidRPr="004E35A9">
        <w:rPr>
          <w:rFonts w:ascii="Candara" w:hAnsi="Candara" w:cs="Times New Roman"/>
          <w:sz w:val="24"/>
          <w:szCs w:val="24"/>
        </w:rPr>
        <w:t>Bellen</w:t>
      </w:r>
      <w:proofErr w:type="spellEnd"/>
      <w:r w:rsidRPr="004E35A9">
        <w:rPr>
          <w:rFonts w:ascii="Candara" w:hAnsi="Candara" w:cs="Times New Roman"/>
          <w:sz w:val="24"/>
          <w:szCs w:val="24"/>
        </w:rPr>
        <w:t xml:space="preserve"> (2005), são identificados três sistemas reconhecidos internacionalmente por especialista em desenvolvimento sustentável: O </w:t>
      </w:r>
      <w:proofErr w:type="spellStart"/>
      <w:r w:rsidRPr="004E35A9">
        <w:rPr>
          <w:rFonts w:ascii="Candara" w:hAnsi="Candara" w:cs="Times New Roman"/>
          <w:i/>
          <w:iCs/>
          <w:sz w:val="24"/>
          <w:szCs w:val="24"/>
        </w:rPr>
        <w:t>Ecological</w:t>
      </w:r>
      <w:proofErr w:type="spellEnd"/>
      <w:r w:rsidRPr="004E35A9">
        <w:rPr>
          <w:rFonts w:ascii="Candara" w:hAnsi="Candara" w:cs="Times New Roman"/>
          <w:i/>
          <w:iCs/>
          <w:sz w:val="24"/>
          <w:szCs w:val="24"/>
        </w:rPr>
        <w:t xml:space="preserve"> </w:t>
      </w:r>
      <w:proofErr w:type="spellStart"/>
      <w:r w:rsidRPr="004E35A9">
        <w:rPr>
          <w:rFonts w:ascii="Candara" w:hAnsi="Candara" w:cs="Times New Roman"/>
          <w:i/>
          <w:iCs/>
          <w:sz w:val="24"/>
          <w:szCs w:val="24"/>
        </w:rPr>
        <w:t>Footprint</w:t>
      </w:r>
      <w:proofErr w:type="spellEnd"/>
      <w:r w:rsidRPr="004E35A9">
        <w:rPr>
          <w:rFonts w:ascii="Candara" w:hAnsi="Candara" w:cs="Times New Roman"/>
          <w:i/>
          <w:iCs/>
          <w:sz w:val="24"/>
          <w:szCs w:val="24"/>
        </w:rPr>
        <w:t xml:space="preserve"> </w:t>
      </w:r>
      <w:proofErr w:type="spellStart"/>
      <w:r w:rsidRPr="004E35A9">
        <w:rPr>
          <w:rFonts w:ascii="Candara" w:hAnsi="Candara" w:cs="Times New Roman"/>
          <w:i/>
          <w:iCs/>
          <w:sz w:val="24"/>
          <w:szCs w:val="24"/>
        </w:rPr>
        <w:t>Method</w:t>
      </w:r>
      <w:proofErr w:type="spellEnd"/>
      <w:r w:rsidRPr="004E35A9">
        <w:rPr>
          <w:rFonts w:ascii="Candara" w:hAnsi="Candara" w:cs="Times New Roman"/>
          <w:i/>
          <w:iCs/>
          <w:sz w:val="24"/>
          <w:szCs w:val="24"/>
        </w:rPr>
        <w:t xml:space="preserve"> </w:t>
      </w:r>
      <w:r w:rsidRPr="004E35A9">
        <w:rPr>
          <w:rFonts w:ascii="Candara" w:hAnsi="Candara" w:cs="Times New Roman"/>
          <w:sz w:val="24"/>
          <w:szCs w:val="24"/>
        </w:rPr>
        <w:t xml:space="preserve">(EFM); o </w:t>
      </w:r>
      <w:r w:rsidRPr="004E35A9">
        <w:rPr>
          <w:rFonts w:ascii="Candara" w:hAnsi="Candara" w:cs="Times New Roman"/>
          <w:i/>
          <w:iCs/>
          <w:sz w:val="24"/>
          <w:szCs w:val="24"/>
        </w:rPr>
        <w:t xml:space="preserve">Dashboard </w:t>
      </w:r>
      <w:proofErr w:type="spellStart"/>
      <w:r w:rsidRPr="004E35A9">
        <w:rPr>
          <w:rFonts w:ascii="Candara" w:hAnsi="Candara" w:cs="Times New Roman"/>
          <w:i/>
          <w:iCs/>
          <w:sz w:val="24"/>
          <w:szCs w:val="24"/>
        </w:rPr>
        <w:t>of</w:t>
      </w:r>
      <w:proofErr w:type="spellEnd"/>
      <w:r w:rsidRPr="004E35A9">
        <w:rPr>
          <w:rFonts w:ascii="Candara" w:hAnsi="Candara" w:cs="Times New Roman"/>
          <w:i/>
          <w:iCs/>
          <w:sz w:val="24"/>
          <w:szCs w:val="24"/>
        </w:rPr>
        <w:t xml:space="preserve"> Sustainability </w:t>
      </w:r>
      <w:r w:rsidRPr="004E35A9">
        <w:rPr>
          <w:rFonts w:ascii="Candara" w:hAnsi="Candara" w:cs="Times New Roman"/>
          <w:sz w:val="24"/>
          <w:szCs w:val="24"/>
        </w:rPr>
        <w:t xml:space="preserve">(DS) e o </w:t>
      </w:r>
      <w:proofErr w:type="spellStart"/>
      <w:r w:rsidRPr="004E35A9">
        <w:rPr>
          <w:rFonts w:ascii="Candara" w:hAnsi="Candara" w:cs="Times New Roman"/>
          <w:i/>
          <w:iCs/>
          <w:sz w:val="24"/>
          <w:szCs w:val="24"/>
        </w:rPr>
        <w:t>Barometer</w:t>
      </w:r>
      <w:proofErr w:type="spellEnd"/>
      <w:r w:rsidRPr="004E35A9">
        <w:rPr>
          <w:rFonts w:ascii="Candara" w:hAnsi="Candara" w:cs="Times New Roman"/>
          <w:i/>
          <w:iCs/>
          <w:sz w:val="24"/>
          <w:szCs w:val="24"/>
        </w:rPr>
        <w:t xml:space="preserve"> </w:t>
      </w:r>
      <w:proofErr w:type="spellStart"/>
      <w:r w:rsidRPr="004E35A9">
        <w:rPr>
          <w:rFonts w:ascii="Candara" w:hAnsi="Candara" w:cs="Times New Roman"/>
          <w:i/>
          <w:iCs/>
          <w:sz w:val="24"/>
          <w:szCs w:val="24"/>
        </w:rPr>
        <w:t>of</w:t>
      </w:r>
      <w:proofErr w:type="spellEnd"/>
      <w:r w:rsidRPr="004E35A9">
        <w:rPr>
          <w:rFonts w:ascii="Candara" w:hAnsi="Candara" w:cs="Times New Roman"/>
          <w:i/>
          <w:iCs/>
          <w:sz w:val="24"/>
          <w:szCs w:val="24"/>
        </w:rPr>
        <w:t xml:space="preserve"> Sustainability </w:t>
      </w:r>
      <w:r w:rsidRPr="004E35A9">
        <w:rPr>
          <w:rFonts w:ascii="Candara" w:hAnsi="Candara" w:cs="Times New Roman"/>
          <w:sz w:val="24"/>
          <w:szCs w:val="24"/>
        </w:rPr>
        <w:t>(BS).</w:t>
      </w:r>
    </w:p>
    <w:p w14:paraId="0534FED9" w14:textId="248ADA8A" w:rsidR="004E35A9" w:rsidRPr="004E35A9" w:rsidRDefault="004E35A9" w:rsidP="004E35A9">
      <w:pPr>
        <w:spacing w:after="0" w:line="360" w:lineRule="auto"/>
        <w:ind w:firstLine="567"/>
        <w:jc w:val="both"/>
        <w:rPr>
          <w:rFonts w:ascii="Candara" w:hAnsi="Candara" w:cs="Times New Roman"/>
          <w:spacing w:val="-4"/>
          <w:sz w:val="24"/>
          <w:szCs w:val="24"/>
        </w:rPr>
      </w:pPr>
      <w:r w:rsidRPr="004E35A9">
        <w:rPr>
          <w:rFonts w:ascii="Candara" w:hAnsi="Candara" w:cs="Times New Roman"/>
          <w:spacing w:val="-4"/>
          <w:sz w:val="24"/>
          <w:szCs w:val="24"/>
        </w:rPr>
        <w:t xml:space="preserve">O </w:t>
      </w:r>
      <w:proofErr w:type="spellStart"/>
      <w:r w:rsidRPr="004E35A9">
        <w:rPr>
          <w:rFonts w:ascii="Candara" w:hAnsi="Candara" w:cs="Times New Roman"/>
          <w:i/>
          <w:iCs/>
          <w:spacing w:val="-4"/>
          <w:sz w:val="24"/>
          <w:szCs w:val="24"/>
        </w:rPr>
        <w:t>Barometer</w:t>
      </w:r>
      <w:proofErr w:type="spellEnd"/>
      <w:r w:rsidRPr="004E35A9">
        <w:rPr>
          <w:rFonts w:ascii="Candara" w:hAnsi="Candara" w:cs="Times New Roman"/>
          <w:i/>
          <w:iCs/>
          <w:spacing w:val="-4"/>
          <w:sz w:val="24"/>
          <w:szCs w:val="24"/>
        </w:rPr>
        <w:t xml:space="preserve"> </w:t>
      </w:r>
      <w:proofErr w:type="spellStart"/>
      <w:r w:rsidRPr="004E35A9">
        <w:rPr>
          <w:rFonts w:ascii="Candara" w:hAnsi="Candara" w:cs="Times New Roman"/>
          <w:i/>
          <w:iCs/>
          <w:spacing w:val="-4"/>
          <w:sz w:val="24"/>
          <w:szCs w:val="24"/>
        </w:rPr>
        <w:t>of</w:t>
      </w:r>
      <w:proofErr w:type="spellEnd"/>
      <w:r w:rsidRPr="004E35A9">
        <w:rPr>
          <w:rFonts w:ascii="Candara" w:hAnsi="Candara" w:cs="Times New Roman"/>
          <w:i/>
          <w:iCs/>
          <w:spacing w:val="-4"/>
          <w:sz w:val="24"/>
          <w:szCs w:val="24"/>
        </w:rPr>
        <w:t xml:space="preserve"> Sustainability, </w:t>
      </w:r>
      <w:r w:rsidRPr="004E35A9">
        <w:rPr>
          <w:rFonts w:ascii="Candara" w:hAnsi="Candara" w:cs="Times New Roman"/>
          <w:spacing w:val="-4"/>
          <w:sz w:val="24"/>
          <w:szCs w:val="24"/>
        </w:rPr>
        <w:t>em português</w:t>
      </w:r>
      <w:r w:rsidRPr="004E35A9">
        <w:rPr>
          <w:rFonts w:ascii="Candara" w:hAnsi="Candara" w:cs="Times New Roman"/>
          <w:i/>
          <w:iCs/>
          <w:spacing w:val="-4"/>
          <w:sz w:val="24"/>
          <w:szCs w:val="24"/>
        </w:rPr>
        <w:t xml:space="preserve">, </w:t>
      </w:r>
      <w:r w:rsidRPr="004E35A9">
        <w:rPr>
          <w:rFonts w:ascii="Candara" w:hAnsi="Candara" w:cs="Times New Roman"/>
          <w:spacing w:val="-4"/>
          <w:sz w:val="24"/>
          <w:szCs w:val="24"/>
        </w:rPr>
        <w:t xml:space="preserve">conhecido como Barômetro da Sustentabilidade (BS), é uma ferramenta metodológica desenvolvida pelo pesquisador Robert Prescott-Allen (1997), e tornou-se método oficial de avaliação da sustentabilidade do </w:t>
      </w:r>
      <w:proofErr w:type="spellStart"/>
      <w:r w:rsidRPr="004E35A9">
        <w:rPr>
          <w:rFonts w:ascii="Candara" w:hAnsi="Candara" w:cs="Times New Roman"/>
          <w:i/>
          <w:iCs/>
          <w:spacing w:val="-4"/>
          <w:sz w:val="24"/>
          <w:szCs w:val="24"/>
        </w:rPr>
        <w:t>International</w:t>
      </w:r>
      <w:proofErr w:type="spellEnd"/>
      <w:r w:rsidRPr="004E35A9">
        <w:rPr>
          <w:rFonts w:ascii="Candara" w:hAnsi="Candara" w:cs="Times New Roman"/>
          <w:i/>
          <w:iCs/>
          <w:spacing w:val="-4"/>
          <w:sz w:val="24"/>
          <w:szCs w:val="24"/>
        </w:rPr>
        <w:t xml:space="preserve"> Union for </w:t>
      </w:r>
      <w:proofErr w:type="spellStart"/>
      <w:r w:rsidRPr="004E35A9">
        <w:rPr>
          <w:rFonts w:ascii="Candara" w:hAnsi="Candara" w:cs="Times New Roman"/>
          <w:i/>
          <w:iCs/>
          <w:spacing w:val="-4"/>
          <w:sz w:val="24"/>
          <w:szCs w:val="24"/>
        </w:rPr>
        <w:t>Conservation</w:t>
      </w:r>
      <w:proofErr w:type="spellEnd"/>
      <w:r w:rsidRPr="004E35A9">
        <w:rPr>
          <w:rFonts w:ascii="Candara" w:hAnsi="Candara" w:cs="Times New Roman"/>
          <w:i/>
          <w:iCs/>
          <w:spacing w:val="-4"/>
          <w:sz w:val="24"/>
          <w:szCs w:val="24"/>
        </w:rPr>
        <w:t xml:space="preserve"> </w:t>
      </w:r>
      <w:proofErr w:type="spellStart"/>
      <w:r w:rsidRPr="004E35A9">
        <w:rPr>
          <w:rFonts w:ascii="Candara" w:hAnsi="Candara" w:cs="Times New Roman"/>
          <w:i/>
          <w:iCs/>
          <w:spacing w:val="-4"/>
          <w:sz w:val="24"/>
          <w:szCs w:val="24"/>
        </w:rPr>
        <w:t>of</w:t>
      </w:r>
      <w:proofErr w:type="spellEnd"/>
      <w:r w:rsidRPr="004E35A9">
        <w:rPr>
          <w:rFonts w:ascii="Candara" w:hAnsi="Candara" w:cs="Times New Roman"/>
          <w:i/>
          <w:iCs/>
          <w:spacing w:val="-4"/>
          <w:sz w:val="24"/>
          <w:szCs w:val="24"/>
        </w:rPr>
        <w:t xml:space="preserve"> </w:t>
      </w:r>
      <w:proofErr w:type="spellStart"/>
      <w:r w:rsidRPr="004E35A9">
        <w:rPr>
          <w:rFonts w:ascii="Candara" w:hAnsi="Candara" w:cs="Times New Roman"/>
          <w:i/>
          <w:iCs/>
          <w:spacing w:val="-4"/>
          <w:sz w:val="24"/>
          <w:szCs w:val="24"/>
        </w:rPr>
        <w:t>Nature</w:t>
      </w:r>
      <w:proofErr w:type="spellEnd"/>
      <w:r w:rsidRPr="004E35A9">
        <w:rPr>
          <w:rFonts w:ascii="Candara" w:hAnsi="Candara" w:cs="Times New Roman"/>
          <w:i/>
          <w:iCs/>
          <w:spacing w:val="-4"/>
          <w:sz w:val="24"/>
          <w:szCs w:val="24"/>
        </w:rPr>
        <w:t xml:space="preserve"> </w:t>
      </w:r>
      <w:proofErr w:type="spellStart"/>
      <w:r w:rsidRPr="004E35A9">
        <w:rPr>
          <w:rFonts w:ascii="Candara" w:hAnsi="Candara" w:cs="Times New Roman"/>
          <w:i/>
          <w:iCs/>
          <w:spacing w:val="-4"/>
          <w:sz w:val="24"/>
          <w:szCs w:val="24"/>
        </w:rPr>
        <w:t>and</w:t>
      </w:r>
      <w:proofErr w:type="spellEnd"/>
      <w:r w:rsidRPr="004E35A9">
        <w:rPr>
          <w:rFonts w:ascii="Candara" w:hAnsi="Candara" w:cs="Times New Roman"/>
          <w:i/>
          <w:iCs/>
          <w:spacing w:val="-4"/>
          <w:sz w:val="24"/>
          <w:szCs w:val="24"/>
        </w:rPr>
        <w:t xml:space="preserve"> Natural </w:t>
      </w:r>
      <w:proofErr w:type="spellStart"/>
      <w:r w:rsidRPr="004E35A9">
        <w:rPr>
          <w:rFonts w:ascii="Candara" w:hAnsi="Candara" w:cs="Times New Roman"/>
          <w:i/>
          <w:iCs/>
          <w:spacing w:val="-4"/>
          <w:sz w:val="24"/>
          <w:szCs w:val="24"/>
        </w:rPr>
        <w:t>Resources</w:t>
      </w:r>
      <w:proofErr w:type="spellEnd"/>
      <w:r w:rsidRPr="004E35A9">
        <w:rPr>
          <w:rFonts w:ascii="Candara" w:hAnsi="Candara" w:cs="Times New Roman"/>
          <w:spacing w:val="-4"/>
          <w:sz w:val="24"/>
          <w:szCs w:val="24"/>
        </w:rPr>
        <w:t xml:space="preserve"> (IUCN). Este indicador é composto por dois elementos: o bem-estar do ecossistema e o bem-estar humano, ambos com igual importância. (</w:t>
      </w:r>
      <w:proofErr w:type="spellStart"/>
      <w:r w:rsidRPr="004E35A9">
        <w:rPr>
          <w:rFonts w:ascii="Candara" w:hAnsi="Candara" w:cs="Times New Roman"/>
          <w:spacing w:val="-4"/>
          <w:sz w:val="24"/>
          <w:szCs w:val="24"/>
        </w:rPr>
        <w:t>Hachmann</w:t>
      </w:r>
      <w:proofErr w:type="spellEnd"/>
      <w:r>
        <w:rPr>
          <w:rFonts w:ascii="Candara" w:hAnsi="Candara" w:cs="Times New Roman"/>
          <w:spacing w:val="-4"/>
          <w:sz w:val="24"/>
          <w:szCs w:val="24"/>
        </w:rPr>
        <w:t xml:space="preserve"> e</w:t>
      </w:r>
      <w:r w:rsidRPr="004E35A9">
        <w:rPr>
          <w:rFonts w:ascii="Candara" w:hAnsi="Candara" w:cs="Times New Roman"/>
          <w:spacing w:val="-4"/>
          <w:sz w:val="24"/>
          <w:szCs w:val="24"/>
        </w:rPr>
        <w:t xml:space="preserve"> </w:t>
      </w:r>
      <w:proofErr w:type="spellStart"/>
      <w:r w:rsidRPr="004E35A9">
        <w:rPr>
          <w:rFonts w:ascii="Candara" w:hAnsi="Candara" w:cs="Times New Roman"/>
          <w:spacing w:val="-4"/>
          <w:sz w:val="24"/>
          <w:szCs w:val="24"/>
        </w:rPr>
        <w:t>Rippel</w:t>
      </w:r>
      <w:proofErr w:type="spellEnd"/>
      <w:r w:rsidRPr="004E35A9">
        <w:rPr>
          <w:rFonts w:ascii="Candara" w:hAnsi="Candara" w:cs="Times New Roman"/>
          <w:spacing w:val="-4"/>
          <w:sz w:val="24"/>
          <w:szCs w:val="24"/>
        </w:rPr>
        <w:t>, 2015)</w:t>
      </w:r>
    </w:p>
    <w:p w14:paraId="5D21759D" w14:textId="65DF0534" w:rsidR="004E35A9" w:rsidRPr="004E35A9" w:rsidRDefault="00445419" w:rsidP="004E35A9">
      <w:pPr>
        <w:pBdr>
          <w:between w:val="single" w:sz="4" w:space="1" w:color="auto"/>
        </w:pBdr>
        <w:spacing w:after="0" w:line="360" w:lineRule="auto"/>
        <w:ind w:firstLine="567"/>
        <w:jc w:val="both"/>
        <w:rPr>
          <w:rFonts w:ascii="Candara" w:hAnsi="Candara" w:cs="Times New Roman"/>
          <w:spacing w:val="-4"/>
          <w:sz w:val="24"/>
          <w:szCs w:val="24"/>
        </w:rPr>
      </w:pPr>
      <w:r w:rsidRPr="00954AC9">
        <w:rPr>
          <w:rFonts w:ascii="Candara" w:hAnsi="Candara" w:cs="Times New Roman"/>
          <w:color w:val="000000" w:themeColor="text1"/>
          <w:spacing w:val="-4"/>
          <w:sz w:val="24"/>
          <w:szCs w:val="24"/>
        </w:rPr>
        <w:t xml:space="preserve">A depender do foco da pesquisa, </w:t>
      </w:r>
      <w:r w:rsidR="00954AC9" w:rsidRPr="00954AC9">
        <w:rPr>
          <w:rFonts w:ascii="Candara" w:hAnsi="Candara" w:cs="Times New Roman"/>
          <w:color w:val="000000" w:themeColor="text1"/>
          <w:spacing w:val="-4"/>
          <w:sz w:val="24"/>
          <w:szCs w:val="24"/>
        </w:rPr>
        <w:t>p</w:t>
      </w:r>
      <w:r w:rsidR="004E35A9" w:rsidRPr="00954AC9">
        <w:rPr>
          <w:rFonts w:ascii="Candara" w:hAnsi="Candara" w:cs="Times New Roman"/>
          <w:color w:val="000000" w:themeColor="text1"/>
          <w:spacing w:val="-4"/>
          <w:sz w:val="24"/>
          <w:szCs w:val="24"/>
        </w:rPr>
        <w:t xml:space="preserve">ara </w:t>
      </w:r>
      <w:r w:rsidR="004E35A9" w:rsidRPr="004E35A9">
        <w:rPr>
          <w:rFonts w:ascii="Candara" w:hAnsi="Candara" w:cs="Times New Roman"/>
          <w:spacing w:val="-4"/>
          <w:sz w:val="24"/>
          <w:szCs w:val="24"/>
        </w:rPr>
        <w:t>empregá-lo, se faz necessária uma combinação de indicadores</w:t>
      </w:r>
      <w:r w:rsidR="007128C6">
        <w:rPr>
          <w:rFonts w:ascii="Candara" w:hAnsi="Candara" w:cs="Times New Roman"/>
          <w:spacing w:val="-4"/>
          <w:sz w:val="24"/>
          <w:szCs w:val="24"/>
        </w:rPr>
        <w:t xml:space="preserve">. </w:t>
      </w:r>
      <w:r w:rsidR="004E35A9" w:rsidRPr="004E35A9">
        <w:rPr>
          <w:rFonts w:ascii="Candara" w:hAnsi="Candara" w:cs="Times New Roman"/>
          <w:spacing w:val="-4"/>
          <w:sz w:val="24"/>
          <w:szCs w:val="24"/>
        </w:rPr>
        <w:t xml:space="preserve">No entanto, apenas coletar e dispor os dados em um quadro pode não ser suficiente para obter conclusões claras acerca dos dados, como afirmado por Prescott-Allen (1997). </w:t>
      </w:r>
    </w:p>
    <w:p w14:paraId="26258183" w14:textId="55BF06A2" w:rsidR="004E35A9" w:rsidRPr="004E35A9" w:rsidRDefault="006618F3" w:rsidP="00954AC9">
      <w:pPr>
        <w:spacing w:after="0" w:line="360" w:lineRule="auto"/>
        <w:ind w:firstLine="851"/>
        <w:jc w:val="both"/>
        <w:rPr>
          <w:rFonts w:ascii="Candara" w:hAnsi="Candara" w:cs="Times New Roman"/>
          <w:spacing w:val="-4"/>
          <w:sz w:val="24"/>
          <w:szCs w:val="24"/>
        </w:rPr>
      </w:pPr>
      <w:r>
        <w:rPr>
          <w:rFonts w:ascii="Candara" w:hAnsi="Candara" w:cs="Times New Roman"/>
          <w:spacing w:val="-4"/>
          <w:sz w:val="24"/>
          <w:szCs w:val="24"/>
        </w:rPr>
        <w:t>P</w:t>
      </w:r>
      <w:r w:rsidR="004E35A9" w:rsidRPr="004E35A9">
        <w:rPr>
          <w:rFonts w:ascii="Candara" w:hAnsi="Candara" w:cs="Times New Roman"/>
          <w:spacing w:val="-4"/>
          <w:sz w:val="24"/>
          <w:szCs w:val="24"/>
        </w:rPr>
        <w:t>ortanto,</w:t>
      </w:r>
      <w:r>
        <w:rPr>
          <w:rFonts w:ascii="Candara" w:hAnsi="Candara" w:cs="Times New Roman"/>
          <w:spacing w:val="-4"/>
          <w:sz w:val="24"/>
          <w:szCs w:val="24"/>
        </w:rPr>
        <w:t xml:space="preserve"> é necessário</w:t>
      </w:r>
      <w:r w:rsidR="004E35A9" w:rsidRPr="004E35A9">
        <w:rPr>
          <w:rFonts w:ascii="Candara" w:hAnsi="Candara" w:cs="Times New Roman"/>
          <w:spacing w:val="-4"/>
          <w:sz w:val="24"/>
          <w:szCs w:val="24"/>
        </w:rPr>
        <w:t xml:space="preserve"> uniformizar e delimitar os indicadores coletados, para que </w:t>
      </w:r>
      <w:r w:rsidR="004E35A9" w:rsidRPr="006618F3">
        <w:rPr>
          <w:rFonts w:ascii="Candara" w:hAnsi="Candara" w:cs="Times New Roman"/>
          <w:color w:val="000000" w:themeColor="text1"/>
          <w:spacing w:val="-4"/>
          <w:sz w:val="24"/>
          <w:szCs w:val="24"/>
        </w:rPr>
        <w:t xml:space="preserve">possam ser calculados e equiparados. Segundo Prescott-Allen (1997), </w:t>
      </w:r>
      <w:r w:rsidR="00445419" w:rsidRPr="006618F3">
        <w:rPr>
          <w:rFonts w:ascii="Candara" w:hAnsi="Candara" w:cs="Times New Roman"/>
          <w:color w:val="000000" w:themeColor="text1"/>
          <w:spacing w:val="-4"/>
          <w:sz w:val="24"/>
          <w:szCs w:val="24"/>
        </w:rPr>
        <w:t xml:space="preserve">para </w:t>
      </w:r>
      <w:r w:rsidR="004E35A9" w:rsidRPr="006618F3">
        <w:rPr>
          <w:rFonts w:ascii="Candara" w:hAnsi="Candara" w:cs="Times New Roman"/>
          <w:color w:val="000000" w:themeColor="text1"/>
          <w:spacing w:val="-4"/>
          <w:sz w:val="24"/>
          <w:szCs w:val="24"/>
        </w:rPr>
        <w:t>uniformiza</w:t>
      </w:r>
      <w:r w:rsidR="00445419" w:rsidRPr="006618F3">
        <w:rPr>
          <w:rFonts w:ascii="Candara" w:hAnsi="Candara" w:cs="Times New Roman"/>
          <w:color w:val="000000" w:themeColor="text1"/>
          <w:spacing w:val="-4"/>
          <w:sz w:val="24"/>
          <w:szCs w:val="24"/>
        </w:rPr>
        <w:t>r os indicadores de bases diferente</w:t>
      </w:r>
      <w:r w:rsidR="004E35A9" w:rsidRPr="006618F3">
        <w:rPr>
          <w:rFonts w:ascii="Candara" w:hAnsi="Candara" w:cs="Times New Roman"/>
          <w:color w:val="000000" w:themeColor="text1"/>
          <w:spacing w:val="-4"/>
          <w:sz w:val="24"/>
          <w:szCs w:val="24"/>
        </w:rPr>
        <w:t xml:space="preserve"> seria transformar o indicador em valor monetário (quanto em dólares ou reais o indicador gera/consome para a região/município analisado). </w:t>
      </w:r>
      <w:proofErr w:type="gramStart"/>
      <w:r w:rsidR="00445419" w:rsidRPr="006618F3">
        <w:rPr>
          <w:rFonts w:ascii="Candara" w:hAnsi="Candara" w:cs="Times New Roman"/>
          <w:color w:val="000000" w:themeColor="text1"/>
          <w:spacing w:val="-4"/>
          <w:sz w:val="24"/>
          <w:szCs w:val="24"/>
        </w:rPr>
        <w:t>Outra alternativa</w:t>
      </w:r>
      <w:proofErr w:type="gramEnd"/>
      <w:r w:rsidR="00445419" w:rsidRPr="006618F3">
        <w:rPr>
          <w:rFonts w:ascii="Candara" w:hAnsi="Candara" w:cs="Times New Roman"/>
          <w:color w:val="000000" w:themeColor="text1"/>
          <w:spacing w:val="-4"/>
          <w:sz w:val="24"/>
          <w:szCs w:val="24"/>
        </w:rPr>
        <w:t xml:space="preserve"> </w:t>
      </w:r>
      <w:r w:rsidR="007128C6" w:rsidRPr="006618F3">
        <w:rPr>
          <w:rFonts w:ascii="Candara" w:hAnsi="Candara" w:cs="Times New Roman"/>
          <w:color w:val="000000" w:themeColor="text1"/>
          <w:spacing w:val="-4"/>
          <w:sz w:val="24"/>
          <w:szCs w:val="24"/>
        </w:rPr>
        <w:t xml:space="preserve">seria o uso de </w:t>
      </w:r>
      <w:r w:rsidR="004E35A9" w:rsidRPr="006618F3">
        <w:rPr>
          <w:rFonts w:ascii="Candara" w:hAnsi="Candara" w:cs="Times New Roman"/>
          <w:color w:val="000000" w:themeColor="text1"/>
          <w:spacing w:val="-4"/>
          <w:sz w:val="24"/>
          <w:szCs w:val="24"/>
        </w:rPr>
        <w:t xml:space="preserve">uma escala de rendimento, </w:t>
      </w:r>
      <w:r w:rsidR="004E35A9" w:rsidRPr="006618F3">
        <w:rPr>
          <w:rFonts w:ascii="Candara" w:hAnsi="Candara" w:cs="Times New Roman"/>
          <w:color w:val="000000" w:themeColor="text1"/>
          <w:spacing w:val="-4"/>
          <w:sz w:val="24"/>
          <w:szCs w:val="24"/>
        </w:rPr>
        <w:lastRenderedPageBreak/>
        <w:t>dos dados de população</w:t>
      </w:r>
      <w:r w:rsidR="004E35A9" w:rsidRPr="006618F3">
        <w:rPr>
          <w:rFonts w:ascii="Candara" w:hAnsi="Candara" w:cs="Times New Roman"/>
          <w:strike/>
          <w:color w:val="000000" w:themeColor="text1"/>
          <w:spacing w:val="-4"/>
          <w:sz w:val="24"/>
          <w:szCs w:val="24"/>
        </w:rPr>
        <w:t xml:space="preserve">, </w:t>
      </w:r>
      <w:r w:rsidR="004E35A9" w:rsidRPr="006618F3">
        <w:rPr>
          <w:rFonts w:ascii="Candara" w:hAnsi="Candara" w:cs="Times New Roman"/>
          <w:color w:val="000000" w:themeColor="text1"/>
          <w:spacing w:val="-4"/>
          <w:sz w:val="24"/>
          <w:szCs w:val="24"/>
        </w:rPr>
        <w:t xml:space="preserve">pois que não há como estabelecer uma relação entre urbano e rural, por exemplo. </w:t>
      </w:r>
    </w:p>
    <w:p w14:paraId="7D8864A8" w14:textId="443FC8DB" w:rsidR="004E35A9" w:rsidRPr="004E35A9" w:rsidRDefault="004E35A9" w:rsidP="004E35A9">
      <w:pPr>
        <w:spacing w:after="0" w:line="360" w:lineRule="auto"/>
        <w:jc w:val="both"/>
        <w:rPr>
          <w:rFonts w:ascii="Candara" w:eastAsia="Candara" w:hAnsi="Candara" w:cs="Candara"/>
          <w:sz w:val="24"/>
          <w:szCs w:val="24"/>
        </w:rPr>
      </w:pPr>
      <w:r w:rsidRPr="004E35A9">
        <w:rPr>
          <w:rFonts w:ascii="Candara" w:hAnsi="Candara" w:cs="Times New Roman"/>
          <w:spacing w:val="-4"/>
          <w:sz w:val="24"/>
          <w:szCs w:val="24"/>
        </w:rPr>
        <w:tab/>
        <w:t xml:space="preserve">Importante ressaltar que, o Barômetro da Sustentabilidade pode ser usado como ferramenta, ao analisar o bem-estar humano e ambiental, e a relação destes com o desenvolvimento </w:t>
      </w:r>
      <w:proofErr w:type="gramStart"/>
      <w:r w:rsidRPr="004E35A9">
        <w:rPr>
          <w:rFonts w:ascii="Candara" w:hAnsi="Candara" w:cs="Times New Roman"/>
          <w:spacing w:val="-4"/>
          <w:sz w:val="24"/>
          <w:szCs w:val="24"/>
        </w:rPr>
        <w:t>sustentável</w:t>
      </w:r>
      <w:proofErr w:type="gramEnd"/>
      <w:r w:rsidR="00D26CD1">
        <w:rPr>
          <w:rFonts w:ascii="Candara" w:hAnsi="Candara" w:cs="Times New Roman"/>
          <w:spacing w:val="-4"/>
          <w:sz w:val="24"/>
          <w:szCs w:val="24"/>
        </w:rPr>
        <w:t xml:space="preserve"> mas também </w:t>
      </w:r>
      <w:r w:rsidRPr="004E35A9">
        <w:rPr>
          <w:rFonts w:ascii="Candara" w:hAnsi="Candara" w:cs="Times New Roman"/>
          <w:spacing w:val="-4"/>
          <w:sz w:val="24"/>
          <w:szCs w:val="24"/>
        </w:rPr>
        <w:t>como comparativo, onde as pessoas se encontram melhor desenvolvidas (ecossistema humano ou ambiental), e de que modo as instituições e governos podem utilizar estas informações para a tomada de decisões e melhoria do município ou região analisada. (Prescott-Allen, 1997)</w:t>
      </w:r>
    </w:p>
    <w:p w14:paraId="2EABE50C" w14:textId="77777777" w:rsidR="004E35A9" w:rsidRDefault="004E35A9" w:rsidP="00F369CC">
      <w:pPr>
        <w:spacing w:line="360" w:lineRule="auto"/>
        <w:jc w:val="both"/>
        <w:rPr>
          <w:rFonts w:ascii="Candara" w:eastAsia="Candara" w:hAnsi="Candara" w:cs="Candara"/>
          <w:sz w:val="24"/>
          <w:szCs w:val="24"/>
        </w:rPr>
      </w:pPr>
    </w:p>
    <w:p w14:paraId="158117D9" w14:textId="11A05522" w:rsidR="004E35A9" w:rsidRDefault="004E35A9" w:rsidP="004E35A9">
      <w:pPr>
        <w:spacing w:after="12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4 Procedimentos Metodológicos</w:t>
      </w:r>
    </w:p>
    <w:p w14:paraId="497B36DA" w14:textId="77777777" w:rsidR="004E35A9" w:rsidRDefault="004E35A9" w:rsidP="003E32C1">
      <w:pPr>
        <w:spacing w:after="0" w:line="360" w:lineRule="auto"/>
        <w:jc w:val="both"/>
        <w:rPr>
          <w:rFonts w:ascii="Candara" w:eastAsia="Times New Roman" w:hAnsi="Candara" w:cs="Times New Roman"/>
          <w:spacing w:val="-6"/>
          <w:sz w:val="24"/>
          <w:szCs w:val="24"/>
        </w:rPr>
      </w:pPr>
    </w:p>
    <w:p w14:paraId="25FE92FA" w14:textId="7850A948" w:rsidR="004E35A9" w:rsidRPr="004E35A9" w:rsidRDefault="004E35A9" w:rsidP="004E35A9">
      <w:pPr>
        <w:spacing w:after="0" w:line="360" w:lineRule="auto"/>
        <w:ind w:firstLine="720"/>
        <w:jc w:val="both"/>
        <w:rPr>
          <w:rFonts w:ascii="Candara" w:eastAsia="Times New Roman" w:hAnsi="Candara" w:cs="Times New Roman"/>
          <w:spacing w:val="-6"/>
          <w:sz w:val="24"/>
          <w:szCs w:val="24"/>
        </w:rPr>
      </w:pPr>
      <w:r w:rsidRPr="004E35A9">
        <w:rPr>
          <w:rFonts w:ascii="Candara" w:eastAsia="Times New Roman" w:hAnsi="Candara" w:cs="Times New Roman"/>
          <w:spacing w:val="-6"/>
          <w:sz w:val="24"/>
          <w:szCs w:val="24"/>
        </w:rPr>
        <w:t xml:space="preserve">A presente pesquisa tem característica quantitativa-qualitativa. Na abordagem quantitativa, foram utilizadas técnicas para coleta, uniformização e análise dos dados, para construir o Barômetro da Sustentabilidade. O enfoque qualitativo torna-se essencial para a apreciação e discussão dos dados e dos cálculos do Barômetro, bem como a interpretação dos resultados e atribuição de respectivos significados. Foram realizadas pesquisas relacionadas ao tema proposto, em especial artigos já publicados que abordaram a metodologia do Barômetro da Sustentabilidade. </w:t>
      </w:r>
    </w:p>
    <w:p w14:paraId="32593B57" w14:textId="77777777" w:rsidR="004E35A9" w:rsidRDefault="004E35A9" w:rsidP="004E35A9">
      <w:pPr>
        <w:spacing w:after="0" w:line="360" w:lineRule="auto"/>
        <w:jc w:val="both"/>
        <w:rPr>
          <w:rFonts w:ascii="Candara" w:eastAsia="Times New Roman" w:hAnsi="Candara" w:cs="Times New Roman"/>
          <w:spacing w:val="-8"/>
          <w:sz w:val="24"/>
          <w:szCs w:val="24"/>
        </w:rPr>
      </w:pPr>
      <w:r w:rsidRPr="004E35A9">
        <w:rPr>
          <w:rFonts w:ascii="Candara" w:eastAsia="Times New Roman" w:hAnsi="Candara" w:cs="Times New Roman"/>
          <w:spacing w:val="-6"/>
          <w:sz w:val="24"/>
          <w:szCs w:val="24"/>
        </w:rPr>
        <w:tab/>
      </w:r>
      <w:bookmarkStart w:id="0" w:name="_Hlk144846973"/>
      <w:r w:rsidRPr="002859DB">
        <w:rPr>
          <w:rFonts w:ascii="Candara" w:eastAsia="Times New Roman" w:hAnsi="Candara" w:cs="Times New Roman"/>
          <w:spacing w:val="-8"/>
          <w:sz w:val="24"/>
          <w:szCs w:val="24"/>
        </w:rPr>
        <w:t xml:space="preserve">Na etapa de coleta dos dados, foram consultados sites reconhecidamente confiáveis, como do Instituto Brasileiro de Geografia e Estatística (IBGE), com destaque para o site IBGE Cidades, o SIDRA (Sistema IBGE de Recuperação Automática), Censo Agropecuário (2017); bem como o site da Federação das Indústrias do Estado do Rio de </w:t>
      </w:r>
      <w:r w:rsidRPr="002859DB">
        <w:rPr>
          <w:rFonts w:ascii="Candara" w:eastAsia="Times New Roman" w:hAnsi="Candara" w:cs="Times New Roman"/>
          <w:spacing w:val="-8"/>
          <w:sz w:val="24"/>
          <w:szCs w:val="24"/>
        </w:rPr>
        <w:lastRenderedPageBreak/>
        <w:t>Janeiro (FIRJAN) que elabora e publica o IFDM (Índice Firjan de Desenvolvimento Municipal, 2018). Ao todo, foram coletados 22 indicadores, os quais estão detalhados na Tabela 2</w:t>
      </w:r>
      <w:bookmarkEnd w:id="0"/>
      <w:r w:rsidRPr="002859DB">
        <w:rPr>
          <w:rFonts w:ascii="Candara" w:eastAsia="Times New Roman" w:hAnsi="Candara" w:cs="Times New Roman"/>
          <w:spacing w:val="-8"/>
          <w:sz w:val="24"/>
          <w:szCs w:val="24"/>
        </w:rPr>
        <w:t xml:space="preserve">. </w:t>
      </w:r>
    </w:p>
    <w:p w14:paraId="2566E8F7" w14:textId="77777777" w:rsidR="00F369CC" w:rsidRPr="002859DB" w:rsidRDefault="00F369CC" w:rsidP="004E35A9">
      <w:pPr>
        <w:spacing w:after="0" w:line="360" w:lineRule="auto"/>
        <w:jc w:val="both"/>
        <w:rPr>
          <w:rFonts w:ascii="Candara" w:eastAsia="Times New Roman" w:hAnsi="Candara" w:cs="Times New Roman"/>
          <w:spacing w:val="-8"/>
          <w:sz w:val="24"/>
          <w:szCs w:val="24"/>
        </w:rPr>
      </w:pPr>
    </w:p>
    <w:p w14:paraId="38099A45" w14:textId="4912D21D" w:rsidR="004E35A9" w:rsidRPr="004E35A9" w:rsidRDefault="004E35A9" w:rsidP="007A3070">
      <w:pPr>
        <w:spacing w:after="0" w:line="240" w:lineRule="auto"/>
        <w:rPr>
          <w:rFonts w:ascii="Candara" w:eastAsia="Times New Roman" w:hAnsi="Candara" w:cs="Times New Roman"/>
          <w:sz w:val="24"/>
          <w:szCs w:val="24"/>
        </w:rPr>
      </w:pPr>
      <w:r w:rsidRPr="004E35A9">
        <w:rPr>
          <w:rFonts w:ascii="Candara" w:eastAsia="Times New Roman" w:hAnsi="Candara" w:cs="Times New Roman"/>
          <w:b/>
          <w:bCs/>
          <w:sz w:val="24"/>
          <w:szCs w:val="24"/>
        </w:rPr>
        <w:t>Tabela</w:t>
      </w:r>
      <w:r w:rsidR="0027569E">
        <w:rPr>
          <w:rFonts w:ascii="Candara" w:eastAsia="Times New Roman" w:hAnsi="Candara" w:cs="Times New Roman"/>
          <w:b/>
          <w:bCs/>
          <w:sz w:val="24"/>
          <w:szCs w:val="24"/>
        </w:rPr>
        <w:t xml:space="preserve"> 1</w:t>
      </w:r>
      <w:r w:rsidRPr="004E35A9">
        <w:rPr>
          <w:rFonts w:ascii="Candara" w:eastAsia="Times New Roman" w:hAnsi="Candara" w:cs="Times New Roman"/>
          <w:sz w:val="24"/>
          <w:szCs w:val="24"/>
        </w:rPr>
        <w:t>– Dimensões, Indicadores e Procedências</w:t>
      </w:r>
    </w:p>
    <w:tbl>
      <w:tblPr>
        <w:tblW w:w="8647"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52"/>
        <w:gridCol w:w="4098"/>
        <w:gridCol w:w="2126"/>
      </w:tblGrid>
      <w:tr w:rsidR="004E35A9" w:rsidRPr="004E35A9" w14:paraId="64266A69" w14:textId="77777777" w:rsidTr="00315358">
        <w:trPr>
          <w:trHeight w:val="503"/>
        </w:trPr>
        <w:tc>
          <w:tcPr>
            <w:tcW w:w="1271" w:type="dxa"/>
            <w:shd w:val="clear" w:color="auto" w:fill="auto"/>
            <w:vAlign w:val="center"/>
            <w:hideMark/>
          </w:tcPr>
          <w:p w14:paraId="63701425" w14:textId="77777777" w:rsidR="004E35A9" w:rsidRPr="0027569E" w:rsidRDefault="004E35A9" w:rsidP="00C534AB">
            <w:pPr>
              <w:spacing w:beforeLines="20" w:before="48" w:afterLines="20" w:after="48" w:line="240" w:lineRule="auto"/>
              <w:jc w:val="center"/>
              <w:rPr>
                <w:rFonts w:ascii="Candara" w:eastAsia="Times New Roman" w:hAnsi="Candara" w:cs="Times New Roman"/>
                <w:b/>
                <w:bCs/>
                <w:color w:val="000000"/>
                <w:sz w:val="18"/>
                <w:szCs w:val="18"/>
              </w:rPr>
            </w:pPr>
            <w:r w:rsidRPr="0027569E">
              <w:rPr>
                <w:rFonts w:ascii="Candara" w:eastAsia="Times New Roman" w:hAnsi="Candara" w:cs="Times New Roman"/>
                <w:b/>
                <w:bCs/>
                <w:color w:val="000000"/>
                <w:sz w:val="18"/>
                <w:szCs w:val="18"/>
              </w:rPr>
              <w:t>Dimensão / Indicadores</w:t>
            </w:r>
          </w:p>
        </w:tc>
        <w:tc>
          <w:tcPr>
            <w:tcW w:w="1152" w:type="dxa"/>
            <w:shd w:val="clear" w:color="auto" w:fill="auto"/>
            <w:vAlign w:val="center"/>
            <w:hideMark/>
          </w:tcPr>
          <w:p w14:paraId="5DC1A96E" w14:textId="77777777" w:rsidR="004E35A9" w:rsidRPr="0027569E" w:rsidRDefault="004E35A9" w:rsidP="00C534AB">
            <w:pPr>
              <w:spacing w:beforeLines="20" w:before="48" w:afterLines="20" w:after="48" w:line="240" w:lineRule="auto"/>
              <w:jc w:val="center"/>
              <w:rPr>
                <w:rFonts w:ascii="Candara" w:eastAsia="Times New Roman" w:hAnsi="Candara" w:cs="Times New Roman"/>
                <w:b/>
                <w:bCs/>
                <w:color w:val="000000"/>
                <w:sz w:val="18"/>
                <w:szCs w:val="18"/>
              </w:rPr>
            </w:pPr>
            <w:r w:rsidRPr="0027569E">
              <w:rPr>
                <w:rFonts w:ascii="Candara" w:eastAsia="Times New Roman" w:hAnsi="Candara" w:cs="Times New Roman"/>
                <w:b/>
                <w:bCs/>
                <w:color w:val="000000"/>
                <w:sz w:val="18"/>
                <w:szCs w:val="18"/>
              </w:rPr>
              <w:t>Nº de Indicadores</w:t>
            </w:r>
          </w:p>
        </w:tc>
        <w:tc>
          <w:tcPr>
            <w:tcW w:w="4098" w:type="dxa"/>
            <w:shd w:val="clear" w:color="auto" w:fill="auto"/>
            <w:vAlign w:val="center"/>
            <w:hideMark/>
          </w:tcPr>
          <w:p w14:paraId="698DC091" w14:textId="77777777" w:rsidR="004E35A9" w:rsidRPr="0027569E" w:rsidRDefault="004E35A9" w:rsidP="00C534AB">
            <w:pPr>
              <w:spacing w:beforeLines="20" w:before="48" w:afterLines="20" w:after="48" w:line="240" w:lineRule="auto"/>
              <w:jc w:val="center"/>
              <w:rPr>
                <w:rFonts w:ascii="Candara" w:eastAsia="Times New Roman" w:hAnsi="Candara" w:cs="Times New Roman"/>
                <w:b/>
                <w:bCs/>
                <w:color w:val="000000"/>
                <w:sz w:val="18"/>
                <w:szCs w:val="18"/>
              </w:rPr>
            </w:pPr>
            <w:r w:rsidRPr="0027569E">
              <w:rPr>
                <w:rFonts w:ascii="Candara" w:eastAsia="Times New Roman" w:hAnsi="Candara" w:cs="Times New Roman"/>
                <w:b/>
                <w:bCs/>
                <w:color w:val="000000"/>
                <w:sz w:val="18"/>
                <w:szCs w:val="18"/>
              </w:rPr>
              <w:t>Indicador</w:t>
            </w:r>
          </w:p>
        </w:tc>
        <w:tc>
          <w:tcPr>
            <w:tcW w:w="2126" w:type="dxa"/>
            <w:shd w:val="clear" w:color="auto" w:fill="auto"/>
            <w:vAlign w:val="center"/>
            <w:hideMark/>
          </w:tcPr>
          <w:p w14:paraId="7E21722F" w14:textId="77777777" w:rsidR="004E35A9" w:rsidRPr="0027569E" w:rsidRDefault="004E35A9" w:rsidP="00C534AB">
            <w:pPr>
              <w:spacing w:beforeLines="20" w:before="48" w:afterLines="20" w:after="48" w:line="240" w:lineRule="auto"/>
              <w:jc w:val="center"/>
              <w:rPr>
                <w:rFonts w:ascii="Candara" w:eastAsia="Times New Roman" w:hAnsi="Candara" w:cs="Times New Roman"/>
                <w:b/>
                <w:bCs/>
                <w:color w:val="000000"/>
                <w:sz w:val="18"/>
                <w:szCs w:val="18"/>
              </w:rPr>
            </w:pPr>
            <w:r w:rsidRPr="0027569E">
              <w:rPr>
                <w:rFonts w:ascii="Candara" w:eastAsia="Times New Roman" w:hAnsi="Candara" w:cs="Times New Roman"/>
                <w:b/>
                <w:bCs/>
                <w:color w:val="000000"/>
                <w:sz w:val="18"/>
                <w:szCs w:val="18"/>
              </w:rPr>
              <w:t>Fonte</w:t>
            </w:r>
          </w:p>
        </w:tc>
      </w:tr>
      <w:tr w:rsidR="004E35A9" w:rsidRPr="004E35A9" w14:paraId="1BAE750B" w14:textId="77777777" w:rsidTr="00315358">
        <w:trPr>
          <w:trHeight w:val="283"/>
        </w:trPr>
        <w:tc>
          <w:tcPr>
            <w:tcW w:w="1271" w:type="dxa"/>
            <w:vMerge w:val="restart"/>
            <w:shd w:val="clear" w:color="auto" w:fill="auto"/>
            <w:vAlign w:val="center"/>
            <w:hideMark/>
          </w:tcPr>
          <w:p w14:paraId="30CD295E" w14:textId="77777777" w:rsidR="004E35A9" w:rsidRPr="00620F8A" w:rsidRDefault="004E35A9" w:rsidP="00C534AB">
            <w:pPr>
              <w:spacing w:beforeLines="20" w:before="48" w:afterLines="20" w:after="48" w:line="240" w:lineRule="auto"/>
              <w:jc w:val="center"/>
              <w:rPr>
                <w:rFonts w:ascii="Candara" w:eastAsia="Times New Roman" w:hAnsi="Candara" w:cs="Times New Roman"/>
                <w:b/>
                <w:bCs/>
                <w:color w:val="000000"/>
                <w:sz w:val="15"/>
                <w:szCs w:val="15"/>
              </w:rPr>
            </w:pPr>
            <w:r w:rsidRPr="00620F8A">
              <w:rPr>
                <w:rFonts w:ascii="Candara" w:eastAsia="Times New Roman" w:hAnsi="Candara" w:cs="Times New Roman"/>
                <w:b/>
                <w:bCs/>
                <w:color w:val="000000"/>
                <w:sz w:val="15"/>
                <w:szCs w:val="15"/>
              </w:rPr>
              <w:t>Bem-estar Humano</w:t>
            </w:r>
          </w:p>
        </w:tc>
        <w:tc>
          <w:tcPr>
            <w:tcW w:w="1152" w:type="dxa"/>
            <w:vMerge w:val="restart"/>
            <w:shd w:val="clear" w:color="auto" w:fill="auto"/>
            <w:vAlign w:val="center"/>
            <w:hideMark/>
          </w:tcPr>
          <w:p w14:paraId="49B8D237"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9</w:t>
            </w:r>
          </w:p>
        </w:tc>
        <w:tc>
          <w:tcPr>
            <w:tcW w:w="4098" w:type="dxa"/>
            <w:shd w:val="clear" w:color="auto" w:fill="auto"/>
            <w:vAlign w:val="center"/>
            <w:hideMark/>
          </w:tcPr>
          <w:p w14:paraId="5265645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IFDM Geral</w:t>
            </w:r>
          </w:p>
        </w:tc>
        <w:tc>
          <w:tcPr>
            <w:tcW w:w="2126" w:type="dxa"/>
            <w:shd w:val="clear" w:color="auto" w:fill="auto"/>
            <w:vAlign w:val="center"/>
            <w:hideMark/>
          </w:tcPr>
          <w:p w14:paraId="16C84291"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FIRJAN (2018)</w:t>
            </w:r>
          </w:p>
        </w:tc>
      </w:tr>
      <w:tr w:rsidR="004E35A9" w:rsidRPr="004E35A9" w14:paraId="6885F904" w14:textId="77777777" w:rsidTr="00315358">
        <w:trPr>
          <w:trHeight w:val="283"/>
        </w:trPr>
        <w:tc>
          <w:tcPr>
            <w:tcW w:w="1271" w:type="dxa"/>
            <w:vMerge/>
            <w:vAlign w:val="center"/>
            <w:hideMark/>
          </w:tcPr>
          <w:p w14:paraId="0ECCDB99"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641143B0"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055E9F3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IFDM Emprego &amp; Renda</w:t>
            </w:r>
          </w:p>
        </w:tc>
        <w:tc>
          <w:tcPr>
            <w:tcW w:w="2126" w:type="dxa"/>
            <w:shd w:val="clear" w:color="auto" w:fill="auto"/>
            <w:noWrap/>
            <w:vAlign w:val="center"/>
            <w:hideMark/>
          </w:tcPr>
          <w:p w14:paraId="1A0FBB02"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FIRJAN (2018)</w:t>
            </w:r>
          </w:p>
        </w:tc>
      </w:tr>
      <w:tr w:rsidR="004E35A9" w:rsidRPr="004E35A9" w14:paraId="52B0D4E3" w14:textId="77777777" w:rsidTr="00315358">
        <w:trPr>
          <w:trHeight w:val="283"/>
        </w:trPr>
        <w:tc>
          <w:tcPr>
            <w:tcW w:w="1271" w:type="dxa"/>
            <w:vMerge/>
            <w:vAlign w:val="center"/>
            <w:hideMark/>
          </w:tcPr>
          <w:p w14:paraId="76AEFE9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326AF061"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4B94922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IFDM Educação</w:t>
            </w:r>
          </w:p>
        </w:tc>
        <w:tc>
          <w:tcPr>
            <w:tcW w:w="2126" w:type="dxa"/>
            <w:shd w:val="clear" w:color="auto" w:fill="auto"/>
            <w:noWrap/>
            <w:vAlign w:val="center"/>
            <w:hideMark/>
          </w:tcPr>
          <w:p w14:paraId="1DB8B97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FIRJAN (2018)</w:t>
            </w:r>
          </w:p>
        </w:tc>
      </w:tr>
      <w:tr w:rsidR="004E35A9" w:rsidRPr="004E35A9" w14:paraId="1FC74EF9" w14:textId="77777777" w:rsidTr="00315358">
        <w:trPr>
          <w:trHeight w:val="283"/>
        </w:trPr>
        <w:tc>
          <w:tcPr>
            <w:tcW w:w="1271" w:type="dxa"/>
            <w:vMerge/>
            <w:vAlign w:val="center"/>
            <w:hideMark/>
          </w:tcPr>
          <w:p w14:paraId="64E3F88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18C3559A"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18B7ABA5"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IDEB anos finais do ensino fundamental</w:t>
            </w:r>
          </w:p>
        </w:tc>
        <w:tc>
          <w:tcPr>
            <w:tcW w:w="2126" w:type="dxa"/>
            <w:shd w:val="clear" w:color="auto" w:fill="auto"/>
            <w:noWrap/>
            <w:vAlign w:val="center"/>
            <w:hideMark/>
          </w:tcPr>
          <w:p w14:paraId="5940A358"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IBGE Cidades (2023)</w:t>
            </w:r>
          </w:p>
        </w:tc>
      </w:tr>
      <w:tr w:rsidR="004E35A9" w:rsidRPr="004E35A9" w14:paraId="2B9C5DF6" w14:textId="77777777" w:rsidTr="00315358">
        <w:trPr>
          <w:trHeight w:val="283"/>
        </w:trPr>
        <w:tc>
          <w:tcPr>
            <w:tcW w:w="1271" w:type="dxa"/>
            <w:vMerge/>
            <w:vAlign w:val="center"/>
            <w:hideMark/>
          </w:tcPr>
          <w:p w14:paraId="3C2D5E6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338C6FBD"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2DA76DF8"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IFDM Saúde</w:t>
            </w:r>
          </w:p>
        </w:tc>
        <w:tc>
          <w:tcPr>
            <w:tcW w:w="2126" w:type="dxa"/>
            <w:shd w:val="clear" w:color="auto" w:fill="auto"/>
            <w:noWrap/>
            <w:vAlign w:val="center"/>
            <w:hideMark/>
          </w:tcPr>
          <w:p w14:paraId="0B328170"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FIRJAN (2018)</w:t>
            </w:r>
          </w:p>
        </w:tc>
      </w:tr>
      <w:tr w:rsidR="004E35A9" w:rsidRPr="004E35A9" w14:paraId="6CB212E6" w14:textId="77777777" w:rsidTr="00506EF6">
        <w:trPr>
          <w:trHeight w:val="283"/>
        </w:trPr>
        <w:tc>
          <w:tcPr>
            <w:tcW w:w="1271" w:type="dxa"/>
            <w:vMerge/>
            <w:vAlign w:val="center"/>
            <w:hideMark/>
          </w:tcPr>
          <w:p w14:paraId="28CD69A8"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6B5B09DA"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1E95D666"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Mortalidade infantil (óbitos por mil nascidos vivos)</w:t>
            </w:r>
          </w:p>
        </w:tc>
        <w:tc>
          <w:tcPr>
            <w:tcW w:w="2126" w:type="dxa"/>
            <w:shd w:val="clear" w:color="auto" w:fill="auto"/>
            <w:noWrap/>
            <w:vAlign w:val="center"/>
            <w:hideMark/>
          </w:tcPr>
          <w:p w14:paraId="754ED79A"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IBGE Cidades (2023)</w:t>
            </w:r>
          </w:p>
        </w:tc>
      </w:tr>
      <w:tr w:rsidR="004E35A9" w:rsidRPr="004E35A9" w14:paraId="7CBAFA65" w14:textId="77777777" w:rsidTr="00315358">
        <w:trPr>
          <w:trHeight w:val="454"/>
        </w:trPr>
        <w:tc>
          <w:tcPr>
            <w:tcW w:w="1271" w:type="dxa"/>
            <w:vMerge/>
            <w:vAlign w:val="center"/>
            <w:hideMark/>
          </w:tcPr>
          <w:p w14:paraId="068BE763"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40386EBF"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4FFD6E8D"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Número de ligações ativas abastecidas por água – rede (urbano) (Unidades)</w:t>
            </w:r>
          </w:p>
        </w:tc>
        <w:tc>
          <w:tcPr>
            <w:tcW w:w="2126" w:type="dxa"/>
            <w:shd w:val="clear" w:color="auto" w:fill="auto"/>
            <w:noWrap/>
            <w:vAlign w:val="center"/>
            <w:hideMark/>
          </w:tcPr>
          <w:p w14:paraId="4886F6E8"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SIDRA IBGE (2023)</w:t>
            </w:r>
          </w:p>
        </w:tc>
      </w:tr>
      <w:tr w:rsidR="004E35A9" w:rsidRPr="004E35A9" w14:paraId="65CC6F0E" w14:textId="77777777" w:rsidTr="00506EF6">
        <w:trPr>
          <w:trHeight w:val="283"/>
        </w:trPr>
        <w:tc>
          <w:tcPr>
            <w:tcW w:w="1271" w:type="dxa"/>
            <w:vMerge/>
            <w:vAlign w:val="center"/>
            <w:hideMark/>
          </w:tcPr>
          <w:p w14:paraId="2C24E5E9"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1E94E0C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50810B69"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Volume de água consumida por dia (metros cúbicos)</w:t>
            </w:r>
          </w:p>
        </w:tc>
        <w:tc>
          <w:tcPr>
            <w:tcW w:w="2126" w:type="dxa"/>
            <w:shd w:val="clear" w:color="auto" w:fill="auto"/>
            <w:noWrap/>
            <w:vAlign w:val="center"/>
            <w:hideMark/>
          </w:tcPr>
          <w:p w14:paraId="019FAD6A"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SIDRA IBGE (2023)</w:t>
            </w:r>
          </w:p>
        </w:tc>
      </w:tr>
      <w:tr w:rsidR="004E35A9" w:rsidRPr="004E35A9" w14:paraId="57B0601F" w14:textId="77777777" w:rsidTr="00315358">
        <w:trPr>
          <w:trHeight w:val="283"/>
        </w:trPr>
        <w:tc>
          <w:tcPr>
            <w:tcW w:w="1271" w:type="dxa"/>
            <w:vMerge/>
            <w:vAlign w:val="center"/>
            <w:hideMark/>
          </w:tcPr>
          <w:p w14:paraId="6ECD6B17"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59923216"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58986303"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Esgotamento sanitário adequado (percentual)</w:t>
            </w:r>
          </w:p>
        </w:tc>
        <w:tc>
          <w:tcPr>
            <w:tcW w:w="2126" w:type="dxa"/>
            <w:shd w:val="clear" w:color="auto" w:fill="auto"/>
            <w:noWrap/>
            <w:vAlign w:val="center"/>
            <w:hideMark/>
          </w:tcPr>
          <w:p w14:paraId="691B4EF1"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SIDRA IBGE (2023)</w:t>
            </w:r>
          </w:p>
        </w:tc>
      </w:tr>
      <w:tr w:rsidR="004E35A9" w:rsidRPr="004E35A9" w14:paraId="363E6145" w14:textId="77777777" w:rsidTr="00315358">
        <w:trPr>
          <w:trHeight w:val="283"/>
        </w:trPr>
        <w:tc>
          <w:tcPr>
            <w:tcW w:w="1271" w:type="dxa"/>
            <w:vMerge/>
            <w:vAlign w:val="center"/>
            <w:hideMark/>
          </w:tcPr>
          <w:p w14:paraId="246466AC"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3AC38D0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7B07313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Salário médio mensal</w:t>
            </w:r>
          </w:p>
        </w:tc>
        <w:tc>
          <w:tcPr>
            <w:tcW w:w="2126" w:type="dxa"/>
            <w:shd w:val="clear" w:color="auto" w:fill="auto"/>
            <w:noWrap/>
            <w:vAlign w:val="center"/>
            <w:hideMark/>
          </w:tcPr>
          <w:p w14:paraId="5DF90B96"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IBGE Cidades (2023)</w:t>
            </w:r>
          </w:p>
        </w:tc>
      </w:tr>
      <w:tr w:rsidR="004E35A9" w:rsidRPr="004E35A9" w14:paraId="2D54234C" w14:textId="77777777" w:rsidTr="00315358">
        <w:trPr>
          <w:trHeight w:val="283"/>
        </w:trPr>
        <w:tc>
          <w:tcPr>
            <w:tcW w:w="1271" w:type="dxa"/>
            <w:vMerge w:val="restart"/>
            <w:shd w:val="clear" w:color="auto" w:fill="auto"/>
            <w:noWrap/>
            <w:vAlign w:val="center"/>
            <w:hideMark/>
          </w:tcPr>
          <w:p w14:paraId="12265D80" w14:textId="77777777" w:rsidR="004E35A9" w:rsidRPr="00620F8A" w:rsidRDefault="004E35A9" w:rsidP="00C534AB">
            <w:pPr>
              <w:spacing w:beforeLines="20" w:before="48" w:afterLines="20" w:after="48" w:line="240" w:lineRule="auto"/>
              <w:jc w:val="center"/>
              <w:rPr>
                <w:rFonts w:ascii="Candara" w:eastAsia="Times New Roman" w:hAnsi="Candara" w:cs="Times New Roman"/>
                <w:b/>
                <w:bCs/>
                <w:color w:val="000000"/>
                <w:sz w:val="15"/>
                <w:szCs w:val="15"/>
              </w:rPr>
            </w:pPr>
            <w:r w:rsidRPr="00620F8A">
              <w:rPr>
                <w:rFonts w:ascii="Candara" w:eastAsia="Times New Roman" w:hAnsi="Candara" w:cs="Times New Roman"/>
                <w:b/>
                <w:bCs/>
                <w:color w:val="000000"/>
                <w:sz w:val="15"/>
                <w:szCs w:val="15"/>
              </w:rPr>
              <w:t>Econômicos</w:t>
            </w:r>
          </w:p>
        </w:tc>
        <w:tc>
          <w:tcPr>
            <w:tcW w:w="1152" w:type="dxa"/>
            <w:vMerge w:val="restart"/>
            <w:shd w:val="clear" w:color="auto" w:fill="auto"/>
            <w:noWrap/>
            <w:vAlign w:val="center"/>
            <w:hideMark/>
          </w:tcPr>
          <w:p w14:paraId="64DDAB46"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4</w:t>
            </w:r>
          </w:p>
        </w:tc>
        <w:tc>
          <w:tcPr>
            <w:tcW w:w="4098" w:type="dxa"/>
            <w:shd w:val="clear" w:color="auto" w:fill="auto"/>
            <w:noWrap/>
            <w:vAlign w:val="center"/>
            <w:hideMark/>
          </w:tcPr>
          <w:p w14:paraId="270089FA"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PIB per capita</w:t>
            </w:r>
          </w:p>
        </w:tc>
        <w:tc>
          <w:tcPr>
            <w:tcW w:w="2126" w:type="dxa"/>
            <w:shd w:val="clear" w:color="auto" w:fill="auto"/>
            <w:noWrap/>
            <w:vAlign w:val="center"/>
            <w:hideMark/>
          </w:tcPr>
          <w:p w14:paraId="5ABA04B9"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IBGE Cidades (2023)</w:t>
            </w:r>
          </w:p>
        </w:tc>
      </w:tr>
      <w:tr w:rsidR="004E35A9" w:rsidRPr="004E35A9" w14:paraId="7E13D2D7" w14:textId="77777777" w:rsidTr="00315358">
        <w:trPr>
          <w:trHeight w:val="283"/>
        </w:trPr>
        <w:tc>
          <w:tcPr>
            <w:tcW w:w="1271" w:type="dxa"/>
            <w:vMerge/>
            <w:vAlign w:val="center"/>
            <w:hideMark/>
          </w:tcPr>
          <w:p w14:paraId="0FDAD847"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59A7E213"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1898DB48"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População ocupada (percentual)</w:t>
            </w:r>
          </w:p>
        </w:tc>
        <w:tc>
          <w:tcPr>
            <w:tcW w:w="2126" w:type="dxa"/>
            <w:shd w:val="clear" w:color="auto" w:fill="auto"/>
            <w:noWrap/>
            <w:vAlign w:val="center"/>
            <w:hideMark/>
          </w:tcPr>
          <w:p w14:paraId="3B210D9B"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IBGE Cidades (2023)</w:t>
            </w:r>
          </w:p>
        </w:tc>
      </w:tr>
      <w:tr w:rsidR="004E35A9" w:rsidRPr="004E35A9" w14:paraId="3B270639" w14:textId="77777777" w:rsidTr="00506EF6">
        <w:trPr>
          <w:trHeight w:val="283"/>
        </w:trPr>
        <w:tc>
          <w:tcPr>
            <w:tcW w:w="1271" w:type="dxa"/>
            <w:vMerge/>
            <w:vAlign w:val="center"/>
            <w:hideMark/>
          </w:tcPr>
          <w:p w14:paraId="598C72A6"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7C171D8C"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1DD57C7F"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 xml:space="preserve">População com rendimento até 1/2 </w:t>
            </w:r>
            <w:proofErr w:type="gramStart"/>
            <w:r w:rsidRPr="00620F8A">
              <w:rPr>
                <w:rFonts w:ascii="Candara" w:eastAsia="Times New Roman" w:hAnsi="Candara" w:cs="Times New Roman"/>
                <w:color w:val="000000"/>
                <w:sz w:val="15"/>
                <w:szCs w:val="15"/>
              </w:rPr>
              <w:t>salário mínimo</w:t>
            </w:r>
            <w:proofErr w:type="gramEnd"/>
            <w:r w:rsidRPr="00620F8A">
              <w:rPr>
                <w:rFonts w:ascii="Candara" w:eastAsia="Times New Roman" w:hAnsi="Candara" w:cs="Times New Roman"/>
                <w:color w:val="000000"/>
                <w:sz w:val="15"/>
                <w:szCs w:val="15"/>
              </w:rPr>
              <w:t xml:space="preserve"> (percentual)</w:t>
            </w:r>
          </w:p>
        </w:tc>
        <w:tc>
          <w:tcPr>
            <w:tcW w:w="2126" w:type="dxa"/>
            <w:shd w:val="clear" w:color="auto" w:fill="auto"/>
            <w:noWrap/>
            <w:vAlign w:val="center"/>
            <w:hideMark/>
          </w:tcPr>
          <w:p w14:paraId="2215D8B3"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IBGE Cidades (2023)</w:t>
            </w:r>
          </w:p>
        </w:tc>
      </w:tr>
      <w:tr w:rsidR="004E35A9" w:rsidRPr="004E35A9" w14:paraId="597E4FF0" w14:textId="77777777" w:rsidTr="00506EF6">
        <w:trPr>
          <w:trHeight w:val="624"/>
        </w:trPr>
        <w:tc>
          <w:tcPr>
            <w:tcW w:w="1271" w:type="dxa"/>
            <w:vMerge/>
            <w:vAlign w:val="center"/>
            <w:hideMark/>
          </w:tcPr>
          <w:p w14:paraId="63267F36" w14:textId="77777777" w:rsidR="004E35A9" w:rsidRPr="0027569E" w:rsidRDefault="004E35A9" w:rsidP="00C534AB">
            <w:pPr>
              <w:spacing w:beforeLines="20" w:before="48" w:afterLines="20" w:after="48" w:line="240" w:lineRule="auto"/>
              <w:jc w:val="center"/>
              <w:rPr>
                <w:rFonts w:ascii="Candara" w:eastAsia="Times New Roman" w:hAnsi="Candara" w:cs="Times New Roman"/>
                <w:color w:val="000000"/>
                <w:sz w:val="16"/>
                <w:szCs w:val="16"/>
              </w:rPr>
            </w:pPr>
          </w:p>
        </w:tc>
        <w:tc>
          <w:tcPr>
            <w:tcW w:w="1152" w:type="dxa"/>
            <w:vMerge/>
            <w:vAlign w:val="center"/>
            <w:hideMark/>
          </w:tcPr>
          <w:p w14:paraId="56EB37E5" w14:textId="77777777" w:rsidR="004E35A9" w:rsidRPr="0027569E" w:rsidRDefault="004E35A9" w:rsidP="00C534AB">
            <w:pPr>
              <w:spacing w:beforeLines="20" w:before="48" w:afterLines="20" w:after="48" w:line="240" w:lineRule="auto"/>
              <w:jc w:val="center"/>
              <w:rPr>
                <w:rFonts w:ascii="Candara" w:eastAsia="Times New Roman" w:hAnsi="Candara" w:cs="Times New Roman"/>
                <w:color w:val="000000"/>
                <w:sz w:val="16"/>
                <w:szCs w:val="16"/>
              </w:rPr>
            </w:pPr>
          </w:p>
        </w:tc>
        <w:tc>
          <w:tcPr>
            <w:tcW w:w="4098" w:type="dxa"/>
            <w:shd w:val="clear" w:color="auto" w:fill="auto"/>
            <w:vAlign w:val="center"/>
            <w:hideMark/>
          </w:tcPr>
          <w:p w14:paraId="18CC4102"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Percentual do Valor Adicionado Bruto (VAB) de Serviços, preços correntes - exceto Administração, defesa, educação e saúde públicas e seguridade social (R$ 1.000)</w:t>
            </w:r>
          </w:p>
        </w:tc>
        <w:tc>
          <w:tcPr>
            <w:tcW w:w="2126" w:type="dxa"/>
            <w:shd w:val="clear" w:color="auto" w:fill="auto"/>
            <w:noWrap/>
            <w:vAlign w:val="center"/>
            <w:hideMark/>
          </w:tcPr>
          <w:p w14:paraId="6EE6A405"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p w14:paraId="212F39CC"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SIDRA IBGE (2023)</w:t>
            </w:r>
          </w:p>
          <w:p w14:paraId="2BC902D4"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r>
      <w:tr w:rsidR="004E35A9" w:rsidRPr="004E35A9" w14:paraId="58E5F1E2" w14:textId="77777777" w:rsidTr="00315358">
        <w:trPr>
          <w:trHeight w:val="283"/>
        </w:trPr>
        <w:tc>
          <w:tcPr>
            <w:tcW w:w="1271" w:type="dxa"/>
            <w:vMerge w:val="restart"/>
            <w:shd w:val="clear" w:color="auto" w:fill="auto"/>
            <w:noWrap/>
            <w:vAlign w:val="center"/>
            <w:hideMark/>
          </w:tcPr>
          <w:p w14:paraId="5DCD8A9E" w14:textId="77777777" w:rsidR="004E35A9" w:rsidRPr="00620F8A" w:rsidRDefault="004E35A9" w:rsidP="00C534AB">
            <w:pPr>
              <w:spacing w:beforeLines="20" w:before="48" w:afterLines="20" w:after="48" w:line="240" w:lineRule="auto"/>
              <w:jc w:val="center"/>
              <w:rPr>
                <w:rFonts w:ascii="Candara" w:eastAsia="Times New Roman" w:hAnsi="Candara" w:cs="Times New Roman"/>
                <w:b/>
                <w:bCs/>
                <w:color w:val="000000"/>
                <w:sz w:val="15"/>
                <w:szCs w:val="15"/>
              </w:rPr>
            </w:pPr>
            <w:r w:rsidRPr="00620F8A">
              <w:rPr>
                <w:rFonts w:ascii="Candara" w:eastAsia="Times New Roman" w:hAnsi="Candara" w:cs="Times New Roman"/>
                <w:b/>
                <w:bCs/>
                <w:color w:val="000000"/>
                <w:sz w:val="15"/>
                <w:szCs w:val="15"/>
              </w:rPr>
              <w:t>Ambientais</w:t>
            </w:r>
          </w:p>
        </w:tc>
        <w:tc>
          <w:tcPr>
            <w:tcW w:w="1152" w:type="dxa"/>
            <w:vMerge w:val="restart"/>
            <w:shd w:val="clear" w:color="auto" w:fill="auto"/>
            <w:noWrap/>
            <w:vAlign w:val="center"/>
            <w:hideMark/>
          </w:tcPr>
          <w:p w14:paraId="314BC6D6"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9</w:t>
            </w:r>
          </w:p>
        </w:tc>
        <w:tc>
          <w:tcPr>
            <w:tcW w:w="4098" w:type="dxa"/>
            <w:shd w:val="clear" w:color="auto" w:fill="auto"/>
            <w:vAlign w:val="center"/>
            <w:hideMark/>
          </w:tcPr>
          <w:p w14:paraId="4317C7C0"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Arborização de vias públicas (percentual)</w:t>
            </w:r>
          </w:p>
        </w:tc>
        <w:tc>
          <w:tcPr>
            <w:tcW w:w="2126" w:type="dxa"/>
            <w:shd w:val="clear" w:color="auto" w:fill="auto"/>
            <w:noWrap/>
            <w:vAlign w:val="center"/>
            <w:hideMark/>
          </w:tcPr>
          <w:p w14:paraId="0256D996"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IBGE Cidades (2023)</w:t>
            </w:r>
          </w:p>
        </w:tc>
      </w:tr>
      <w:tr w:rsidR="004E35A9" w:rsidRPr="004E35A9" w14:paraId="0A7B6C55" w14:textId="77777777" w:rsidTr="00315358">
        <w:trPr>
          <w:trHeight w:val="283"/>
        </w:trPr>
        <w:tc>
          <w:tcPr>
            <w:tcW w:w="1271" w:type="dxa"/>
            <w:vMerge/>
            <w:shd w:val="clear" w:color="auto" w:fill="auto"/>
            <w:noWrap/>
            <w:vAlign w:val="center"/>
          </w:tcPr>
          <w:p w14:paraId="087D5342"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shd w:val="clear" w:color="auto" w:fill="auto"/>
            <w:noWrap/>
            <w:vAlign w:val="center"/>
          </w:tcPr>
          <w:p w14:paraId="4AEFC186"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tcPr>
          <w:p w14:paraId="6AE01482"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Urbanização de vias públicas (percentual)</w:t>
            </w:r>
          </w:p>
        </w:tc>
        <w:tc>
          <w:tcPr>
            <w:tcW w:w="2126" w:type="dxa"/>
            <w:shd w:val="clear" w:color="auto" w:fill="auto"/>
            <w:noWrap/>
            <w:vAlign w:val="center"/>
          </w:tcPr>
          <w:p w14:paraId="317FAF78"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IBGE Cidades (2023)</w:t>
            </w:r>
          </w:p>
        </w:tc>
      </w:tr>
      <w:tr w:rsidR="004E35A9" w:rsidRPr="004E35A9" w14:paraId="1184BEE8" w14:textId="77777777" w:rsidTr="00315358">
        <w:trPr>
          <w:trHeight w:val="283"/>
        </w:trPr>
        <w:tc>
          <w:tcPr>
            <w:tcW w:w="1271" w:type="dxa"/>
            <w:vMerge/>
            <w:vAlign w:val="center"/>
            <w:hideMark/>
          </w:tcPr>
          <w:p w14:paraId="3BF7B546"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28F20158"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672A484F"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Área urbanizada (km2)</w:t>
            </w:r>
          </w:p>
        </w:tc>
        <w:tc>
          <w:tcPr>
            <w:tcW w:w="2126" w:type="dxa"/>
            <w:shd w:val="clear" w:color="auto" w:fill="auto"/>
            <w:noWrap/>
            <w:vAlign w:val="center"/>
            <w:hideMark/>
          </w:tcPr>
          <w:p w14:paraId="5C24F981"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IBGE Cidades (2023)</w:t>
            </w:r>
          </w:p>
        </w:tc>
      </w:tr>
      <w:tr w:rsidR="004E35A9" w:rsidRPr="004E35A9" w14:paraId="1EB891B0" w14:textId="77777777" w:rsidTr="00506EF6">
        <w:trPr>
          <w:trHeight w:val="283"/>
        </w:trPr>
        <w:tc>
          <w:tcPr>
            <w:tcW w:w="1271" w:type="dxa"/>
            <w:vMerge/>
            <w:vAlign w:val="center"/>
            <w:hideMark/>
          </w:tcPr>
          <w:p w14:paraId="2C9C731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08F91F84"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583AC7B8"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Estabelecimentos rurais com energia elétrica (percentual)</w:t>
            </w:r>
          </w:p>
        </w:tc>
        <w:tc>
          <w:tcPr>
            <w:tcW w:w="2126" w:type="dxa"/>
            <w:shd w:val="clear" w:color="auto" w:fill="auto"/>
            <w:noWrap/>
            <w:vAlign w:val="center"/>
            <w:hideMark/>
          </w:tcPr>
          <w:p w14:paraId="620CC398"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Censo Agropecuário (2017)</w:t>
            </w:r>
          </w:p>
        </w:tc>
      </w:tr>
      <w:tr w:rsidR="004E35A9" w:rsidRPr="004E35A9" w14:paraId="681D80E4" w14:textId="77777777" w:rsidTr="00506EF6">
        <w:trPr>
          <w:trHeight w:val="624"/>
        </w:trPr>
        <w:tc>
          <w:tcPr>
            <w:tcW w:w="1271" w:type="dxa"/>
            <w:vMerge/>
            <w:vAlign w:val="center"/>
            <w:hideMark/>
          </w:tcPr>
          <w:p w14:paraId="29B9BCE5"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55905A42"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1DE3713E"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Percentual de estabelecimentos rurais com água (nascentes, rios, riachos, poços ou cisterna convencional, jorrante ou profundo)</w:t>
            </w:r>
          </w:p>
        </w:tc>
        <w:tc>
          <w:tcPr>
            <w:tcW w:w="2126" w:type="dxa"/>
            <w:shd w:val="clear" w:color="auto" w:fill="auto"/>
            <w:noWrap/>
            <w:vAlign w:val="center"/>
            <w:hideMark/>
          </w:tcPr>
          <w:p w14:paraId="397C1424"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Censo Agropecuário (2017)</w:t>
            </w:r>
          </w:p>
        </w:tc>
      </w:tr>
      <w:tr w:rsidR="004E35A9" w:rsidRPr="004E35A9" w14:paraId="70C3B9A0" w14:textId="77777777" w:rsidTr="00506EF6">
        <w:trPr>
          <w:trHeight w:val="283"/>
        </w:trPr>
        <w:tc>
          <w:tcPr>
            <w:tcW w:w="1271" w:type="dxa"/>
            <w:vMerge/>
            <w:vAlign w:val="center"/>
            <w:hideMark/>
          </w:tcPr>
          <w:p w14:paraId="4EE6A689"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018FAB57"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7FACECB6" w14:textId="77777777" w:rsidR="004E35A9" w:rsidRPr="00620F8A" w:rsidRDefault="004E35A9" w:rsidP="00C534AB">
            <w:pPr>
              <w:spacing w:beforeLines="20" w:before="48" w:afterLines="20" w:after="48"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Percentual de estabelecimentos rurais NÃO usou agrotóxico</w:t>
            </w:r>
          </w:p>
        </w:tc>
        <w:tc>
          <w:tcPr>
            <w:tcW w:w="2126" w:type="dxa"/>
            <w:shd w:val="clear" w:color="auto" w:fill="auto"/>
            <w:noWrap/>
            <w:vAlign w:val="center"/>
            <w:hideMark/>
          </w:tcPr>
          <w:p w14:paraId="28020698" w14:textId="77777777" w:rsidR="004E35A9" w:rsidRPr="00620F8A" w:rsidRDefault="004E35A9" w:rsidP="00C534AB">
            <w:pPr>
              <w:spacing w:beforeLines="20" w:before="48" w:afterLines="20" w:after="48"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Censo Agropecuário (2017)</w:t>
            </w:r>
          </w:p>
        </w:tc>
      </w:tr>
      <w:tr w:rsidR="004E35A9" w:rsidRPr="004E35A9" w14:paraId="37A4EAA6" w14:textId="77777777" w:rsidTr="00315358">
        <w:trPr>
          <w:trHeight w:val="454"/>
        </w:trPr>
        <w:tc>
          <w:tcPr>
            <w:tcW w:w="1271" w:type="dxa"/>
            <w:vMerge/>
            <w:vAlign w:val="center"/>
            <w:hideMark/>
          </w:tcPr>
          <w:p w14:paraId="1FB5291C"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03F6E5ED"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31DF64E7" w14:textId="77777777" w:rsidR="004E35A9" w:rsidRPr="00620F8A" w:rsidRDefault="004E35A9" w:rsidP="00C534AB">
            <w:pPr>
              <w:spacing w:beforeLines="20" w:before="48" w:afterLines="20" w:after="48"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Percentual de estabelecimentos rurais RECEBE orientação técnica</w:t>
            </w:r>
          </w:p>
        </w:tc>
        <w:tc>
          <w:tcPr>
            <w:tcW w:w="2126" w:type="dxa"/>
            <w:shd w:val="clear" w:color="auto" w:fill="auto"/>
            <w:noWrap/>
            <w:vAlign w:val="center"/>
            <w:hideMark/>
          </w:tcPr>
          <w:p w14:paraId="622EC769" w14:textId="77777777" w:rsidR="004E35A9" w:rsidRPr="00620F8A" w:rsidRDefault="004E35A9" w:rsidP="00C534AB">
            <w:pPr>
              <w:spacing w:beforeLines="20" w:before="48" w:afterLines="20" w:after="48"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Censo Agropecuário (2017)</w:t>
            </w:r>
          </w:p>
        </w:tc>
      </w:tr>
      <w:tr w:rsidR="004E35A9" w:rsidRPr="004E35A9" w14:paraId="5909053B" w14:textId="77777777" w:rsidTr="00506EF6">
        <w:trPr>
          <w:trHeight w:val="397"/>
        </w:trPr>
        <w:tc>
          <w:tcPr>
            <w:tcW w:w="1271" w:type="dxa"/>
            <w:vMerge/>
            <w:vAlign w:val="center"/>
            <w:hideMark/>
          </w:tcPr>
          <w:p w14:paraId="4CCAC489"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19E29AA2"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2552EAAE" w14:textId="77777777" w:rsidR="004E35A9" w:rsidRPr="00620F8A" w:rsidRDefault="004E35A9" w:rsidP="00C534AB">
            <w:pPr>
              <w:spacing w:beforeLines="20" w:before="48" w:afterLines="20" w:after="48"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Percentual de estabelecimentos rurais com uso de agricultura ou pecuária orgânica</w:t>
            </w:r>
          </w:p>
        </w:tc>
        <w:tc>
          <w:tcPr>
            <w:tcW w:w="2126" w:type="dxa"/>
            <w:shd w:val="clear" w:color="auto" w:fill="auto"/>
            <w:noWrap/>
            <w:vAlign w:val="center"/>
            <w:hideMark/>
          </w:tcPr>
          <w:p w14:paraId="7901E708" w14:textId="77777777" w:rsidR="004E35A9" w:rsidRPr="00620F8A" w:rsidRDefault="004E35A9" w:rsidP="00C534AB">
            <w:pPr>
              <w:spacing w:beforeLines="20" w:before="48" w:afterLines="20" w:after="48"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Censo Agropecuário (2017)</w:t>
            </w:r>
          </w:p>
        </w:tc>
      </w:tr>
      <w:tr w:rsidR="004E35A9" w:rsidRPr="004E35A9" w14:paraId="31F6574E" w14:textId="77777777" w:rsidTr="00506EF6">
        <w:trPr>
          <w:trHeight w:val="397"/>
        </w:trPr>
        <w:tc>
          <w:tcPr>
            <w:tcW w:w="1271" w:type="dxa"/>
            <w:vMerge/>
            <w:vAlign w:val="center"/>
            <w:hideMark/>
          </w:tcPr>
          <w:p w14:paraId="4A1A94DB"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1152" w:type="dxa"/>
            <w:vMerge/>
            <w:vAlign w:val="center"/>
            <w:hideMark/>
          </w:tcPr>
          <w:p w14:paraId="78CD6907" w14:textId="77777777" w:rsidR="004E35A9" w:rsidRPr="00620F8A" w:rsidRDefault="004E35A9" w:rsidP="00C534AB">
            <w:pPr>
              <w:spacing w:beforeLines="20" w:before="48" w:afterLines="20" w:after="48" w:line="240" w:lineRule="auto"/>
              <w:jc w:val="center"/>
              <w:rPr>
                <w:rFonts w:ascii="Candara" w:eastAsia="Times New Roman" w:hAnsi="Candara" w:cs="Times New Roman"/>
                <w:color w:val="000000"/>
                <w:sz w:val="15"/>
                <w:szCs w:val="15"/>
              </w:rPr>
            </w:pPr>
          </w:p>
        </w:tc>
        <w:tc>
          <w:tcPr>
            <w:tcW w:w="4098" w:type="dxa"/>
            <w:shd w:val="clear" w:color="auto" w:fill="auto"/>
            <w:vAlign w:val="center"/>
            <w:hideMark/>
          </w:tcPr>
          <w:p w14:paraId="7B4318B7" w14:textId="77777777" w:rsidR="004E35A9" w:rsidRPr="00620F8A" w:rsidRDefault="004E35A9" w:rsidP="00C534AB">
            <w:pPr>
              <w:spacing w:beforeLines="20" w:before="48" w:afterLines="20" w:after="48"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Percentual de estabelecimentos rurais com Agricultura Familiar</w:t>
            </w:r>
          </w:p>
        </w:tc>
        <w:tc>
          <w:tcPr>
            <w:tcW w:w="2126" w:type="dxa"/>
            <w:shd w:val="clear" w:color="auto" w:fill="auto"/>
            <w:noWrap/>
            <w:vAlign w:val="center"/>
            <w:hideMark/>
          </w:tcPr>
          <w:p w14:paraId="58182954" w14:textId="77777777" w:rsidR="004E35A9" w:rsidRPr="00620F8A" w:rsidRDefault="004E35A9" w:rsidP="00C534AB">
            <w:pPr>
              <w:spacing w:beforeLines="20" w:before="48" w:afterLines="20" w:after="48"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Censo Agropecuário (2017)</w:t>
            </w:r>
          </w:p>
        </w:tc>
      </w:tr>
    </w:tbl>
    <w:p w14:paraId="5280125E" w14:textId="77777777" w:rsidR="004E35A9" w:rsidRPr="004E35A9" w:rsidRDefault="004E35A9" w:rsidP="004E35A9">
      <w:pPr>
        <w:spacing w:after="0" w:line="240" w:lineRule="auto"/>
        <w:rPr>
          <w:rFonts w:ascii="Candara" w:eastAsia="Times New Roman" w:hAnsi="Candara" w:cs="Times New Roman"/>
          <w:sz w:val="20"/>
          <w:szCs w:val="20"/>
        </w:rPr>
      </w:pPr>
      <w:r w:rsidRPr="004E35A9">
        <w:rPr>
          <w:rFonts w:ascii="Candara" w:eastAsia="Times New Roman" w:hAnsi="Candara" w:cs="Times New Roman"/>
          <w:sz w:val="20"/>
          <w:szCs w:val="20"/>
        </w:rPr>
        <w:t>Fonte: elaborado pelos autores</w:t>
      </w:r>
    </w:p>
    <w:p w14:paraId="164D817C" w14:textId="77777777" w:rsidR="004E35A9" w:rsidRPr="004E35A9" w:rsidRDefault="004E35A9" w:rsidP="00F369CC">
      <w:pPr>
        <w:spacing w:after="0" w:line="240" w:lineRule="auto"/>
        <w:rPr>
          <w:rFonts w:ascii="Candara" w:eastAsia="Times New Roman" w:hAnsi="Candara" w:cs="Times New Roman"/>
          <w:sz w:val="24"/>
          <w:szCs w:val="24"/>
        </w:rPr>
      </w:pPr>
    </w:p>
    <w:p w14:paraId="366D23A6" w14:textId="77777777" w:rsidR="004E35A9" w:rsidRPr="004E35A9" w:rsidRDefault="004E35A9" w:rsidP="004E35A9">
      <w:pPr>
        <w:spacing w:after="0" w:line="360" w:lineRule="auto"/>
        <w:jc w:val="both"/>
        <w:rPr>
          <w:rFonts w:ascii="Candara" w:eastAsia="Times New Roman" w:hAnsi="Candara" w:cs="Times New Roman"/>
          <w:spacing w:val="-4"/>
          <w:sz w:val="24"/>
          <w:szCs w:val="24"/>
        </w:rPr>
      </w:pPr>
      <w:r w:rsidRPr="004E35A9">
        <w:rPr>
          <w:rFonts w:ascii="Candara" w:eastAsia="Times New Roman" w:hAnsi="Candara" w:cs="Times New Roman"/>
          <w:sz w:val="24"/>
          <w:szCs w:val="24"/>
        </w:rPr>
        <w:tab/>
      </w:r>
      <w:r w:rsidRPr="004E35A9">
        <w:rPr>
          <w:rFonts w:ascii="Candara" w:eastAsia="Times New Roman" w:hAnsi="Candara" w:cs="Times New Roman"/>
          <w:spacing w:val="-4"/>
          <w:sz w:val="24"/>
          <w:szCs w:val="24"/>
        </w:rPr>
        <w:t>Verifica-se que foram coletados nove indicadores de bem-estar humano, 04 indicadores econômicos e outros nove indicadores de bem-estar ambientais. Com estes indicadores pretende-se calcular e analisar como está situado o desenvolvimento sustentável de Mato Grosso do Sul, no que tange ao turismo e meio ambiente.</w:t>
      </w:r>
    </w:p>
    <w:p w14:paraId="13FD7A96" w14:textId="77777777" w:rsidR="004E35A9" w:rsidRPr="004E35A9" w:rsidRDefault="004E35A9" w:rsidP="004E35A9">
      <w:pPr>
        <w:spacing w:after="0" w:line="360" w:lineRule="auto"/>
        <w:jc w:val="both"/>
        <w:rPr>
          <w:rFonts w:ascii="Candara" w:eastAsia="Times New Roman" w:hAnsi="Candara" w:cs="Times New Roman"/>
          <w:spacing w:val="-4"/>
          <w:sz w:val="24"/>
          <w:szCs w:val="24"/>
        </w:rPr>
      </w:pPr>
      <w:r w:rsidRPr="004E35A9">
        <w:rPr>
          <w:rFonts w:ascii="Candara" w:eastAsia="Times New Roman" w:hAnsi="Candara" w:cs="Times New Roman"/>
          <w:spacing w:val="-4"/>
          <w:sz w:val="24"/>
          <w:szCs w:val="24"/>
        </w:rPr>
        <w:tab/>
        <w:t>Seguindo as orientações de Prescott-Allen (1997), se fez necessário determinar limites superiores e inferiores, bem como, de algum modo, uniformizar os indicadores para otimizar os cálculos e análise dos resultados. Na Tabela 3, apresentam-se os indicadores coletados e respectivos limites (inferior e superior), utilizados no cálculo do Barômetro da Sustentabilidade do Turismo para Mato Grosso do Sul.</w:t>
      </w:r>
    </w:p>
    <w:p w14:paraId="7E5499D1" w14:textId="77777777" w:rsidR="004E35A9" w:rsidRPr="004E35A9" w:rsidRDefault="004E35A9" w:rsidP="004E35A9">
      <w:pPr>
        <w:spacing w:after="0" w:line="360" w:lineRule="auto"/>
        <w:rPr>
          <w:rFonts w:ascii="Candara" w:eastAsia="Times New Roman" w:hAnsi="Candara" w:cs="Times New Roman"/>
          <w:sz w:val="24"/>
          <w:szCs w:val="24"/>
        </w:rPr>
      </w:pPr>
    </w:p>
    <w:p w14:paraId="0E9DD227" w14:textId="10A3BA63" w:rsidR="004E35A9" w:rsidRPr="004E35A9" w:rsidRDefault="004E35A9" w:rsidP="007A3070">
      <w:pPr>
        <w:spacing w:after="0" w:line="240" w:lineRule="auto"/>
        <w:jc w:val="both"/>
        <w:rPr>
          <w:rFonts w:ascii="Candara" w:eastAsia="Times New Roman" w:hAnsi="Candara" w:cs="Times New Roman"/>
          <w:sz w:val="24"/>
          <w:szCs w:val="24"/>
        </w:rPr>
      </w:pPr>
      <w:r w:rsidRPr="004E35A9">
        <w:rPr>
          <w:rFonts w:ascii="Candara" w:eastAsia="Times New Roman" w:hAnsi="Candara" w:cs="Times New Roman"/>
          <w:b/>
          <w:bCs/>
          <w:sz w:val="24"/>
          <w:szCs w:val="24"/>
        </w:rPr>
        <w:t xml:space="preserve">Tabela </w:t>
      </w:r>
      <w:r w:rsidR="00C72FD5">
        <w:rPr>
          <w:rFonts w:ascii="Candara" w:eastAsia="Times New Roman" w:hAnsi="Candara" w:cs="Times New Roman"/>
          <w:b/>
          <w:bCs/>
          <w:sz w:val="24"/>
          <w:szCs w:val="24"/>
        </w:rPr>
        <w:t>2</w:t>
      </w:r>
      <w:r w:rsidRPr="004E35A9">
        <w:rPr>
          <w:rFonts w:ascii="Candara" w:eastAsia="Times New Roman" w:hAnsi="Candara" w:cs="Times New Roman"/>
          <w:sz w:val="24"/>
          <w:szCs w:val="24"/>
        </w:rPr>
        <w:t xml:space="preserve"> – Indicadores e valores de referência.</w:t>
      </w:r>
    </w:p>
    <w:tbl>
      <w:tblPr>
        <w:tblW w:w="8934" w:type="dxa"/>
        <w:tblCellMar>
          <w:left w:w="70" w:type="dxa"/>
          <w:right w:w="70" w:type="dxa"/>
        </w:tblCellMar>
        <w:tblLook w:val="04A0" w:firstRow="1" w:lastRow="0" w:firstColumn="1" w:lastColumn="0" w:noHBand="0" w:noVBand="1"/>
      </w:tblPr>
      <w:tblGrid>
        <w:gridCol w:w="1701"/>
        <w:gridCol w:w="4395"/>
        <w:gridCol w:w="1418"/>
        <w:gridCol w:w="1420"/>
      </w:tblGrid>
      <w:tr w:rsidR="004E35A9" w:rsidRPr="004E35A9" w14:paraId="5AD6385C" w14:textId="77777777" w:rsidTr="00315358">
        <w:trPr>
          <w:trHeight w:val="261"/>
        </w:trPr>
        <w:tc>
          <w:tcPr>
            <w:tcW w:w="6096" w:type="dxa"/>
            <w:gridSpan w:val="2"/>
            <w:vMerge w:val="restart"/>
            <w:tcBorders>
              <w:top w:val="single" w:sz="4" w:space="0" w:color="auto"/>
              <w:bottom w:val="single" w:sz="4" w:space="0" w:color="auto"/>
              <w:right w:val="single" w:sz="4" w:space="0" w:color="auto"/>
            </w:tcBorders>
            <w:shd w:val="clear" w:color="auto" w:fill="auto"/>
            <w:noWrap/>
            <w:vAlign w:val="center"/>
            <w:hideMark/>
          </w:tcPr>
          <w:p w14:paraId="5793D2F2" w14:textId="77777777" w:rsidR="004E35A9" w:rsidRPr="00C72FD5" w:rsidRDefault="004E35A9" w:rsidP="00315358">
            <w:pPr>
              <w:spacing w:after="0" w:line="240" w:lineRule="auto"/>
              <w:jc w:val="center"/>
              <w:rPr>
                <w:rFonts w:ascii="Candara" w:eastAsia="Times New Roman" w:hAnsi="Candara" w:cs="Times New Roman"/>
                <w:b/>
                <w:bCs/>
                <w:color w:val="000000"/>
                <w:sz w:val="18"/>
                <w:szCs w:val="18"/>
              </w:rPr>
            </w:pPr>
            <w:r w:rsidRPr="00C72FD5">
              <w:rPr>
                <w:rFonts w:ascii="Candara" w:eastAsia="Times New Roman" w:hAnsi="Candara" w:cs="Times New Roman"/>
                <w:b/>
                <w:bCs/>
                <w:color w:val="000000"/>
                <w:sz w:val="18"/>
                <w:szCs w:val="18"/>
              </w:rPr>
              <w:t>Indicador</w:t>
            </w:r>
          </w:p>
        </w:tc>
        <w:tc>
          <w:tcPr>
            <w:tcW w:w="2838" w:type="dxa"/>
            <w:gridSpan w:val="2"/>
            <w:tcBorders>
              <w:top w:val="single" w:sz="4" w:space="0" w:color="auto"/>
              <w:left w:val="single" w:sz="4" w:space="0" w:color="auto"/>
              <w:bottom w:val="single" w:sz="4" w:space="0" w:color="auto"/>
            </w:tcBorders>
            <w:shd w:val="clear" w:color="auto" w:fill="auto"/>
            <w:noWrap/>
            <w:vAlign w:val="bottom"/>
            <w:hideMark/>
          </w:tcPr>
          <w:p w14:paraId="5D107144" w14:textId="77777777" w:rsidR="004E35A9" w:rsidRPr="00C72FD5" w:rsidRDefault="004E35A9" w:rsidP="00315358">
            <w:pPr>
              <w:spacing w:after="0" w:line="240" w:lineRule="auto"/>
              <w:jc w:val="center"/>
              <w:rPr>
                <w:rFonts w:ascii="Candara" w:eastAsia="Times New Roman" w:hAnsi="Candara" w:cs="Times New Roman"/>
                <w:b/>
                <w:bCs/>
                <w:color w:val="000000"/>
                <w:sz w:val="18"/>
                <w:szCs w:val="18"/>
              </w:rPr>
            </w:pPr>
            <w:r w:rsidRPr="00C72FD5">
              <w:rPr>
                <w:rFonts w:ascii="Candara" w:eastAsia="Times New Roman" w:hAnsi="Candara" w:cs="Times New Roman"/>
                <w:b/>
                <w:bCs/>
                <w:color w:val="000000"/>
                <w:sz w:val="18"/>
                <w:szCs w:val="18"/>
              </w:rPr>
              <w:t>Valor de Referência</w:t>
            </w:r>
          </w:p>
        </w:tc>
      </w:tr>
      <w:tr w:rsidR="004E35A9" w:rsidRPr="004E35A9" w14:paraId="02A6EFCD" w14:textId="77777777" w:rsidTr="00315358">
        <w:trPr>
          <w:trHeight w:val="261"/>
        </w:trPr>
        <w:tc>
          <w:tcPr>
            <w:tcW w:w="6096" w:type="dxa"/>
            <w:gridSpan w:val="2"/>
            <w:vMerge/>
            <w:tcBorders>
              <w:top w:val="single" w:sz="4" w:space="0" w:color="auto"/>
              <w:bottom w:val="single" w:sz="4" w:space="0" w:color="auto"/>
              <w:right w:val="single" w:sz="4" w:space="0" w:color="auto"/>
            </w:tcBorders>
            <w:vAlign w:val="center"/>
            <w:hideMark/>
          </w:tcPr>
          <w:p w14:paraId="673D0885" w14:textId="77777777" w:rsidR="004E35A9" w:rsidRPr="004E35A9" w:rsidRDefault="004E35A9" w:rsidP="00315358">
            <w:pPr>
              <w:spacing w:after="0" w:line="240" w:lineRule="auto"/>
              <w:rPr>
                <w:rFonts w:ascii="Candara" w:eastAsia="Times New Roman" w:hAnsi="Candara"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CD41F" w14:textId="77777777" w:rsidR="004E35A9" w:rsidRPr="00C72FD5" w:rsidRDefault="004E35A9" w:rsidP="00315358">
            <w:pPr>
              <w:spacing w:after="0" w:line="240" w:lineRule="auto"/>
              <w:jc w:val="center"/>
              <w:rPr>
                <w:rFonts w:ascii="Candara" w:eastAsia="Times New Roman" w:hAnsi="Candara" w:cs="Times New Roman"/>
                <w:color w:val="000000"/>
                <w:sz w:val="16"/>
                <w:szCs w:val="16"/>
              </w:rPr>
            </w:pPr>
            <w:r w:rsidRPr="00C72FD5">
              <w:rPr>
                <w:rFonts w:ascii="Candara" w:eastAsia="Times New Roman" w:hAnsi="Candara" w:cs="Times New Roman"/>
                <w:color w:val="000000"/>
                <w:sz w:val="16"/>
                <w:szCs w:val="16"/>
              </w:rPr>
              <w:t>Limite Inferior</w:t>
            </w:r>
          </w:p>
        </w:tc>
        <w:tc>
          <w:tcPr>
            <w:tcW w:w="1420" w:type="dxa"/>
            <w:tcBorders>
              <w:top w:val="single" w:sz="4" w:space="0" w:color="auto"/>
              <w:left w:val="single" w:sz="4" w:space="0" w:color="auto"/>
              <w:bottom w:val="single" w:sz="4" w:space="0" w:color="auto"/>
            </w:tcBorders>
            <w:shd w:val="clear" w:color="auto" w:fill="auto"/>
            <w:noWrap/>
            <w:vAlign w:val="bottom"/>
            <w:hideMark/>
          </w:tcPr>
          <w:p w14:paraId="6EE28220" w14:textId="77777777" w:rsidR="004E35A9" w:rsidRPr="00C72FD5" w:rsidRDefault="004E35A9" w:rsidP="00315358">
            <w:pPr>
              <w:spacing w:after="0" w:line="240" w:lineRule="auto"/>
              <w:jc w:val="center"/>
              <w:rPr>
                <w:rFonts w:ascii="Candara" w:eastAsia="Times New Roman" w:hAnsi="Candara" w:cs="Times New Roman"/>
                <w:color w:val="000000"/>
                <w:sz w:val="16"/>
                <w:szCs w:val="16"/>
              </w:rPr>
            </w:pPr>
            <w:r w:rsidRPr="00C72FD5">
              <w:rPr>
                <w:rFonts w:ascii="Candara" w:eastAsia="Times New Roman" w:hAnsi="Candara" w:cs="Times New Roman"/>
                <w:color w:val="000000"/>
                <w:sz w:val="16"/>
                <w:szCs w:val="16"/>
              </w:rPr>
              <w:t>Limite Superior</w:t>
            </w:r>
          </w:p>
        </w:tc>
      </w:tr>
      <w:tr w:rsidR="004E35A9" w:rsidRPr="004E35A9" w14:paraId="63FD0794" w14:textId="77777777" w:rsidTr="00F369CC">
        <w:trPr>
          <w:trHeight w:val="283"/>
        </w:trPr>
        <w:tc>
          <w:tcPr>
            <w:tcW w:w="1701" w:type="dxa"/>
            <w:vMerge w:val="restart"/>
            <w:tcBorders>
              <w:top w:val="single" w:sz="4" w:space="0" w:color="auto"/>
              <w:bottom w:val="single" w:sz="4" w:space="0" w:color="auto"/>
              <w:right w:val="single" w:sz="4" w:space="0" w:color="auto"/>
            </w:tcBorders>
            <w:shd w:val="clear" w:color="auto" w:fill="auto"/>
            <w:noWrap/>
            <w:vAlign w:val="center"/>
            <w:hideMark/>
          </w:tcPr>
          <w:p w14:paraId="594A4DC8" w14:textId="77777777" w:rsidR="004E35A9" w:rsidRPr="00620F8A" w:rsidRDefault="004E35A9" w:rsidP="00315358">
            <w:pPr>
              <w:spacing w:after="0" w:line="240" w:lineRule="auto"/>
              <w:jc w:val="center"/>
              <w:rPr>
                <w:rFonts w:ascii="Candara" w:eastAsia="Times New Roman" w:hAnsi="Candara" w:cs="Times New Roman"/>
                <w:b/>
                <w:bCs/>
                <w:color w:val="000000"/>
                <w:sz w:val="15"/>
                <w:szCs w:val="15"/>
              </w:rPr>
            </w:pPr>
            <w:r w:rsidRPr="00620F8A">
              <w:rPr>
                <w:rFonts w:ascii="Candara" w:eastAsia="Times New Roman" w:hAnsi="Candara" w:cs="Times New Roman"/>
                <w:b/>
                <w:bCs/>
                <w:color w:val="000000"/>
                <w:sz w:val="15"/>
                <w:szCs w:val="15"/>
              </w:rPr>
              <w:t>Indicadores de Bem-estar Humano</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6E859"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 xml:space="preserve">IFDM Geral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C5E05"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6C8FCECA"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r>
      <w:tr w:rsidR="004E35A9" w:rsidRPr="004E35A9" w14:paraId="7EC9B2A1"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7D189DB1"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682D7"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IFDM Emprego &amp; Renda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64F8A"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7C164E60"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r>
      <w:tr w:rsidR="004E35A9" w:rsidRPr="004E35A9" w14:paraId="7931AA23"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1AD6D123"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1EEED"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IFDM Educação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7D151"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1085D464"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r>
      <w:tr w:rsidR="004E35A9" w:rsidRPr="004E35A9" w14:paraId="1DEB1834"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0158E832"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073CC"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IDEB anos finais do ensino fundamental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72457"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3,2</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5939EAA1"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4,6</w:t>
            </w:r>
          </w:p>
        </w:tc>
      </w:tr>
      <w:tr w:rsidR="004E35A9" w:rsidRPr="004E35A9" w14:paraId="2AE677F8"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5F0C4414"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C8E27"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IFDM Saúde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654AC"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4EEB108B"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0</w:t>
            </w:r>
          </w:p>
        </w:tc>
      </w:tr>
      <w:tr w:rsidR="004E35A9" w:rsidRPr="004E35A9" w14:paraId="0405F295" w14:textId="77777777" w:rsidTr="00F369CC">
        <w:trPr>
          <w:trHeight w:val="272"/>
        </w:trPr>
        <w:tc>
          <w:tcPr>
            <w:tcW w:w="1701" w:type="dxa"/>
            <w:vMerge/>
            <w:tcBorders>
              <w:top w:val="single" w:sz="4" w:space="0" w:color="auto"/>
              <w:bottom w:val="single" w:sz="4" w:space="0" w:color="auto"/>
              <w:right w:val="single" w:sz="4" w:space="0" w:color="auto"/>
            </w:tcBorders>
            <w:vAlign w:val="center"/>
            <w:hideMark/>
          </w:tcPr>
          <w:p w14:paraId="669525E8"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C13B2"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Mortalidade infantil (óbitos por mil nascidos vivos)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C420B"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0,0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35AE8A8C"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11,9</w:t>
            </w:r>
          </w:p>
        </w:tc>
      </w:tr>
      <w:tr w:rsidR="004E35A9" w:rsidRPr="004E35A9" w14:paraId="674B40A5" w14:textId="77777777" w:rsidTr="00F369CC">
        <w:trPr>
          <w:trHeight w:val="397"/>
        </w:trPr>
        <w:tc>
          <w:tcPr>
            <w:tcW w:w="1701" w:type="dxa"/>
            <w:vMerge/>
            <w:tcBorders>
              <w:top w:val="single" w:sz="4" w:space="0" w:color="auto"/>
              <w:bottom w:val="single" w:sz="4" w:space="0" w:color="auto"/>
              <w:right w:val="single" w:sz="4" w:space="0" w:color="auto"/>
            </w:tcBorders>
            <w:vAlign w:val="center"/>
            <w:hideMark/>
          </w:tcPr>
          <w:p w14:paraId="7337E9CF"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1A66E"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Número de ligações ativas abastecidas por água - rede urbana (percentual)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AAA19"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5ACC3648"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100</w:t>
            </w:r>
          </w:p>
        </w:tc>
      </w:tr>
      <w:tr w:rsidR="004E35A9" w:rsidRPr="004E35A9" w14:paraId="45A65D81"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4CFBE7A3"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22F0E"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 xml:space="preserve"> Volume de água consumida/dia (metros cúbicos; percentual)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419EE"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6C63A463"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70</w:t>
            </w:r>
          </w:p>
        </w:tc>
      </w:tr>
      <w:tr w:rsidR="004E35A9" w:rsidRPr="004E35A9" w14:paraId="645D565C"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1A5DFB4D"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E7FDB"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Esgotamento sanitário adequado (percentual)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BC7F4"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7B32BBD8"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100</w:t>
            </w:r>
          </w:p>
        </w:tc>
      </w:tr>
      <w:tr w:rsidR="004E35A9" w:rsidRPr="004E35A9" w14:paraId="75332989" w14:textId="77777777" w:rsidTr="00F369CC">
        <w:trPr>
          <w:trHeight w:val="283"/>
        </w:trPr>
        <w:tc>
          <w:tcPr>
            <w:tcW w:w="1701" w:type="dxa"/>
            <w:vMerge w:val="restart"/>
            <w:tcBorders>
              <w:top w:val="single" w:sz="4" w:space="0" w:color="auto"/>
              <w:bottom w:val="single" w:sz="4" w:space="0" w:color="auto"/>
              <w:right w:val="single" w:sz="4" w:space="0" w:color="auto"/>
            </w:tcBorders>
            <w:shd w:val="clear" w:color="auto" w:fill="auto"/>
            <w:noWrap/>
            <w:vAlign w:val="center"/>
            <w:hideMark/>
          </w:tcPr>
          <w:p w14:paraId="6BC7023A" w14:textId="77777777" w:rsidR="004E35A9" w:rsidRPr="00620F8A" w:rsidRDefault="004E35A9" w:rsidP="00315358">
            <w:pPr>
              <w:spacing w:after="0" w:line="240" w:lineRule="auto"/>
              <w:jc w:val="center"/>
              <w:rPr>
                <w:rFonts w:ascii="Candara" w:eastAsia="Times New Roman" w:hAnsi="Candara" w:cs="Times New Roman"/>
                <w:b/>
                <w:bCs/>
                <w:color w:val="000000"/>
                <w:sz w:val="15"/>
                <w:szCs w:val="15"/>
              </w:rPr>
            </w:pPr>
            <w:r w:rsidRPr="00620F8A">
              <w:rPr>
                <w:rFonts w:ascii="Candara" w:eastAsia="Times New Roman" w:hAnsi="Candara" w:cs="Times New Roman"/>
                <w:b/>
                <w:bCs/>
                <w:color w:val="000000"/>
                <w:sz w:val="15"/>
                <w:szCs w:val="15"/>
              </w:rPr>
              <w:t>Indicadores Econômicos</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D601C"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Salário médio mensal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CE186"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660,00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4A7492DE"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6578,41</w:t>
            </w:r>
          </w:p>
        </w:tc>
      </w:tr>
      <w:tr w:rsidR="004E35A9" w:rsidRPr="004E35A9" w14:paraId="2701E56C"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46CD5345"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6A7D"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PIB per capita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210E2"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474E6EEA"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40832,62</w:t>
            </w:r>
          </w:p>
        </w:tc>
      </w:tr>
      <w:tr w:rsidR="004E35A9" w:rsidRPr="004E35A9" w14:paraId="7E3522A5"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0ECB1A15"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453CC"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População ocupada (percentual)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F8D7B"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26E36F64"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61,5</w:t>
            </w:r>
          </w:p>
        </w:tc>
      </w:tr>
      <w:tr w:rsidR="004E35A9" w:rsidRPr="004E35A9" w14:paraId="0D943929"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577F138B"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DA239"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 xml:space="preserve">População com rendimento até 1/2 </w:t>
            </w:r>
            <w:proofErr w:type="gramStart"/>
            <w:r w:rsidRPr="00620F8A">
              <w:rPr>
                <w:rFonts w:ascii="Candara" w:eastAsia="Times New Roman" w:hAnsi="Candara" w:cs="Times New Roman"/>
                <w:color w:val="000000"/>
                <w:sz w:val="15"/>
                <w:szCs w:val="15"/>
              </w:rPr>
              <w:t>salário mínimo</w:t>
            </w:r>
            <w:proofErr w:type="gramEnd"/>
            <w:r w:rsidRPr="00620F8A">
              <w:rPr>
                <w:rFonts w:ascii="Candara" w:eastAsia="Times New Roman" w:hAnsi="Candara" w:cs="Times New Roman"/>
                <w:color w:val="000000"/>
                <w:sz w:val="15"/>
                <w:szCs w:val="15"/>
              </w:rPr>
              <w:t xml:space="preserve"> (percentual)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53FAC"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7DC87096"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34,4</w:t>
            </w:r>
          </w:p>
        </w:tc>
      </w:tr>
      <w:tr w:rsidR="004E35A9" w:rsidRPr="004E35A9" w14:paraId="331AB171" w14:textId="77777777" w:rsidTr="00F369CC">
        <w:trPr>
          <w:trHeight w:val="567"/>
        </w:trPr>
        <w:tc>
          <w:tcPr>
            <w:tcW w:w="1701" w:type="dxa"/>
            <w:vMerge/>
            <w:tcBorders>
              <w:top w:val="single" w:sz="4" w:space="0" w:color="auto"/>
              <w:bottom w:val="single" w:sz="4" w:space="0" w:color="auto"/>
              <w:right w:val="single" w:sz="4" w:space="0" w:color="auto"/>
            </w:tcBorders>
            <w:vAlign w:val="center"/>
            <w:hideMark/>
          </w:tcPr>
          <w:p w14:paraId="0A618761"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35187" w14:textId="77777777" w:rsidR="004E35A9" w:rsidRPr="00620F8A" w:rsidRDefault="004E35A9" w:rsidP="00315358">
            <w:pPr>
              <w:spacing w:after="0" w:line="240" w:lineRule="auto"/>
              <w:jc w:val="center"/>
              <w:rPr>
                <w:rFonts w:ascii="Candara" w:eastAsia="Times New Roman" w:hAnsi="Candara" w:cs="Times New Roman"/>
                <w:sz w:val="15"/>
                <w:szCs w:val="15"/>
              </w:rPr>
            </w:pPr>
            <w:r w:rsidRPr="00620F8A">
              <w:rPr>
                <w:rFonts w:ascii="Candara" w:eastAsia="Times New Roman" w:hAnsi="Candara" w:cs="Times New Roman"/>
                <w:sz w:val="15"/>
                <w:szCs w:val="15"/>
              </w:rPr>
              <w:t>Percentual do Valor adicionado bruto (VAB) dos Serviços, a preços correntes - exceto Administração, defesa, educação e saúde públicas e seguridade social (R$ 1.000)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B9835"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31FB263C"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44,02</w:t>
            </w:r>
          </w:p>
          <w:p w14:paraId="0AF6A4BE"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p>
        </w:tc>
      </w:tr>
      <w:tr w:rsidR="004E35A9" w:rsidRPr="004E35A9" w14:paraId="450CF5B3" w14:textId="77777777" w:rsidTr="00F369CC">
        <w:trPr>
          <w:trHeight w:val="283"/>
        </w:trPr>
        <w:tc>
          <w:tcPr>
            <w:tcW w:w="1701" w:type="dxa"/>
            <w:vMerge w:val="restart"/>
            <w:tcBorders>
              <w:top w:val="single" w:sz="4" w:space="0" w:color="auto"/>
              <w:bottom w:val="single" w:sz="4" w:space="0" w:color="auto"/>
              <w:right w:val="single" w:sz="4" w:space="0" w:color="auto"/>
            </w:tcBorders>
            <w:shd w:val="clear" w:color="auto" w:fill="auto"/>
            <w:noWrap/>
            <w:vAlign w:val="center"/>
            <w:hideMark/>
          </w:tcPr>
          <w:p w14:paraId="2215FA2B" w14:textId="77777777" w:rsidR="004E35A9" w:rsidRPr="00620F8A" w:rsidRDefault="004E35A9" w:rsidP="00315358">
            <w:pPr>
              <w:spacing w:after="0" w:line="240" w:lineRule="auto"/>
              <w:jc w:val="center"/>
              <w:rPr>
                <w:rFonts w:ascii="Candara" w:eastAsia="Times New Roman" w:hAnsi="Candara" w:cs="Times New Roman"/>
                <w:b/>
                <w:bCs/>
                <w:color w:val="000000"/>
                <w:sz w:val="15"/>
                <w:szCs w:val="15"/>
              </w:rPr>
            </w:pPr>
            <w:r w:rsidRPr="00620F8A">
              <w:rPr>
                <w:rFonts w:ascii="Candara" w:eastAsia="Times New Roman" w:hAnsi="Candara" w:cs="Times New Roman"/>
                <w:b/>
                <w:bCs/>
                <w:color w:val="000000"/>
                <w:sz w:val="15"/>
                <w:szCs w:val="15"/>
              </w:rPr>
              <w:t xml:space="preserve">Indicadores </w:t>
            </w:r>
          </w:p>
          <w:p w14:paraId="402B0D5A" w14:textId="77777777" w:rsidR="004E35A9" w:rsidRPr="00620F8A" w:rsidRDefault="004E35A9" w:rsidP="00315358">
            <w:pPr>
              <w:spacing w:after="0" w:line="240" w:lineRule="auto"/>
              <w:jc w:val="center"/>
              <w:rPr>
                <w:rFonts w:ascii="Candara" w:eastAsia="Times New Roman" w:hAnsi="Candara" w:cs="Times New Roman"/>
                <w:b/>
                <w:bCs/>
                <w:color w:val="000000"/>
                <w:sz w:val="15"/>
                <w:szCs w:val="15"/>
              </w:rPr>
            </w:pPr>
            <w:r w:rsidRPr="00620F8A">
              <w:rPr>
                <w:rFonts w:ascii="Candara" w:eastAsia="Times New Roman" w:hAnsi="Candara" w:cs="Times New Roman"/>
                <w:b/>
                <w:bCs/>
                <w:color w:val="000000"/>
                <w:sz w:val="15"/>
                <w:szCs w:val="15"/>
              </w:rPr>
              <w:t>Ambientais</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C0558"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Arborização de vias públicas (percentual)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855DE08"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5133A34F"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95,9</w:t>
            </w:r>
          </w:p>
        </w:tc>
      </w:tr>
      <w:tr w:rsidR="004E35A9" w:rsidRPr="004E35A9" w14:paraId="21A5ECF4"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1D3AB25D"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9678F"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Urbanização de vias públicas (percentual)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6C79F"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3C04DD2D"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96,7</w:t>
            </w:r>
          </w:p>
        </w:tc>
      </w:tr>
      <w:tr w:rsidR="004E35A9" w:rsidRPr="004E35A9" w14:paraId="5BCC66ED"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758022CE"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434B1"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Área urbanizada (km2) (percentual)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64DE2"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198699F1"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96,7</w:t>
            </w:r>
          </w:p>
        </w:tc>
      </w:tr>
      <w:tr w:rsidR="004E35A9" w:rsidRPr="004E35A9" w14:paraId="7910B05C"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4B956AAA"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9CA0F"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Percentual estabelecimentos rurais com energia elétrica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9742B"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0B2A83D8"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96,7</w:t>
            </w:r>
          </w:p>
        </w:tc>
      </w:tr>
      <w:tr w:rsidR="004E35A9" w:rsidRPr="004E35A9" w14:paraId="772E44FB" w14:textId="77777777" w:rsidTr="00F369CC">
        <w:trPr>
          <w:trHeight w:val="397"/>
        </w:trPr>
        <w:tc>
          <w:tcPr>
            <w:tcW w:w="1701" w:type="dxa"/>
            <w:vMerge/>
            <w:tcBorders>
              <w:top w:val="single" w:sz="4" w:space="0" w:color="auto"/>
              <w:bottom w:val="single" w:sz="4" w:space="0" w:color="auto"/>
              <w:right w:val="single" w:sz="4" w:space="0" w:color="auto"/>
            </w:tcBorders>
            <w:vAlign w:val="center"/>
            <w:hideMark/>
          </w:tcPr>
          <w:p w14:paraId="104AB0C9"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CD022"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Percentual estabelecimentos rurais com água (nascentes, rios, riachos, poços ou cisterna convencional, jorrante ou profundo)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97C46"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70A14DB0"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100,0</w:t>
            </w:r>
          </w:p>
        </w:tc>
      </w:tr>
      <w:tr w:rsidR="004E35A9" w:rsidRPr="004E35A9" w14:paraId="74525C41"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45194EB0"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C995D"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Percentual de estabelecimentos rurais que NÃO usou agrotóxico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48669"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27654D47"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100,0</w:t>
            </w:r>
          </w:p>
        </w:tc>
      </w:tr>
      <w:tr w:rsidR="004E35A9" w:rsidRPr="004E35A9" w14:paraId="5AEB6251" w14:textId="77777777" w:rsidTr="00F369CC">
        <w:trPr>
          <w:trHeight w:val="397"/>
        </w:trPr>
        <w:tc>
          <w:tcPr>
            <w:tcW w:w="1701" w:type="dxa"/>
            <w:vMerge/>
            <w:tcBorders>
              <w:top w:val="single" w:sz="4" w:space="0" w:color="auto"/>
              <w:bottom w:val="single" w:sz="4" w:space="0" w:color="auto"/>
              <w:right w:val="single" w:sz="4" w:space="0" w:color="auto"/>
            </w:tcBorders>
            <w:vAlign w:val="center"/>
            <w:hideMark/>
          </w:tcPr>
          <w:p w14:paraId="16AA240D"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B2B5"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Percentual de estabelecimentos rurais que RECEBE orientação técnica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59521"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5A0708D9"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100,0</w:t>
            </w:r>
          </w:p>
        </w:tc>
      </w:tr>
      <w:tr w:rsidR="004E35A9" w:rsidRPr="004E35A9" w14:paraId="616402A9" w14:textId="77777777" w:rsidTr="00F369CC">
        <w:trPr>
          <w:trHeight w:val="397"/>
        </w:trPr>
        <w:tc>
          <w:tcPr>
            <w:tcW w:w="1701" w:type="dxa"/>
            <w:vMerge/>
            <w:tcBorders>
              <w:top w:val="single" w:sz="4" w:space="0" w:color="auto"/>
              <w:bottom w:val="single" w:sz="4" w:space="0" w:color="auto"/>
              <w:right w:val="single" w:sz="4" w:space="0" w:color="auto"/>
            </w:tcBorders>
            <w:vAlign w:val="center"/>
            <w:hideMark/>
          </w:tcPr>
          <w:p w14:paraId="1327B670"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EA793"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Percentual de estabelecimentos rurais com uso de agricultura ou pecuária orgânica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F97C7"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5D2EA45A"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100,0</w:t>
            </w:r>
          </w:p>
        </w:tc>
      </w:tr>
      <w:tr w:rsidR="004E35A9" w:rsidRPr="004E35A9" w14:paraId="29DC9974" w14:textId="77777777" w:rsidTr="00F369CC">
        <w:trPr>
          <w:trHeight w:val="283"/>
        </w:trPr>
        <w:tc>
          <w:tcPr>
            <w:tcW w:w="1701" w:type="dxa"/>
            <w:vMerge/>
            <w:tcBorders>
              <w:top w:val="single" w:sz="4" w:space="0" w:color="auto"/>
              <w:bottom w:val="single" w:sz="4" w:space="0" w:color="auto"/>
              <w:right w:val="single" w:sz="4" w:space="0" w:color="auto"/>
            </w:tcBorders>
            <w:vAlign w:val="center"/>
            <w:hideMark/>
          </w:tcPr>
          <w:p w14:paraId="54C6F1CC" w14:textId="77777777" w:rsidR="004E35A9" w:rsidRPr="00620F8A" w:rsidRDefault="004E35A9" w:rsidP="00315358">
            <w:pPr>
              <w:spacing w:after="0" w:line="240" w:lineRule="auto"/>
              <w:rPr>
                <w:rFonts w:ascii="Candara" w:eastAsia="Times New Roman" w:hAnsi="Candara" w:cs="Times New Roman"/>
                <w:color w:val="000000"/>
                <w:sz w:val="15"/>
                <w:szCs w:val="15"/>
              </w:rPr>
            </w:pP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7083B"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Percentual de estabelecimentos rurais com Agricultura Familiar</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3B991"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0</w:t>
            </w:r>
          </w:p>
        </w:tc>
        <w:tc>
          <w:tcPr>
            <w:tcW w:w="1420" w:type="dxa"/>
            <w:tcBorders>
              <w:top w:val="single" w:sz="4" w:space="0" w:color="auto"/>
              <w:left w:val="single" w:sz="4" w:space="0" w:color="auto"/>
              <w:bottom w:val="single" w:sz="4" w:space="0" w:color="auto"/>
            </w:tcBorders>
            <w:shd w:val="clear" w:color="auto" w:fill="auto"/>
            <w:noWrap/>
            <w:vAlign w:val="center"/>
            <w:hideMark/>
          </w:tcPr>
          <w:p w14:paraId="1A32CC84" w14:textId="77777777" w:rsidR="004E35A9" w:rsidRPr="00620F8A" w:rsidRDefault="004E35A9" w:rsidP="00315358">
            <w:pPr>
              <w:spacing w:after="0" w:line="240" w:lineRule="auto"/>
              <w:jc w:val="center"/>
              <w:rPr>
                <w:rFonts w:ascii="Candara" w:eastAsia="Times New Roman" w:hAnsi="Candara" w:cs="Times New Roman"/>
                <w:color w:val="000000"/>
                <w:sz w:val="15"/>
                <w:szCs w:val="15"/>
              </w:rPr>
            </w:pPr>
            <w:r w:rsidRPr="00620F8A">
              <w:rPr>
                <w:rFonts w:ascii="Candara" w:eastAsia="Times New Roman" w:hAnsi="Candara" w:cs="Times New Roman"/>
                <w:color w:val="000000"/>
                <w:sz w:val="15"/>
                <w:szCs w:val="15"/>
              </w:rPr>
              <w:t>100,0</w:t>
            </w:r>
          </w:p>
        </w:tc>
      </w:tr>
    </w:tbl>
    <w:p w14:paraId="0EF7C525" w14:textId="77777777" w:rsidR="004E35A9" w:rsidRPr="004E35A9" w:rsidRDefault="004E35A9" w:rsidP="004E35A9">
      <w:pPr>
        <w:spacing w:after="0" w:line="240" w:lineRule="auto"/>
        <w:rPr>
          <w:rFonts w:ascii="Candara" w:eastAsia="Times New Roman" w:hAnsi="Candara" w:cs="Times New Roman"/>
          <w:sz w:val="20"/>
          <w:szCs w:val="20"/>
        </w:rPr>
      </w:pPr>
      <w:r w:rsidRPr="004E35A9">
        <w:rPr>
          <w:rFonts w:ascii="Candara" w:eastAsia="Times New Roman" w:hAnsi="Candara" w:cs="Times New Roman"/>
          <w:sz w:val="20"/>
          <w:szCs w:val="20"/>
        </w:rPr>
        <w:t xml:space="preserve">Fonte: adaptado pelos autores de </w:t>
      </w:r>
      <w:proofErr w:type="spellStart"/>
      <w:r w:rsidRPr="004E35A9">
        <w:rPr>
          <w:rFonts w:ascii="Candara" w:eastAsia="Times New Roman" w:hAnsi="Candara" w:cs="Times New Roman"/>
          <w:sz w:val="20"/>
          <w:szCs w:val="20"/>
        </w:rPr>
        <w:t>Cetrulo</w:t>
      </w:r>
      <w:proofErr w:type="spellEnd"/>
      <w:r w:rsidRPr="004E35A9">
        <w:rPr>
          <w:rFonts w:ascii="Candara" w:eastAsia="Times New Roman" w:hAnsi="Candara" w:cs="Times New Roman"/>
          <w:sz w:val="20"/>
          <w:szCs w:val="20"/>
        </w:rPr>
        <w:t>, Molina, Malheiros (2013); Amorim, Araújo, Cândido (2014).</w:t>
      </w:r>
    </w:p>
    <w:p w14:paraId="5252D34A" w14:textId="77777777" w:rsidR="004E35A9" w:rsidRPr="004E35A9" w:rsidRDefault="004E35A9" w:rsidP="004E35A9">
      <w:pPr>
        <w:spacing w:after="0" w:line="360" w:lineRule="auto"/>
        <w:rPr>
          <w:rFonts w:ascii="Candara" w:eastAsia="Times New Roman" w:hAnsi="Candara" w:cs="Times New Roman"/>
          <w:sz w:val="24"/>
          <w:szCs w:val="24"/>
        </w:rPr>
      </w:pPr>
    </w:p>
    <w:p w14:paraId="4E809639" w14:textId="77777777" w:rsidR="004E35A9" w:rsidRPr="004E35A9" w:rsidRDefault="004E35A9" w:rsidP="004E35A9">
      <w:pPr>
        <w:spacing w:after="0" w:line="360" w:lineRule="auto"/>
        <w:jc w:val="both"/>
        <w:rPr>
          <w:rFonts w:ascii="Candara" w:eastAsia="Times New Roman" w:hAnsi="Candara" w:cs="Times New Roman"/>
          <w:spacing w:val="-6"/>
          <w:sz w:val="24"/>
          <w:szCs w:val="24"/>
        </w:rPr>
      </w:pPr>
      <w:r w:rsidRPr="004E35A9">
        <w:rPr>
          <w:rFonts w:ascii="Candara" w:eastAsia="Times New Roman" w:hAnsi="Candara" w:cs="Times New Roman"/>
          <w:sz w:val="24"/>
          <w:szCs w:val="24"/>
        </w:rPr>
        <w:tab/>
      </w:r>
      <w:r w:rsidRPr="004E35A9">
        <w:rPr>
          <w:rFonts w:ascii="Candara" w:eastAsia="Times New Roman" w:hAnsi="Candara" w:cs="Times New Roman"/>
          <w:spacing w:val="-6"/>
          <w:sz w:val="24"/>
          <w:szCs w:val="24"/>
        </w:rPr>
        <w:t>Verifica-se na Tabela 3 que optou-se por transformar alguns dados em percentual, para facilitar a comparação entre os mesmos, equiparando-se com artigos similares, como utilizada em demais artigos relacionados (</w:t>
      </w:r>
      <w:proofErr w:type="spellStart"/>
      <w:r w:rsidRPr="004E35A9">
        <w:rPr>
          <w:rFonts w:ascii="Candara" w:eastAsia="Times New Roman" w:hAnsi="Candara" w:cs="Times New Roman"/>
          <w:spacing w:val="-6"/>
          <w:sz w:val="24"/>
          <w:szCs w:val="24"/>
        </w:rPr>
        <w:t>Cetrulo</w:t>
      </w:r>
      <w:proofErr w:type="spellEnd"/>
      <w:r w:rsidRPr="004E35A9">
        <w:rPr>
          <w:rFonts w:ascii="Candara" w:eastAsia="Times New Roman" w:hAnsi="Candara" w:cs="Times New Roman"/>
          <w:spacing w:val="-6"/>
          <w:sz w:val="24"/>
          <w:szCs w:val="24"/>
        </w:rPr>
        <w:t>, Molina, Malheiros (2013), e Amorim, Araújo, Cândido (2014)), pois entende-se que, para que seja adequada, a cobertura de esgoto e de rede de água potável, deve atender 100% da população, sendo o mínimo tolerável em 70%, considerando que alguns municípios analisados ainda estão em fase de desenvolvimento, optou-se por colocar o limite inferior em percentual 0 (zero).</w:t>
      </w:r>
    </w:p>
    <w:p w14:paraId="3682C604" w14:textId="4A6AA534" w:rsidR="004E35A9" w:rsidRPr="002859DB" w:rsidRDefault="004E35A9" w:rsidP="004E35A9">
      <w:pPr>
        <w:spacing w:after="120" w:line="360" w:lineRule="auto"/>
        <w:jc w:val="both"/>
        <w:rPr>
          <w:rFonts w:ascii="Candara" w:eastAsia="Candara" w:hAnsi="Candara" w:cs="Candara"/>
          <w:spacing w:val="-8"/>
          <w:sz w:val="24"/>
          <w:szCs w:val="24"/>
        </w:rPr>
      </w:pPr>
      <w:r w:rsidRPr="004E35A9">
        <w:rPr>
          <w:rFonts w:ascii="Candara" w:eastAsia="Times New Roman" w:hAnsi="Candara" w:cs="Times New Roman"/>
          <w:spacing w:val="-6"/>
          <w:sz w:val="24"/>
          <w:szCs w:val="24"/>
        </w:rPr>
        <w:tab/>
      </w:r>
      <w:r w:rsidRPr="002859DB">
        <w:rPr>
          <w:rFonts w:ascii="Candara" w:eastAsia="Times New Roman" w:hAnsi="Candara" w:cs="Times New Roman"/>
          <w:spacing w:val="-8"/>
          <w:sz w:val="24"/>
          <w:szCs w:val="24"/>
        </w:rPr>
        <w:t>No caso dos indicadores de IFDM, o valor mínimo é zero e o máximo=1, conforme indicação do próprio índice. Para o valor do salário médio mensal, utilizou-se o valor divulgado pelo DIEESE</w:t>
      </w:r>
      <w:r w:rsidRPr="002859DB">
        <w:rPr>
          <w:rStyle w:val="Refdenotaderodap"/>
          <w:rFonts w:ascii="Candara" w:eastAsia="Times New Roman" w:hAnsi="Candara" w:cs="Times New Roman"/>
          <w:spacing w:val="-8"/>
          <w:sz w:val="24"/>
          <w:szCs w:val="24"/>
        </w:rPr>
        <w:footnoteReference w:id="4"/>
      </w:r>
      <w:r w:rsidRPr="002859DB">
        <w:rPr>
          <w:rFonts w:ascii="Candara" w:eastAsia="Times New Roman" w:hAnsi="Candara" w:cs="Times New Roman"/>
          <w:spacing w:val="-8"/>
          <w:sz w:val="24"/>
          <w:szCs w:val="24"/>
        </w:rPr>
        <w:t xml:space="preserve"> (2023), que avalia qual seria o valor ideal do </w:t>
      </w:r>
      <w:proofErr w:type="gramStart"/>
      <w:r w:rsidRPr="002859DB">
        <w:rPr>
          <w:rFonts w:ascii="Candara" w:eastAsia="Times New Roman" w:hAnsi="Candara" w:cs="Times New Roman"/>
          <w:spacing w:val="-8"/>
          <w:sz w:val="24"/>
          <w:szCs w:val="24"/>
        </w:rPr>
        <w:t>salário mínimo</w:t>
      </w:r>
      <w:proofErr w:type="gramEnd"/>
      <w:r w:rsidRPr="002859DB">
        <w:rPr>
          <w:rFonts w:ascii="Candara" w:eastAsia="Times New Roman" w:hAnsi="Candara" w:cs="Times New Roman"/>
          <w:spacing w:val="-8"/>
          <w:sz w:val="24"/>
          <w:szCs w:val="24"/>
        </w:rPr>
        <w:t xml:space="preserve"> para uma família com quatro pessoas (dois adultos e duas crianças), que no mês de junho/2023 estava em R$ 6.578,41; o limite inferior foi estimado em meio salário mínimo corrente (R$ 660,00</w:t>
      </w:r>
      <w:r w:rsidRPr="002859DB">
        <w:rPr>
          <w:rStyle w:val="Refdenotaderodap"/>
          <w:rFonts w:ascii="Candara" w:eastAsia="Times New Roman" w:hAnsi="Candara" w:cs="Times New Roman"/>
          <w:spacing w:val="-8"/>
          <w:sz w:val="24"/>
          <w:szCs w:val="24"/>
        </w:rPr>
        <w:footnoteReference w:id="5"/>
      </w:r>
      <w:r w:rsidRPr="002859DB">
        <w:rPr>
          <w:rFonts w:ascii="Candara" w:eastAsia="Times New Roman" w:hAnsi="Candara" w:cs="Times New Roman"/>
          <w:spacing w:val="-8"/>
          <w:sz w:val="24"/>
          <w:szCs w:val="24"/>
        </w:rPr>
        <w:t>).</w:t>
      </w:r>
    </w:p>
    <w:p w14:paraId="44C9A92E" w14:textId="77777777" w:rsidR="004E35A9" w:rsidRDefault="004E35A9" w:rsidP="00F369CC">
      <w:pPr>
        <w:spacing w:after="0" w:line="240" w:lineRule="auto"/>
        <w:jc w:val="both"/>
        <w:rPr>
          <w:rFonts w:ascii="Candara" w:eastAsia="Candara" w:hAnsi="Candara" w:cs="Candara"/>
          <w:sz w:val="24"/>
          <w:szCs w:val="24"/>
        </w:rPr>
      </w:pPr>
    </w:p>
    <w:p w14:paraId="5F932F03" w14:textId="0696F297" w:rsidR="00753A64" w:rsidRDefault="00C534AB" w:rsidP="002859DB">
      <w:pPr>
        <w:spacing w:after="0" w:line="360" w:lineRule="auto"/>
        <w:jc w:val="both"/>
        <w:rPr>
          <w:rFonts w:ascii="Candara" w:eastAsia="Candara" w:hAnsi="Candara" w:cs="Candara"/>
          <w:color w:val="000000"/>
          <w:sz w:val="28"/>
          <w:szCs w:val="28"/>
        </w:rPr>
      </w:pPr>
      <w:r w:rsidRPr="00753A64">
        <w:rPr>
          <w:rFonts w:ascii="Candara" w:eastAsia="Candara" w:hAnsi="Candara" w:cs="Candara"/>
          <w:sz w:val="28"/>
          <w:szCs w:val="28"/>
        </w:rPr>
        <w:t xml:space="preserve">4.1 </w:t>
      </w:r>
      <w:r w:rsidRPr="00753A64">
        <w:rPr>
          <w:rFonts w:ascii="Candara" w:eastAsia="Candara" w:hAnsi="Candara" w:cs="Candara"/>
          <w:color w:val="000000"/>
          <w:sz w:val="28"/>
          <w:szCs w:val="28"/>
        </w:rPr>
        <w:t>Metodologia</w:t>
      </w:r>
      <w:r w:rsidR="00753A64">
        <w:rPr>
          <w:rFonts w:ascii="Candara" w:eastAsia="Candara" w:hAnsi="Candara" w:cs="Candara"/>
          <w:color w:val="000000"/>
          <w:sz w:val="28"/>
          <w:szCs w:val="28"/>
        </w:rPr>
        <w:t xml:space="preserve"> do Barômetro da Sustentabilidade</w:t>
      </w:r>
    </w:p>
    <w:p w14:paraId="4C9B741B" w14:textId="77777777" w:rsidR="00753A64" w:rsidRPr="002859DB" w:rsidRDefault="00753A64" w:rsidP="002859DB">
      <w:pPr>
        <w:spacing w:after="0" w:line="360" w:lineRule="auto"/>
        <w:jc w:val="both"/>
        <w:rPr>
          <w:rFonts w:ascii="Candara" w:eastAsia="Candara" w:hAnsi="Candara" w:cs="Candara"/>
          <w:color w:val="000000"/>
          <w:sz w:val="24"/>
          <w:szCs w:val="24"/>
        </w:rPr>
      </w:pPr>
    </w:p>
    <w:p w14:paraId="28052ECD" w14:textId="77777777" w:rsidR="00753A64" w:rsidRPr="00753A64" w:rsidRDefault="00753A64" w:rsidP="00753A64">
      <w:pPr>
        <w:spacing w:after="0" w:line="360" w:lineRule="auto"/>
        <w:ind w:firstLine="567"/>
        <w:jc w:val="both"/>
        <w:rPr>
          <w:rFonts w:ascii="Candara" w:hAnsi="Candara" w:cs="Times New Roman"/>
          <w:sz w:val="24"/>
          <w:szCs w:val="24"/>
        </w:rPr>
      </w:pPr>
      <w:r w:rsidRPr="00753A64">
        <w:rPr>
          <w:rFonts w:ascii="Candara" w:hAnsi="Candara" w:cs="Times New Roman"/>
          <w:sz w:val="24"/>
          <w:szCs w:val="24"/>
        </w:rPr>
        <w:lastRenderedPageBreak/>
        <w:t>O Barômetro da Sustentabilidade é uma ferramenta, que pode auxiliar na análise do desenvolvimento sustentável de determinado município ou região, bem como na tomada de decisão por parte de governantes para melhorar a sustentabilidade.</w:t>
      </w:r>
    </w:p>
    <w:p w14:paraId="3E3880AC" w14:textId="430D3BF2" w:rsidR="007A3070" w:rsidRDefault="00753A64" w:rsidP="00AB34C0">
      <w:pPr>
        <w:spacing w:after="0" w:line="360" w:lineRule="auto"/>
        <w:ind w:firstLine="567"/>
        <w:jc w:val="both"/>
        <w:rPr>
          <w:rFonts w:ascii="Candara" w:hAnsi="Candara" w:cs="Times New Roman"/>
          <w:sz w:val="24"/>
          <w:szCs w:val="24"/>
        </w:rPr>
      </w:pPr>
      <w:r w:rsidRPr="00753A64">
        <w:rPr>
          <w:rFonts w:ascii="Candara" w:hAnsi="Candara" w:cs="Times New Roman"/>
          <w:sz w:val="24"/>
          <w:szCs w:val="24"/>
        </w:rPr>
        <w:t>Segundo Prescott-Allen (1997, p. 8 – tradução nossa), converter os registros dos indicadores na escala do Barômetro implica cálculos simples. (...) preferiu-se facilitar o uso para uma ampla variedade de usuários no lugar da sofisticação matemática.”</w:t>
      </w:r>
      <w:r w:rsidRPr="00753A64">
        <w:rPr>
          <w:rStyle w:val="Refdenotaderodap"/>
          <w:rFonts w:ascii="Candara" w:hAnsi="Candara" w:cs="Times New Roman"/>
          <w:sz w:val="24"/>
          <w:szCs w:val="24"/>
        </w:rPr>
        <w:footnoteReference w:id="6"/>
      </w:r>
      <w:r w:rsidRPr="00753A64">
        <w:rPr>
          <w:rFonts w:ascii="Candara" w:hAnsi="Candara" w:cs="Times New Roman"/>
          <w:sz w:val="24"/>
          <w:szCs w:val="24"/>
        </w:rPr>
        <w:t>.  Em outras palavras, o cálculo do Barômetro é considerado básico. Com base nos valores de referência e com a intenção de calcular o “Ótimo” como valor máximo e “Pior” como valor mínimo, pode-se utilizar a equação 1:</w:t>
      </w:r>
    </w:p>
    <w:p w14:paraId="35025CA2" w14:textId="77777777" w:rsidR="00AB34C0" w:rsidRPr="00753A64" w:rsidRDefault="00AB34C0" w:rsidP="00F369CC">
      <w:pPr>
        <w:spacing w:after="0" w:line="240" w:lineRule="auto"/>
        <w:ind w:firstLine="567"/>
        <w:jc w:val="both"/>
        <w:rPr>
          <w:rFonts w:ascii="Candara" w:hAnsi="Candara"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396"/>
      </w:tblGrid>
      <w:tr w:rsidR="00753A64" w:rsidRPr="00C534AB" w14:paraId="2E7EA9DA" w14:textId="77777777" w:rsidTr="00315358">
        <w:tc>
          <w:tcPr>
            <w:tcW w:w="5098" w:type="dxa"/>
          </w:tcPr>
          <w:p w14:paraId="1AFFF9DA" w14:textId="77777777" w:rsidR="00753A64" w:rsidRPr="00C534AB" w:rsidRDefault="00753A64" w:rsidP="00315358">
            <w:pPr>
              <w:spacing w:line="360" w:lineRule="auto"/>
              <w:jc w:val="both"/>
              <w:rPr>
                <w:rFonts w:ascii="Candara" w:hAnsi="Candara" w:cs="Times New Roman"/>
              </w:rPr>
            </w:pPr>
            <w:r w:rsidRPr="00C534AB">
              <w:rPr>
                <w:rFonts w:ascii="Candara" w:hAnsi="Candara" w:cs="Times New Roman"/>
              </w:rPr>
              <w:t>({</w:t>
            </w:r>
            <w:proofErr w:type="spellStart"/>
            <w:r w:rsidRPr="00C534AB">
              <w:rPr>
                <w:rFonts w:ascii="Candara" w:hAnsi="Candara" w:cs="Times New Roman"/>
              </w:rPr>
              <w:t>VRe</w:t>
            </w:r>
            <w:proofErr w:type="spellEnd"/>
            <w:r w:rsidRPr="00C534AB">
              <w:rPr>
                <w:rFonts w:ascii="Candara" w:hAnsi="Candara" w:cs="Times New Roman"/>
              </w:rPr>
              <w:t xml:space="preserve"> – </w:t>
            </w:r>
            <w:proofErr w:type="spellStart"/>
            <w:r w:rsidRPr="00C534AB">
              <w:rPr>
                <w:rFonts w:ascii="Candara" w:hAnsi="Candara" w:cs="Times New Roman"/>
              </w:rPr>
              <w:t>VMin</w:t>
            </w:r>
            <w:proofErr w:type="spellEnd"/>
            <w:r w:rsidRPr="00C534AB">
              <w:rPr>
                <w:rFonts w:ascii="Candara" w:hAnsi="Candara" w:cs="Times New Roman"/>
              </w:rPr>
              <w:t>} ÷ {</w:t>
            </w:r>
            <w:proofErr w:type="spellStart"/>
            <w:r w:rsidRPr="00C534AB">
              <w:rPr>
                <w:rFonts w:ascii="Candara" w:hAnsi="Candara" w:cs="Times New Roman"/>
              </w:rPr>
              <w:t>VMax</w:t>
            </w:r>
            <w:proofErr w:type="spellEnd"/>
            <w:r w:rsidRPr="00C534AB">
              <w:rPr>
                <w:rFonts w:ascii="Candara" w:hAnsi="Candara" w:cs="Times New Roman"/>
              </w:rPr>
              <w:t xml:space="preserve"> – </w:t>
            </w:r>
            <w:proofErr w:type="spellStart"/>
            <w:r w:rsidRPr="00C534AB">
              <w:rPr>
                <w:rFonts w:ascii="Candara" w:hAnsi="Candara" w:cs="Times New Roman"/>
              </w:rPr>
              <w:t>Vmin</w:t>
            </w:r>
            <w:proofErr w:type="spellEnd"/>
            <w:r w:rsidRPr="00C534AB">
              <w:rPr>
                <w:rFonts w:ascii="Candara" w:hAnsi="Candara" w:cs="Times New Roman"/>
              </w:rPr>
              <w:t>}) x 100</w:t>
            </w:r>
          </w:p>
        </w:tc>
        <w:tc>
          <w:tcPr>
            <w:tcW w:w="3396" w:type="dxa"/>
          </w:tcPr>
          <w:p w14:paraId="6920E85A" w14:textId="77777777" w:rsidR="00753A64" w:rsidRPr="00C534AB" w:rsidRDefault="00753A64" w:rsidP="00315358">
            <w:pPr>
              <w:spacing w:line="360" w:lineRule="auto"/>
              <w:ind w:firstLine="708"/>
              <w:jc w:val="right"/>
              <w:rPr>
                <w:rFonts w:ascii="Candara" w:hAnsi="Candara" w:cs="Times New Roman"/>
              </w:rPr>
            </w:pPr>
            <w:r w:rsidRPr="00C534AB">
              <w:rPr>
                <w:rFonts w:ascii="Candara" w:hAnsi="Candara" w:cs="Times New Roman"/>
              </w:rPr>
              <w:t>(1)</w:t>
            </w:r>
          </w:p>
        </w:tc>
      </w:tr>
    </w:tbl>
    <w:p w14:paraId="4C46CBEA" w14:textId="77777777" w:rsidR="00753A64" w:rsidRPr="00C534AB" w:rsidRDefault="00753A64" w:rsidP="00F369CC">
      <w:pPr>
        <w:spacing w:after="0" w:line="240" w:lineRule="auto"/>
        <w:jc w:val="both"/>
        <w:rPr>
          <w:rFonts w:ascii="Candara" w:hAnsi="Candara" w:cs="Times New Roman"/>
        </w:rPr>
      </w:pPr>
    </w:p>
    <w:p w14:paraId="5309A0EE" w14:textId="77777777" w:rsidR="00753A64" w:rsidRPr="00C534AB" w:rsidRDefault="00753A64" w:rsidP="00753A64">
      <w:pPr>
        <w:spacing w:after="0" w:line="360" w:lineRule="auto"/>
        <w:ind w:firstLine="567"/>
        <w:jc w:val="both"/>
        <w:rPr>
          <w:rFonts w:ascii="Candara" w:hAnsi="Candara" w:cs="Times New Roman"/>
        </w:rPr>
      </w:pPr>
      <w:r w:rsidRPr="00C534AB">
        <w:rPr>
          <w:rFonts w:ascii="Candara" w:hAnsi="Candara" w:cs="Times New Roman"/>
        </w:rPr>
        <w:t>Em que:</w:t>
      </w:r>
    </w:p>
    <w:p w14:paraId="336FAAE5" w14:textId="77777777" w:rsidR="00753A64" w:rsidRPr="00C534AB" w:rsidRDefault="00753A64" w:rsidP="00753A64">
      <w:pPr>
        <w:spacing w:after="0" w:line="360" w:lineRule="auto"/>
        <w:ind w:firstLine="567"/>
        <w:jc w:val="both"/>
        <w:rPr>
          <w:rFonts w:ascii="Candara" w:hAnsi="Candara" w:cs="Times New Roman"/>
        </w:rPr>
      </w:pPr>
      <w:r w:rsidRPr="00C534AB">
        <w:rPr>
          <w:rFonts w:ascii="Candara" w:hAnsi="Candara" w:cs="Times New Roman"/>
        </w:rPr>
        <w:t>VRE = valor real;</w:t>
      </w:r>
    </w:p>
    <w:p w14:paraId="5DFBE443" w14:textId="77777777" w:rsidR="00753A64" w:rsidRPr="00C534AB" w:rsidRDefault="00753A64" w:rsidP="00753A64">
      <w:pPr>
        <w:spacing w:after="0" w:line="360" w:lineRule="auto"/>
        <w:ind w:firstLine="567"/>
        <w:jc w:val="both"/>
        <w:rPr>
          <w:rFonts w:ascii="Candara" w:hAnsi="Candara" w:cs="Times New Roman"/>
        </w:rPr>
      </w:pPr>
      <w:proofErr w:type="spellStart"/>
      <w:r w:rsidRPr="00C534AB">
        <w:rPr>
          <w:rFonts w:ascii="Candara" w:hAnsi="Candara" w:cs="Times New Roman"/>
        </w:rPr>
        <w:t>VMin</w:t>
      </w:r>
      <w:proofErr w:type="spellEnd"/>
      <w:r w:rsidRPr="00C534AB">
        <w:rPr>
          <w:rFonts w:ascii="Candara" w:hAnsi="Candara" w:cs="Times New Roman"/>
        </w:rPr>
        <w:t xml:space="preserve"> = valor mínimo; e,</w:t>
      </w:r>
    </w:p>
    <w:p w14:paraId="2370CCB6" w14:textId="77777777" w:rsidR="00753A64" w:rsidRPr="00C534AB" w:rsidRDefault="00753A64" w:rsidP="00753A64">
      <w:pPr>
        <w:spacing w:after="0" w:line="360" w:lineRule="auto"/>
        <w:ind w:firstLine="567"/>
        <w:jc w:val="both"/>
        <w:rPr>
          <w:rFonts w:ascii="Candara" w:hAnsi="Candara" w:cs="Times New Roman"/>
        </w:rPr>
      </w:pPr>
      <w:proofErr w:type="spellStart"/>
      <w:r w:rsidRPr="00C534AB">
        <w:rPr>
          <w:rFonts w:ascii="Candara" w:hAnsi="Candara" w:cs="Times New Roman"/>
        </w:rPr>
        <w:t>VMax</w:t>
      </w:r>
      <w:proofErr w:type="spellEnd"/>
      <w:r w:rsidRPr="00C534AB">
        <w:rPr>
          <w:rFonts w:ascii="Candara" w:hAnsi="Candara" w:cs="Times New Roman"/>
        </w:rPr>
        <w:t xml:space="preserve"> = valor máximo.</w:t>
      </w:r>
    </w:p>
    <w:p w14:paraId="3157446F" w14:textId="77777777" w:rsidR="00620F8A" w:rsidRPr="00753A64" w:rsidRDefault="00620F8A" w:rsidP="00753A64">
      <w:pPr>
        <w:spacing w:after="0" w:line="360" w:lineRule="auto"/>
        <w:ind w:firstLine="567"/>
        <w:jc w:val="both"/>
        <w:rPr>
          <w:rFonts w:ascii="Candara" w:hAnsi="Candara" w:cs="Times New Roman"/>
          <w:sz w:val="24"/>
          <w:szCs w:val="24"/>
        </w:rPr>
      </w:pPr>
    </w:p>
    <w:p w14:paraId="4B960F0F" w14:textId="45DE7F0E" w:rsidR="00753A64" w:rsidRPr="003E32C1" w:rsidRDefault="00753A64" w:rsidP="003E32C1">
      <w:pPr>
        <w:spacing w:after="0" w:line="360" w:lineRule="auto"/>
        <w:ind w:firstLine="567"/>
        <w:jc w:val="both"/>
        <w:rPr>
          <w:rFonts w:ascii="Candara" w:hAnsi="Candara" w:cs="Times New Roman"/>
          <w:spacing w:val="-4"/>
          <w:sz w:val="24"/>
          <w:szCs w:val="24"/>
        </w:rPr>
      </w:pPr>
      <w:r w:rsidRPr="00753A64">
        <w:rPr>
          <w:rFonts w:ascii="Candara" w:hAnsi="Candara" w:cs="Times New Roman"/>
          <w:spacing w:val="-4"/>
          <w:sz w:val="24"/>
          <w:szCs w:val="24"/>
        </w:rPr>
        <w:t>A combinação dos indicadores e a avaliação resultante permitem que o pesquisador chegue a conclusões sobre o local estudado em relação à sustentabilidade. Para auxiliar na delimitação do barômetro da sustentabilidade, Prescott-Allen (1997) formulou uma escala (de zero a cem), para estimar qual o nível de sustentabilidade</w:t>
      </w:r>
      <w:r w:rsidR="003E32C1">
        <w:rPr>
          <w:rFonts w:ascii="Candara" w:hAnsi="Candara" w:cs="Times New Roman"/>
          <w:spacing w:val="-4"/>
          <w:sz w:val="24"/>
          <w:szCs w:val="24"/>
        </w:rPr>
        <w:t xml:space="preserve">, </w:t>
      </w:r>
      <w:proofErr w:type="gramStart"/>
      <w:r w:rsidR="003E32C1">
        <w:rPr>
          <w:rFonts w:ascii="Candara" w:hAnsi="Candara" w:cs="Times New Roman"/>
          <w:spacing w:val="-4"/>
          <w:sz w:val="24"/>
          <w:szCs w:val="24"/>
        </w:rPr>
        <w:lastRenderedPageBreak/>
        <w:t xml:space="preserve">sendo </w:t>
      </w:r>
      <w:r w:rsidRPr="00753A64">
        <w:rPr>
          <w:rFonts w:ascii="Candara" w:hAnsi="Candara" w:cs="Times New Roman"/>
          <w:spacing w:val="-4"/>
          <w:sz w:val="24"/>
          <w:szCs w:val="24"/>
        </w:rPr>
        <w:t>:</w:t>
      </w:r>
      <w:proofErr w:type="gramEnd"/>
      <w:r w:rsidR="003E32C1">
        <w:rPr>
          <w:rFonts w:ascii="Candara" w:hAnsi="Candara" w:cs="Times New Roman"/>
          <w:spacing w:val="-4"/>
          <w:sz w:val="24"/>
          <w:szCs w:val="24"/>
        </w:rPr>
        <w:t xml:space="preserve"> </w:t>
      </w:r>
      <w:r w:rsidRPr="003E32C1">
        <w:rPr>
          <w:rFonts w:ascii="Candara" w:hAnsi="Candara" w:cs="Times New Roman"/>
          <w:spacing w:val="-4"/>
          <w:sz w:val="24"/>
          <w:szCs w:val="24"/>
        </w:rPr>
        <w:t xml:space="preserve">Ótimo/Sustentável </w:t>
      </w:r>
      <w:r w:rsidR="003E32C1">
        <w:rPr>
          <w:rFonts w:ascii="Candara" w:hAnsi="Candara" w:cs="Times New Roman"/>
          <w:spacing w:val="-4"/>
          <w:sz w:val="24"/>
          <w:szCs w:val="24"/>
        </w:rPr>
        <w:t>(</w:t>
      </w:r>
      <w:r w:rsidRPr="003E32C1">
        <w:rPr>
          <w:rFonts w:ascii="Candara" w:hAnsi="Candara" w:cs="Times New Roman"/>
          <w:spacing w:val="-4"/>
          <w:sz w:val="24"/>
          <w:szCs w:val="24"/>
        </w:rPr>
        <w:t>81 à 100 pontos</w:t>
      </w:r>
      <w:r w:rsidR="003E32C1">
        <w:rPr>
          <w:rFonts w:ascii="Candara" w:hAnsi="Candara" w:cs="Times New Roman"/>
          <w:spacing w:val="-4"/>
          <w:sz w:val="24"/>
          <w:szCs w:val="24"/>
        </w:rPr>
        <w:t xml:space="preserve">); </w:t>
      </w:r>
      <w:r w:rsidRPr="003E32C1">
        <w:rPr>
          <w:rFonts w:ascii="Candara" w:hAnsi="Candara" w:cs="Times New Roman"/>
          <w:spacing w:val="-4"/>
          <w:sz w:val="24"/>
          <w:szCs w:val="24"/>
        </w:rPr>
        <w:t xml:space="preserve">Adequado </w:t>
      </w:r>
      <w:r w:rsidR="003E32C1">
        <w:rPr>
          <w:rFonts w:ascii="Candara" w:hAnsi="Candara" w:cs="Times New Roman"/>
          <w:spacing w:val="-4"/>
          <w:sz w:val="24"/>
          <w:szCs w:val="24"/>
        </w:rPr>
        <w:t>(</w:t>
      </w:r>
      <w:r w:rsidRPr="003E32C1">
        <w:rPr>
          <w:rFonts w:ascii="Candara" w:hAnsi="Candara" w:cs="Times New Roman"/>
          <w:spacing w:val="-4"/>
          <w:sz w:val="24"/>
          <w:szCs w:val="24"/>
        </w:rPr>
        <w:t>61 à 80 pontos</w:t>
      </w:r>
      <w:r w:rsidR="003E32C1">
        <w:rPr>
          <w:rFonts w:ascii="Candara" w:hAnsi="Candara" w:cs="Times New Roman"/>
          <w:spacing w:val="-4"/>
          <w:sz w:val="24"/>
          <w:szCs w:val="24"/>
        </w:rPr>
        <w:t xml:space="preserve">); </w:t>
      </w:r>
      <w:r w:rsidRPr="003E32C1">
        <w:rPr>
          <w:rFonts w:ascii="Candara" w:hAnsi="Candara" w:cs="Times New Roman"/>
          <w:spacing w:val="-4"/>
          <w:sz w:val="24"/>
          <w:szCs w:val="24"/>
        </w:rPr>
        <w:t xml:space="preserve">Médio </w:t>
      </w:r>
      <w:r w:rsidR="003E32C1">
        <w:rPr>
          <w:rFonts w:ascii="Candara" w:hAnsi="Candara" w:cs="Times New Roman"/>
          <w:spacing w:val="-4"/>
          <w:sz w:val="24"/>
          <w:szCs w:val="24"/>
        </w:rPr>
        <w:t>(</w:t>
      </w:r>
      <w:r w:rsidRPr="003E32C1">
        <w:rPr>
          <w:rFonts w:ascii="Candara" w:hAnsi="Candara" w:cs="Times New Roman"/>
          <w:spacing w:val="-4"/>
          <w:sz w:val="24"/>
          <w:szCs w:val="24"/>
        </w:rPr>
        <w:t>41 a 60 pontos</w:t>
      </w:r>
      <w:r w:rsidR="003E32C1">
        <w:rPr>
          <w:rFonts w:ascii="Candara" w:hAnsi="Candara" w:cs="Times New Roman"/>
          <w:spacing w:val="-4"/>
          <w:sz w:val="24"/>
          <w:szCs w:val="24"/>
        </w:rPr>
        <w:t xml:space="preserve">); </w:t>
      </w:r>
      <w:r w:rsidRPr="003E32C1">
        <w:rPr>
          <w:rFonts w:ascii="Candara" w:hAnsi="Candara" w:cs="Times New Roman"/>
          <w:spacing w:val="-4"/>
          <w:sz w:val="24"/>
          <w:szCs w:val="24"/>
        </w:rPr>
        <w:t>Pobre</w:t>
      </w:r>
      <w:r w:rsidR="003E32C1">
        <w:rPr>
          <w:rFonts w:ascii="Candara" w:hAnsi="Candara" w:cs="Times New Roman"/>
          <w:spacing w:val="-4"/>
          <w:sz w:val="24"/>
          <w:szCs w:val="24"/>
        </w:rPr>
        <w:t xml:space="preserve"> (</w:t>
      </w:r>
      <w:r w:rsidRPr="003E32C1">
        <w:rPr>
          <w:rFonts w:ascii="Candara" w:hAnsi="Candara" w:cs="Times New Roman"/>
          <w:spacing w:val="-4"/>
          <w:sz w:val="24"/>
          <w:szCs w:val="24"/>
        </w:rPr>
        <w:t>21 à 40 pontos</w:t>
      </w:r>
      <w:r w:rsidR="003E32C1">
        <w:rPr>
          <w:rFonts w:ascii="Candara" w:hAnsi="Candara" w:cs="Times New Roman"/>
          <w:spacing w:val="-4"/>
          <w:sz w:val="24"/>
          <w:szCs w:val="24"/>
        </w:rPr>
        <w:t xml:space="preserve">); </w:t>
      </w:r>
      <w:r w:rsidRPr="003E32C1">
        <w:rPr>
          <w:rFonts w:ascii="Candara" w:hAnsi="Candara" w:cs="Times New Roman"/>
          <w:spacing w:val="-4"/>
          <w:sz w:val="24"/>
          <w:szCs w:val="24"/>
        </w:rPr>
        <w:t xml:space="preserve">Ruim/Insustentável </w:t>
      </w:r>
      <w:r w:rsidR="003E32C1">
        <w:rPr>
          <w:rFonts w:ascii="Candara" w:hAnsi="Candara" w:cs="Times New Roman"/>
          <w:spacing w:val="-4"/>
          <w:sz w:val="24"/>
          <w:szCs w:val="24"/>
        </w:rPr>
        <w:t>(</w:t>
      </w:r>
      <w:r w:rsidRPr="003E32C1">
        <w:rPr>
          <w:rFonts w:ascii="Candara" w:hAnsi="Candara" w:cs="Times New Roman"/>
          <w:spacing w:val="-4"/>
          <w:sz w:val="24"/>
          <w:szCs w:val="24"/>
        </w:rPr>
        <w:t>0 à 20 pontos</w:t>
      </w:r>
      <w:r w:rsidR="003E32C1">
        <w:rPr>
          <w:rFonts w:ascii="Candara" w:hAnsi="Candara" w:cs="Times New Roman"/>
          <w:spacing w:val="-4"/>
          <w:sz w:val="24"/>
          <w:szCs w:val="24"/>
        </w:rPr>
        <w:t>).</w:t>
      </w:r>
    </w:p>
    <w:p w14:paraId="47A42DCD" w14:textId="0F7DC378" w:rsidR="00C72FD5" w:rsidRDefault="00753A64" w:rsidP="007A3070">
      <w:pPr>
        <w:spacing w:after="0" w:line="360" w:lineRule="auto"/>
        <w:ind w:firstLine="567"/>
        <w:jc w:val="both"/>
        <w:rPr>
          <w:rFonts w:ascii="Candara" w:hAnsi="Candara" w:cs="Times New Roman"/>
          <w:spacing w:val="-4"/>
          <w:sz w:val="24"/>
          <w:szCs w:val="24"/>
        </w:rPr>
      </w:pPr>
      <w:r w:rsidRPr="00753A64">
        <w:rPr>
          <w:rFonts w:ascii="Candara" w:hAnsi="Candara" w:cs="Times New Roman"/>
          <w:spacing w:val="-4"/>
          <w:sz w:val="24"/>
          <w:szCs w:val="24"/>
        </w:rPr>
        <w:t>Na Figura 1, pode-se ver o gráfico do Barômetro da Sustentabilidade e seus eixos relativos ao bem-estar do sistema humano e ambiental, nos quais indicadores socioeconômicos e ambientais são combinados.</w:t>
      </w:r>
    </w:p>
    <w:p w14:paraId="795DCCF1" w14:textId="77777777" w:rsidR="00AB34C0" w:rsidRPr="007A3070" w:rsidRDefault="00AB34C0" w:rsidP="003E32C1">
      <w:pPr>
        <w:spacing w:after="0" w:line="360" w:lineRule="auto"/>
        <w:jc w:val="both"/>
        <w:rPr>
          <w:rFonts w:ascii="Candara" w:hAnsi="Candara" w:cs="Times New Roman"/>
          <w:spacing w:val="-4"/>
          <w:sz w:val="24"/>
          <w:szCs w:val="24"/>
        </w:rPr>
      </w:pPr>
    </w:p>
    <w:p w14:paraId="153E6D67" w14:textId="62D95BD0" w:rsidR="00753A64" w:rsidRPr="00753A64" w:rsidRDefault="00753A64" w:rsidP="007A3070">
      <w:pPr>
        <w:spacing w:after="0" w:line="240" w:lineRule="auto"/>
        <w:rPr>
          <w:rFonts w:ascii="Candara" w:eastAsia="Times New Roman" w:hAnsi="Candara" w:cs="Times New Roman"/>
          <w:sz w:val="24"/>
          <w:szCs w:val="24"/>
        </w:rPr>
      </w:pPr>
      <w:r w:rsidRPr="00753A64">
        <w:rPr>
          <w:rFonts w:ascii="Candara" w:eastAsia="Times New Roman" w:hAnsi="Candara" w:cs="Times New Roman"/>
          <w:b/>
          <w:bCs/>
          <w:sz w:val="24"/>
          <w:szCs w:val="24"/>
        </w:rPr>
        <w:t>Figura 1</w:t>
      </w:r>
      <w:r w:rsidRPr="00753A64">
        <w:rPr>
          <w:rFonts w:ascii="Candara" w:eastAsia="Times New Roman" w:hAnsi="Candara" w:cs="Times New Roman"/>
          <w:sz w:val="24"/>
          <w:szCs w:val="24"/>
        </w:rPr>
        <w:t xml:space="preserve"> – Barômetro da Sustentabilidade</w:t>
      </w:r>
    </w:p>
    <w:p w14:paraId="16F7C364" w14:textId="77777777" w:rsidR="00753A64" w:rsidRPr="00753A64" w:rsidRDefault="00753A64" w:rsidP="00753A64">
      <w:pPr>
        <w:spacing w:after="0" w:line="240" w:lineRule="auto"/>
        <w:jc w:val="center"/>
        <w:rPr>
          <w:rFonts w:ascii="Candara" w:eastAsia="Times New Roman" w:hAnsi="Candara" w:cs="Times New Roman"/>
          <w:sz w:val="20"/>
          <w:szCs w:val="20"/>
        </w:rPr>
      </w:pPr>
      <w:r w:rsidRPr="00753A64">
        <w:rPr>
          <w:rFonts w:ascii="Candara" w:eastAsia="Times New Roman" w:hAnsi="Candara" w:cs="Times New Roman"/>
          <w:noProof/>
          <w:sz w:val="20"/>
          <w:szCs w:val="20"/>
        </w:rPr>
        <w:drawing>
          <wp:inline distT="0" distB="0" distL="0" distR="0" wp14:anchorId="45657F9E" wp14:editId="385969CA">
            <wp:extent cx="3361203" cy="3060700"/>
            <wp:effectExtent l="0" t="0" r="0" b="6350"/>
            <wp:docPr id="947421113" name="Imagem 1"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21113" name="Imagem 1" descr="Uma imagem contendo Gráfico&#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0864" cy="3096815"/>
                    </a:xfrm>
                    <a:prstGeom prst="rect">
                      <a:avLst/>
                    </a:prstGeom>
                    <a:noFill/>
                    <a:ln>
                      <a:noFill/>
                    </a:ln>
                  </pic:spPr>
                </pic:pic>
              </a:graphicData>
            </a:graphic>
          </wp:inline>
        </w:drawing>
      </w:r>
    </w:p>
    <w:p w14:paraId="3A0F906F" w14:textId="77777777" w:rsidR="00753A64" w:rsidRPr="00753A64" w:rsidRDefault="00753A64" w:rsidP="00753A64">
      <w:pPr>
        <w:spacing w:after="0" w:line="240" w:lineRule="auto"/>
        <w:rPr>
          <w:rFonts w:ascii="Candara" w:eastAsia="Times New Roman" w:hAnsi="Candara" w:cs="Times New Roman"/>
          <w:sz w:val="20"/>
          <w:szCs w:val="20"/>
        </w:rPr>
      </w:pPr>
      <w:r w:rsidRPr="00753A64">
        <w:rPr>
          <w:rFonts w:ascii="Candara" w:eastAsia="Times New Roman" w:hAnsi="Candara" w:cs="Times New Roman"/>
          <w:sz w:val="20"/>
          <w:szCs w:val="20"/>
        </w:rPr>
        <w:t>Fonte: Adaptado de Prescott-Allen (1997)</w:t>
      </w:r>
    </w:p>
    <w:p w14:paraId="0224BDE5" w14:textId="77777777" w:rsidR="00753A64" w:rsidRPr="00753A64" w:rsidRDefault="00753A64" w:rsidP="00753A64">
      <w:pPr>
        <w:spacing w:after="0" w:line="360" w:lineRule="auto"/>
        <w:rPr>
          <w:rFonts w:ascii="Candara" w:eastAsia="Times New Roman" w:hAnsi="Candara" w:cs="Times New Roman"/>
          <w:sz w:val="24"/>
          <w:szCs w:val="24"/>
        </w:rPr>
      </w:pPr>
    </w:p>
    <w:p w14:paraId="6A508B08" w14:textId="1E8C44D8" w:rsidR="00753A64" w:rsidRPr="00AB34C0" w:rsidRDefault="00753A64">
      <w:pPr>
        <w:spacing w:after="120" w:line="360" w:lineRule="auto"/>
        <w:jc w:val="both"/>
        <w:rPr>
          <w:rFonts w:ascii="Candara" w:eastAsia="Candara" w:hAnsi="Candara" w:cs="Candara"/>
          <w:sz w:val="28"/>
          <w:szCs w:val="28"/>
        </w:rPr>
      </w:pPr>
      <w:r w:rsidRPr="00753A64">
        <w:rPr>
          <w:rFonts w:ascii="Candara" w:eastAsia="Times New Roman" w:hAnsi="Candara" w:cs="Times New Roman"/>
          <w:sz w:val="24"/>
          <w:szCs w:val="24"/>
        </w:rPr>
        <w:tab/>
      </w:r>
      <w:r w:rsidRPr="00753A64">
        <w:rPr>
          <w:rFonts w:ascii="Candara" w:eastAsia="Times New Roman" w:hAnsi="Candara" w:cs="Times New Roman"/>
          <w:spacing w:val="-4"/>
          <w:sz w:val="24"/>
          <w:szCs w:val="24"/>
        </w:rPr>
        <w:t xml:space="preserve">Utilizando o gráfico da Figura 1, e a escala determinada por Prescott-Allen, pode-se demarcar no gráfico onde localiza-se o município ou região em análise. Por exemplo, no artigo de </w:t>
      </w:r>
      <w:proofErr w:type="spellStart"/>
      <w:r w:rsidRPr="00753A64">
        <w:rPr>
          <w:rFonts w:ascii="Candara" w:hAnsi="Candara" w:cs="Times New Roman"/>
          <w:spacing w:val="-4"/>
          <w:sz w:val="24"/>
          <w:szCs w:val="24"/>
        </w:rPr>
        <w:t>Hachmann</w:t>
      </w:r>
      <w:proofErr w:type="spellEnd"/>
      <w:r w:rsidRPr="00753A64">
        <w:rPr>
          <w:rFonts w:ascii="Candara" w:hAnsi="Candara" w:cs="Times New Roman"/>
          <w:spacing w:val="-4"/>
          <w:sz w:val="24"/>
          <w:szCs w:val="24"/>
        </w:rPr>
        <w:t xml:space="preserve"> e </w:t>
      </w:r>
      <w:proofErr w:type="spellStart"/>
      <w:r w:rsidRPr="00753A64">
        <w:rPr>
          <w:rFonts w:ascii="Candara" w:hAnsi="Candara" w:cs="Times New Roman"/>
          <w:spacing w:val="-4"/>
          <w:sz w:val="24"/>
          <w:szCs w:val="24"/>
        </w:rPr>
        <w:t>Rippel</w:t>
      </w:r>
      <w:proofErr w:type="spellEnd"/>
      <w:r w:rsidRPr="00753A64">
        <w:rPr>
          <w:rFonts w:ascii="Candara" w:hAnsi="Candara" w:cs="Times New Roman"/>
          <w:spacing w:val="-4"/>
          <w:sz w:val="24"/>
          <w:szCs w:val="24"/>
        </w:rPr>
        <w:t xml:space="preserve"> (2015), que analisou a mesorregião Oeste do Paraná (2000 e 2010); após a coleta e análise dos dados, com a posterior aplicação do Barômetro da Sustentabilidade, os autores encontraram, para o ano 2010, os índices 52,18 no </w:t>
      </w:r>
      <w:r w:rsidRPr="00753A64">
        <w:rPr>
          <w:rFonts w:ascii="Candara" w:hAnsi="Candara" w:cs="Times New Roman"/>
          <w:spacing w:val="-4"/>
          <w:sz w:val="24"/>
          <w:szCs w:val="24"/>
        </w:rPr>
        <w:lastRenderedPageBreak/>
        <w:t>Sistema Humano e 16,80 no Sistema Ambiental, indicando que a mesorregião Oeste do Paraná estava na área do gráfico considerada “Insustentável”.</w:t>
      </w:r>
    </w:p>
    <w:p w14:paraId="75487A18" w14:textId="77777777" w:rsidR="00AB34C0" w:rsidRDefault="00AB34C0" w:rsidP="00AB34C0">
      <w:pPr>
        <w:spacing w:after="0" w:line="360" w:lineRule="auto"/>
        <w:jc w:val="both"/>
        <w:rPr>
          <w:rFonts w:ascii="Candara" w:eastAsia="Candara" w:hAnsi="Candara" w:cs="Candara"/>
          <w:color w:val="000000"/>
          <w:sz w:val="28"/>
          <w:szCs w:val="28"/>
        </w:rPr>
      </w:pPr>
    </w:p>
    <w:p w14:paraId="2CE1ADCA" w14:textId="48222968" w:rsidR="00753A64" w:rsidRPr="00753A64" w:rsidRDefault="001637AA">
      <w:pPr>
        <w:spacing w:after="12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5</w:t>
      </w:r>
      <w:r w:rsidR="00753A64">
        <w:rPr>
          <w:rFonts w:ascii="Candara" w:eastAsia="Candara" w:hAnsi="Candara" w:cs="Candara"/>
          <w:color w:val="000000"/>
          <w:sz w:val="28"/>
          <w:szCs w:val="28"/>
        </w:rPr>
        <w:t xml:space="preserve"> Resultados e Discussões </w:t>
      </w:r>
    </w:p>
    <w:p w14:paraId="0EDF81C2" w14:textId="77777777" w:rsidR="00C534AB" w:rsidRDefault="00C534AB" w:rsidP="00C534AB">
      <w:pPr>
        <w:spacing w:after="0" w:line="240" w:lineRule="auto"/>
        <w:ind w:firstLine="708"/>
        <w:jc w:val="both"/>
        <w:rPr>
          <w:rFonts w:ascii="Candara" w:eastAsia="Times New Roman" w:hAnsi="Candara" w:cs="Times New Roman"/>
          <w:spacing w:val="-5"/>
          <w:sz w:val="24"/>
          <w:szCs w:val="24"/>
        </w:rPr>
      </w:pPr>
    </w:p>
    <w:p w14:paraId="6CF028CE" w14:textId="0B1A669E" w:rsidR="00753A64" w:rsidRPr="00753A64" w:rsidRDefault="00753A64" w:rsidP="00753A64">
      <w:pPr>
        <w:spacing w:after="0" w:line="360" w:lineRule="auto"/>
        <w:ind w:firstLine="708"/>
        <w:jc w:val="both"/>
        <w:rPr>
          <w:rFonts w:ascii="Candara" w:eastAsia="Times New Roman" w:hAnsi="Candara" w:cs="Times New Roman"/>
          <w:spacing w:val="-5"/>
          <w:sz w:val="24"/>
          <w:szCs w:val="24"/>
        </w:rPr>
      </w:pPr>
      <w:r w:rsidRPr="00753A64">
        <w:rPr>
          <w:rFonts w:ascii="Candara" w:eastAsia="Times New Roman" w:hAnsi="Candara" w:cs="Times New Roman"/>
          <w:spacing w:val="-5"/>
          <w:sz w:val="24"/>
          <w:szCs w:val="24"/>
        </w:rPr>
        <w:t>O Estado do Mato Grosso do Sul, criado em   1977, com extensão territorial de 357.142.082km</w:t>
      </w:r>
      <w:r w:rsidRPr="00753A64">
        <w:rPr>
          <w:rFonts w:ascii="Candara" w:eastAsia="Times New Roman" w:hAnsi="Candara" w:cs="Times New Roman"/>
          <w:spacing w:val="-5"/>
          <w:sz w:val="24"/>
          <w:szCs w:val="24"/>
          <w:vertAlign w:val="superscript"/>
        </w:rPr>
        <w:t>2</w:t>
      </w:r>
      <w:r w:rsidRPr="00753A64">
        <w:rPr>
          <w:rFonts w:ascii="Candara" w:eastAsia="Times New Roman" w:hAnsi="Candara" w:cs="Times New Roman"/>
          <w:spacing w:val="-5"/>
          <w:sz w:val="24"/>
          <w:szCs w:val="24"/>
        </w:rPr>
        <w:t>, e uma população composta 2.756.700 habitantes (Censo 2022), distribuídos em 79 municípios, sendo o IDH estadual de 0,742; sua principal atividade econômica está amparada nos Serviços, seguido da Agropecuária. Nesse emaranhado do setor Serviços e Agropecuária, encontram-se englobadas as atividades pertinentes ao turismo (Governo de Mato Grosso do Sul, 2022; IBGE Cidades e Estados, 2023).</w:t>
      </w:r>
    </w:p>
    <w:p w14:paraId="545A4CF6" w14:textId="098AACF6" w:rsidR="00753A64" w:rsidRPr="00753A64" w:rsidRDefault="00753A64" w:rsidP="00753A64">
      <w:pPr>
        <w:spacing w:after="0" w:line="360" w:lineRule="auto"/>
        <w:ind w:firstLine="708"/>
        <w:jc w:val="both"/>
        <w:rPr>
          <w:rFonts w:ascii="Candara" w:eastAsia="Times New Roman" w:hAnsi="Candara" w:cs="Times New Roman"/>
          <w:spacing w:val="-5"/>
          <w:sz w:val="24"/>
          <w:szCs w:val="24"/>
        </w:rPr>
      </w:pPr>
      <w:r w:rsidRPr="00753A64">
        <w:rPr>
          <w:rFonts w:ascii="Candara" w:eastAsia="Times New Roman" w:hAnsi="Candara" w:cs="Times New Roman"/>
          <w:spacing w:val="-5"/>
          <w:sz w:val="24"/>
          <w:szCs w:val="24"/>
        </w:rPr>
        <w:t>Deste modo, a Fundação de Turismo de Mato Grosso do Sul, visando fortalecer a atividade turística no estado, instituiu o Programa de Classificação dos Municípios por intermédio da Portaria</w:t>
      </w:r>
      <w:r w:rsidRPr="00753A64">
        <w:rPr>
          <w:rFonts w:ascii="Candara" w:hAnsi="Candara" w:cs="Times New Roman"/>
          <w:spacing w:val="-5"/>
          <w:sz w:val="24"/>
          <w:szCs w:val="24"/>
        </w:rPr>
        <w:t xml:space="preserve"> n. 09, de 05 de outubro de 2021. </w:t>
      </w:r>
      <w:r w:rsidRPr="00753A64">
        <w:rPr>
          <w:rFonts w:ascii="Candara" w:eastAsia="Times New Roman" w:hAnsi="Candara" w:cs="Times New Roman"/>
          <w:spacing w:val="-5"/>
          <w:sz w:val="24"/>
          <w:szCs w:val="24"/>
        </w:rPr>
        <w:t>Esse programa busca, especialmente, o desenvolvimento da infraestrutura como forma de atração para novos investimentos (FUNDTUR, 2023).</w:t>
      </w:r>
    </w:p>
    <w:p w14:paraId="27476963" w14:textId="77777777" w:rsidR="00753A64" w:rsidRPr="002859DB" w:rsidRDefault="00753A64" w:rsidP="00753A64">
      <w:pPr>
        <w:spacing w:after="0" w:line="360" w:lineRule="auto"/>
        <w:jc w:val="both"/>
        <w:rPr>
          <w:rFonts w:ascii="Candara" w:eastAsia="Times New Roman" w:hAnsi="Candara" w:cs="Times New Roman"/>
          <w:spacing w:val="-6"/>
          <w:sz w:val="24"/>
          <w:szCs w:val="24"/>
        </w:rPr>
      </w:pPr>
      <w:r w:rsidRPr="00753A64">
        <w:rPr>
          <w:rFonts w:ascii="Candara" w:eastAsia="Times New Roman" w:hAnsi="Candara" w:cs="Times New Roman"/>
          <w:spacing w:val="-5"/>
          <w:sz w:val="24"/>
          <w:szCs w:val="24"/>
        </w:rPr>
        <w:tab/>
      </w:r>
      <w:r w:rsidRPr="002859DB">
        <w:rPr>
          <w:rFonts w:ascii="Candara" w:eastAsia="Times New Roman" w:hAnsi="Candara" w:cs="Times New Roman"/>
          <w:spacing w:val="-6"/>
          <w:sz w:val="24"/>
          <w:szCs w:val="24"/>
        </w:rPr>
        <w:t xml:space="preserve">De acordo com a Portaria, os municípios cadastrados serão classificados e receberão os títulos de acordo com critério de pontuação, estabelecido para cada fase. No artigo 5º, são apresentadas as fases de enquadramento, sendo nominadas conforme pontuações obtidas: Semear (1ª fase), Nascer (2ª fase), Frutificar (3ª fase) e Colher (4ª fase). </w:t>
      </w:r>
    </w:p>
    <w:p w14:paraId="79A2C3A4" w14:textId="623E1B1F" w:rsidR="00753A64" w:rsidRPr="00753A64" w:rsidRDefault="00753A64" w:rsidP="00753A64">
      <w:pPr>
        <w:spacing w:after="0" w:line="360" w:lineRule="auto"/>
        <w:ind w:firstLine="708"/>
        <w:jc w:val="both"/>
        <w:rPr>
          <w:rFonts w:ascii="Candara" w:hAnsi="Candara" w:cs="Times New Roman"/>
          <w:spacing w:val="-5"/>
          <w:sz w:val="24"/>
          <w:szCs w:val="24"/>
        </w:rPr>
      </w:pPr>
      <w:r w:rsidRPr="00753A64">
        <w:rPr>
          <w:rFonts w:ascii="Candara" w:eastAsia="Times New Roman" w:hAnsi="Candara" w:cs="Times New Roman"/>
          <w:spacing w:val="-5"/>
          <w:sz w:val="24"/>
          <w:szCs w:val="24"/>
        </w:rPr>
        <w:t xml:space="preserve">Por exemplo, na </w:t>
      </w:r>
      <w:proofErr w:type="gramStart"/>
      <w:r w:rsidRPr="00753A64">
        <w:rPr>
          <w:rFonts w:ascii="Candara" w:eastAsia="Times New Roman" w:hAnsi="Candara" w:cs="Times New Roman"/>
          <w:spacing w:val="-5"/>
          <w:sz w:val="24"/>
          <w:szCs w:val="24"/>
        </w:rPr>
        <w:t xml:space="preserve">fase </w:t>
      </w:r>
      <w:r>
        <w:rPr>
          <w:rFonts w:ascii="Candara" w:eastAsia="Times New Roman" w:hAnsi="Candara" w:cs="Times New Roman"/>
          <w:spacing w:val="-5"/>
          <w:sz w:val="24"/>
          <w:szCs w:val="24"/>
        </w:rPr>
        <w:t>S</w:t>
      </w:r>
      <w:r w:rsidRPr="00753A64">
        <w:rPr>
          <w:rFonts w:ascii="Candara" w:eastAsia="Times New Roman" w:hAnsi="Candara" w:cs="Times New Roman"/>
          <w:spacing w:val="-5"/>
          <w:sz w:val="24"/>
          <w:szCs w:val="24"/>
        </w:rPr>
        <w:t>emear</w:t>
      </w:r>
      <w:proofErr w:type="gramEnd"/>
      <w:r w:rsidRPr="00753A64">
        <w:rPr>
          <w:rFonts w:ascii="Candara" w:eastAsia="Times New Roman" w:hAnsi="Candara" w:cs="Times New Roman"/>
          <w:spacing w:val="-5"/>
          <w:sz w:val="24"/>
          <w:szCs w:val="24"/>
        </w:rPr>
        <w:t xml:space="preserve"> (01 a 90 pontos) corresponde aos destinos/municípios com pequenos números de visitantes e ofertas turísticas e não possui a gestão estruturada da atividade. Na fase Nascer (91 a 140 pontos) são enquadrados </w:t>
      </w:r>
      <w:r w:rsidRPr="00753A64">
        <w:rPr>
          <w:rFonts w:ascii="Candara" w:hAnsi="Candara" w:cs="Times New Roman"/>
          <w:spacing w:val="-5"/>
          <w:sz w:val="24"/>
          <w:szCs w:val="24"/>
        </w:rPr>
        <w:t xml:space="preserve">municípios que são procurados por um crescente número de turistas e a oferta começa a </w:t>
      </w:r>
      <w:r w:rsidRPr="00753A64">
        <w:rPr>
          <w:rFonts w:ascii="Candara" w:hAnsi="Candara" w:cs="Times New Roman"/>
          <w:spacing w:val="-5"/>
          <w:sz w:val="24"/>
          <w:szCs w:val="24"/>
        </w:rPr>
        <w:lastRenderedPageBreak/>
        <w:t xml:space="preserve">ser estruturada, que impulsiona para a fase seguinte; a Frutificar (141 a 210 pontos), onde a atividade turística já é considerada uma das atividades econômicas do município, se fazem presentes os processos gestão e a preocupação bem como a ampliação e qualidade da oferta, com roteiros estruturados, há inovação assim como a adoção de um perfil mais profissional do apoio ao turismo e melhores equipamentos. </w:t>
      </w:r>
    </w:p>
    <w:p w14:paraId="7438721F" w14:textId="77777777" w:rsidR="00753A64" w:rsidRPr="00753A64" w:rsidRDefault="00753A64" w:rsidP="00753A64">
      <w:pPr>
        <w:spacing w:after="0" w:line="360" w:lineRule="auto"/>
        <w:ind w:firstLine="708"/>
        <w:jc w:val="both"/>
        <w:rPr>
          <w:rFonts w:ascii="Candara" w:hAnsi="Candara" w:cs="Times New Roman"/>
          <w:color w:val="000000" w:themeColor="text1"/>
          <w:spacing w:val="-5"/>
          <w:sz w:val="24"/>
          <w:szCs w:val="24"/>
        </w:rPr>
      </w:pPr>
      <w:r w:rsidRPr="00753A64">
        <w:rPr>
          <w:rFonts w:ascii="Candara" w:hAnsi="Candara" w:cs="Times New Roman"/>
          <w:spacing w:val="-5"/>
          <w:sz w:val="24"/>
          <w:szCs w:val="24"/>
        </w:rPr>
        <w:t xml:space="preserve">A última fase é a Colher (211 a 294 pontos), nela se concentram os municípios em que o turismo é uma de suas principais atividades econômicas. Nesse ponto, já </w:t>
      </w:r>
      <w:r w:rsidRPr="00753A64">
        <w:rPr>
          <w:rFonts w:ascii="Candara" w:hAnsi="Candara" w:cs="Times New Roman"/>
          <w:color w:val="000000" w:themeColor="text1"/>
          <w:spacing w:val="-5"/>
          <w:sz w:val="24"/>
          <w:szCs w:val="24"/>
        </w:rPr>
        <w:t>existem números significativos de turistas, oferta de equipamentos especializada e há articulação nos trabalhos entre gestão pública e trade nos ambientes colegiados em busca de garantir o sucesso da atividade no destino. (FUNDTUR, 2023)</w:t>
      </w:r>
    </w:p>
    <w:p w14:paraId="347EFFBB" w14:textId="77777777" w:rsidR="00753A64" w:rsidRPr="00753A64" w:rsidRDefault="00753A64" w:rsidP="00753A64">
      <w:pPr>
        <w:spacing w:after="0" w:line="360" w:lineRule="auto"/>
        <w:ind w:firstLine="851"/>
        <w:jc w:val="both"/>
        <w:rPr>
          <w:rFonts w:ascii="Candara" w:eastAsia="Times New Roman" w:hAnsi="Candara" w:cs="Times New Roman"/>
          <w:spacing w:val="-5"/>
          <w:sz w:val="24"/>
          <w:szCs w:val="24"/>
        </w:rPr>
      </w:pPr>
      <w:r w:rsidRPr="00753A64">
        <w:rPr>
          <w:rFonts w:ascii="Candara" w:eastAsia="Times New Roman" w:hAnsi="Candara" w:cs="Times New Roman"/>
          <w:spacing w:val="-5"/>
          <w:sz w:val="24"/>
          <w:szCs w:val="24"/>
        </w:rPr>
        <w:t>O artigo se concentrou em analisar a fase Colher, que na classificação atual, compreende oito municípios, sendo Aquidauana, Bodoquena, Bonito, Campo Grande, Corumbá, Costa Rica, Dourados e Jardim. Pode-se observar na Figura 2 que os municípios da fase Colher estão em pontos diferentes, por vezes distantes no mapa, mas foram determinados em função da pontuação anteriormente citada.</w:t>
      </w:r>
    </w:p>
    <w:p w14:paraId="0DDCBDF1" w14:textId="7954929B" w:rsidR="003E32C1" w:rsidRDefault="00BC3323" w:rsidP="00BC3323">
      <w:pPr>
        <w:spacing w:after="0" w:line="360" w:lineRule="auto"/>
        <w:ind w:firstLine="720"/>
        <w:jc w:val="both"/>
        <w:rPr>
          <w:rFonts w:ascii="Candara" w:eastAsia="Times New Roman" w:hAnsi="Candara" w:cs="Times New Roman"/>
          <w:spacing w:val="-4"/>
          <w:sz w:val="24"/>
          <w:szCs w:val="24"/>
        </w:rPr>
      </w:pPr>
      <w:r w:rsidRPr="00753A64">
        <w:rPr>
          <w:rFonts w:ascii="Candara" w:eastAsia="Times New Roman" w:hAnsi="Candara" w:cs="Times New Roman"/>
          <w:sz w:val="24"/>
          <w:szCs w:val="24"/>
        </w:rPr>
        <w:t xml:space="preserve">Após a consulta nas bases de dados, as informações coletadas dos municípios da fase Colher, estão dispostos na Tabela 4. </w:t>
      </w:r>
      <w:r w:rsidRPr="00753A64">
        <w:rPr>
          <w:rFonts w:ascii="Candara" w:eastAsia="Times New Roman" w:hAnsi="Candara" w:cs="Times New Roman"/>
          <w:spacing w:val="-4"/>
          <w:sz w:val="24"/>
          <w:szCs w:val="24"/>
        </w:rPr>
        <w:t>Pode-se constatar que os municípios da Fase Colher possuem evidentes diferenças em suas caracterizações, a começar pela população total, que varia de 8.567 (Bodoquena) até 897.938 (Campo Grande, também capital do Estado).</w:t>
      </w:r>
    </w:p>
    <w:p w14:paraId="764A679C" w14:textId="77777777" w:rsidR="00BC3323" w:rsidRDefault="00BC3323" w:rsidP="00BC3323">
      <w:pPr>
        <w:spacing w:after="0" w:line="360" w:lineRule="auto"/>
        <w:jc w:val="both"/>
        <w:rPr>
          <w:rFonts w:ascii="Candara" w:eastAsia="Times New Roman" w:hAnsi="Candara" w:cs="Times New Roman"/>
          <w:spacing w:val="-4"/>
          <w:sz w:val="24"/>
          <w:szCs w:val="24"/>
        </w:rPr>
      </w:pPr>
    </w:p>
    <w:p w14:paraId="05ADBB9B" w14:textId="77777777" w:rsidR="00BC3323" w:rsidRDefault="00BC3323" w:rsidP="00BC3323">
      <w:pPr>
        <w:spacing w:after="0" w:line="360" w:lineRule="auto"/>
        <w:jc w:val="both"/>
        <w:rPr>
          <w:rFonts w:ascii="Candara" w:eastAsia="Times New Roman" w:hAnsi="Candara" w:cs="Times New Roman"/>
          <w:spacing w:val="-4"/>
          <w:sz w:val="24"/>
          <w:szCs w:val="24"/>
        </w:rPr>
      </w:pPr>
    </w:p>
    <w:p w14:paraId="0922051A" w14:textId="77777777" w:rsidR="00BC3323" w:rsidRDefault="00BC3323" w:rsidP="00BC3323">
      <w:pPr>
        <w:spacing w:after="0" w:line="360" w:lineRule="auto"/>
        <w:jc w:val="both"/>
        <w:rPr>
          <w:rFonts w:ascii="Candara" w:eastAsia="Times New Roman" w:hAnsi="Candara" w:cs="Times New Roman"/>
          <w:spacing w:val="-4"/>
          <w:sz w:val="24"/>
          <w:szCs w:val="24"/>
        </w:rPr>
      </w:pPr>
    </w:p>
    <w:p w14:paraId="6B061637" w14:textId="77777777" w:rsidR="00BC3323" w:rsidRPr="00753A64" w:rsidRDefault="00BC3323" w:rsidP="00BC3323">
      <w:pPr>
        <w:spacing w:after="0" w:line="360" w:lineRule="auto"/>
        <w:jc w:val="both"/>
        <w:rPr>
          <w:rFonts w:ascii="Candara" w:eastAsia="Times New Roman" w:hAnsi="Candara" w:cs="Times New Roman"/>
          <w:sz w:val="24"/>
          <w:szCs w:val="24"/>
        </w:rPr>
      </w:pPr>
    </w:p>
    <w:p w14:paraId="430B8F24" w14:textId="77777777" w:rsidR="00753A64" w:rsidRPr="00753A64" w:rsidRDefault="00753A64" w:rsidP="007A3070">
      <w:pPr>
        <w:spacing w:after="0" w:line="240" w:lineRule="auto"/>
        <w:jc w:val="both"/>
        <w:rPr>
          <w:rFonts w:ascii="Candara" w:eastAsia="Times New Roman" w:hAnsi="Candara" w:cs="Times New Roman"/>
          <w:spacing w:val="-6"/>
          <w:sz w:val="24"/>
          <w:szCs w:val="24"/>
        </w:rPr>
      </w:pPr>
      <w:r w:rsidRPr="00753A64">
        <w:rPr>
          <w:rFonts w:ascii="Candara" w:eastAsia="Times New Roman" w:hAnsi="Candara" w:cs="Times New Roman"/>
          <w:b/>
          <w:bCs/>
          <w:sz w:val="24"/>
          <w:szCs w:val="24"/>
        </w:rPr>
        <w:lastRenderedPageBreak/>
        <w:t>Figura 2</w:t>
      </w:r>
      <w:r w:rsidRPr="00753A64">
        <w:rPr>
          <w:rFonts w:ascii="Candara" w:eastAsia="Times New Roman" w:hAnsi="Candara" w:cs="Times New Roman"/>
          <w:sz w:val="24"/>
          <w:szCs w:val="24"/>
        </w:rPr>
        <w:t xml:space="preserve"> </w:t>
      </w:r>
      <w:r w:rsidRPr="00753A64">
        <w:rPr>
          <w:rFonts w:ascii="Candara" w:eastAsia="Times New Roman" w:hAnsi="Candara" w:cs="Times New Roman"/>
          <w:spacing w:val="-6"/>
          <w:sz w:val="24"/>
          <w:szCs w:val="24"/>
        </w:rPr>
        <w:t>– Mapa do Mato Grosso do Sul, com destaque para os municípios da fase Colher.</w:t>
      </w:r>
    </w:p>
    <w:p w14:paraId="2D7F203C" w14:textId="77777777" w:rsidR="00753A64" w:rsidRPr="00753A64" w:rsidRDefault="00753A64" w:rsidP="00753A64">
      <w:pPr>
        <w:spacing w:after="0" w:line="240" w:lineRule="auto"/>
        <w:jc w:val="center"/>
        <w:rPr>
          <w:rFonts w:ascii="Candara" w:eastAsia="Times New Roman" w:hAnsi="Candara" w:cs="Times New Roman"/>
          <w:sz w:val="20"/>
          <w:szCs w:val="20"/>
        </w:rPr>
      </w:pPr>
      <w:r w:rsidRPr="00753A64">
        <w:rPr>
          <w:rFonts w:ascii="Candara" w:eastAsia="Times New Roman" w:hAnsi="Candara" w:cs="Times New Roman"/>
          <w:noProof/>
          <w:sz w:val="20"/>
          <w:szCs w:val="20"/>
        </w:rPr>
        <w:drawing>
          <wp:inline distT="0" distB="0" distL="0" distR="0" wp14:anchorId="7235EE82" wp14:editId="57B19EC7">
            <wp:extent cx="5327879" cy="2482215"/>
            <wp:effectExtent l="0" t="0" r="6350" b="0"/>
            <wp:docPr id="362655126"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55126" name="Imagem 1" descr="Mapa&#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4596" cy="2499321"/>
                    </a:xfrm>
                    <a:prstGeom prst="rect">
                      <a:avLst/>
                    </a:prstGeom>
                    <a:noFill/>
                    <a:ln>
                      <a:noFill/>
                    </a:ln>
                  </pic:spPr>
                </pic:pic>
              </a:graphicData>
            </a:graphic>
          </wp:inline>
        </w:drawing>
      </w:r>
    </w:p>
    <w:p w14:paraId="01047491" w14:textId="77777777" w:rsidR="00753A64" w:rsidRPr="00753A64" w:rsidRDefault="00753A64" w:rsidP="00753A64">
      <w:pPr>
        <w:spacing w:after="0" w:line="240" w:lineRule="auto"/>
        <w:jc w:val="both"/>
        <w:rPr>
          <w:rFonts w:ascii="Candara" w:eastAsia="Times New Roman" w:hAnsi="Candara" w:cs="Times New Roman"/>
          <w:sz w:val="20"/>
          <w:szCs w:val="20"/>
        </w:rPr>
      </w:pPr>
      <w:r w:rsidRPr="00753A64">
        <w:rPr>
          <w:rFonts w:ascii="Candara" w:eastAsia="Times New Roman" w:hAnsi="Candara" w:cs="Times New Roman"/>
          <w:sz w:val="20"/>
          <w:szCs w:val="20"/>
        </w:rPr>
        <w:t>Fonte: Elaborado pelos autores com base IBGE (2023).</w:t>
      </w:r>
    </w:p>
    <w:p w14:paraId="22F89F31" w14:textId="77777777" w:rsidR="00753A64" w:rsidRPr="00753A64" w:rsidRDefault="00753A64" w:rsidP="00753A64">
      <w:pPr>
        <w:spacing w:after="0" w:line="360" w:lineRule="auto"/>
        <w:rPr>
          <w:rFonts w:ascii="Candara" w:eastAsia="Times New Roman" w:hAnsi="Candara" w:cs="Times New Roman"/>
          <w:sz w:val="24"/>
          <w:szCs w:val="24"/>
        </w:rPr>
      </w:pPr>
      <w:r w:rsidRPr="00753A64">
        <w:rPr>
          <w:rFonts w:ascii="Candara" w:eastAsia="Times New Roman" w:hAnsi="Candara" w:cs="Times New Roman"/>
          <w:sz w:val="24"/>
          <w:szCs w:val="24"/>
        </w:rPr>
        <w:tab/>
      </w:r>
    </w:p>
    <w:p w14:paraId="36FFDD57" w14:textId="2E5B22D8" w:rsidR="00753A64" w:rsidRPr="00753A64" w:rsidRDefault="00753A64" w:rsidP="00753A64">
      <w:pPr>
        <w:spacing w:after="0" w:line="360" w:lineRule="auto"/>
        <w:ind w:firstLine="708"/>
        <w:jc w:val="both"/>
        <w:rPr>
          <w:rFonts w:ascii="Candara" w:eastAsia="Times New Roman" w:hAnsi="Candara" w:cs="Times New Roman"/>
          <w:sz w:val="24"/>
          <w:szCs w:val="24"/>
        </w:rPr>
      </w:pPr>
      <w:r w:rsidRPr="00753A64">
        <w:rPr>
          <w:rFonts w:ascii="Candara" w:eastAsia="Times New Roman" w:hAnsi="Candara" w:cs="Times New Roman"/>
          <w:spacing w:val="-4"/>
          <w:sz w:val="24"/>
          <w:szCs w:val="24"/>
        </w:rPr>
        <w:t>Em relação aos trabalhadores relacionados às atividades de turismo</w:t>
      </w:r>
      <w:r w:rsidRPr="00753A64">
        <w:rPr>
          <w:rFonts w:ascii="Candara" w:eastAsia="Times New Roman" w:hAnsi="Candara" w:cs="Times New Roman"/>
          <w:spacing w:val="-4"/>
          <w:sz w:val="24"/>
          <w:szCs w:val="24"/>
          <w:vertAlign w:val="superscript"/>
        </w:rPr>
        <w:t>4</w:t>
      </w:r>
      <w:r w:rsidRPr="00753A64">
        <w:rPr>
          <w:rFonts w:ascii="Candara" w:eastAsia="Times New Roman" w:hAnsi="Candara" w:cs="Times New Roman"/>
          <w:spacing w:val="-4"/>
          <w:sz w:val="24"/>
          <w:szCs w:val="24"/>
        </w:rPr>
        <w:t>, observa-se que o município de Bonito, com apenas 23.659 habitantes, possui 1.577 (quase 7%) em atividades ligadas ao turismo, enquanto Campo Grande não tem nem 1% da população atrelada a este setor.</w:t>
      </w:r>
    </w:p>
    <w:p w14:paraId="10DB1CFA" w14:textId="77777777" w:rsidR="00753A64" w:rsidRPr="00753A64" w:rsidRDefault="00753A64" w:rsidP="00753A64">
      <w:pPr>
        <w:spacing w:after="0" w:line="360" w:lineRule="auto"/>
        <w:rPr>
          <w:rFonts w:ascii="Candara" w:eastAsia="Times New Roman" w:hAnsi="Candara" w:cs="Times New Roman"/>
          <w:sz w:val="24"/>
          <w:szCs w:val="24"/>
        </w:rPr>
      </w:pPr>
    </w:p>
    <w:p w14:paraId="40F34DD4" w14:textId="34E8CE66" w:rsidR="00753A64" w:rsidRPr="00753A64" w:rsidRDefault="00753A64" w:rsidP="007A3070">
      <w:pPr>
        <w:spacing w:after="0" w:line="240" w:lineRule="auto"/>
        <w:rPr>
          <w:rFonts w:ascii="Candara" w:eastAsia="Times New Roman" w:hAnsi="Candara" w:cs="Times New Roman"/>
          <w:sz w:val="24"/>
          <w:szCs w:val="24"/>
        </w:rPr>
      </w:pPr>
      <w:r w:rsidRPr="00753A64">
        <w:rPr>
          <w:rFonts w:ascii="Candara" w:eastAsia="Times New Roman" w:hAnsi="Candara" w:cs="Times New Roman"/>
          <w:b/>
          <w:bCs/>
          <w:sz w:val="24"/>
          <w:szCs w:val="24"/>
        </w:rPr>
        <w:t xml:space="preserve">Tabela </w:t>
      </w:r>
      <w:r w:rsidR="00A612C1">
        <w:rPr>
          <w:rFonts w:ascii="Candara" w:eastAsia="Times New Roman" w:hAnsi="Candara" w:cs="Times New Roman"/>
          <w:b/>
          <w:bCs/>
          <w:sz w:val="24"/>
          <w:szCs w:val="24"/>
        </w:rPr>
        <w:t>3</w:t>
      </w:r>
      <w:r w:rsidRPr="00753A64">
        <w:rPr>
          <w:rFonts w:ascii="Candara" w:eastAsia="Times New Roman" w:hAnsi="Candara" w:cs="Times New Roman"/>
          <w:sz w:val="24"/>
          <w:szCs w:val="24"/>
        </w:rPr>
        <w:t xml:space="preserve"> – Caracterização dos municípios da região Colher (MS)</w:t>
      </w:r>
    </w:p>
    <w:tbl>
      <w:tblPr>
        <w:tblW w:w="8305"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1144"/>
        <w:gridCol w:w="976"/>
        <w:gridCol w:w="708"/>
        <w:gridCol w:w="720"/>
        <w:gridCol w:w="839"/>
        <w:gridCol w:w="688"/>
        <w:gridCol w:w="849"/>
        <w:gridCol w:w="725"/>
      </w:tblGrid>
      <w:tr w:rsidR="00753A64" w:rsidRPr="00753A64" w14:paraId="4F9E1020" w14:textId="77777777" w:rsidTr="00315358">
        <w:trPr>
          <w:trHeight w:val="290"/>
          <w:jc w:val="center"/>
        </w:trPr>
        <w:tc>
          <w:tcPr>
            <w:tcW w:w="1691" w:type="dxa"/>
            <w:shd w:val="clear" w:color="auto" w:fill="auto"/>
            <w:noWrap/>
            <w:vAlign w:val="center"/>
            <w:hideMark/>
          </w:tcPr>
          <w:p w14:paraId="50FDA1E5" w14:textId="77777777" w:rsidR="00753A64" w:rsidRPr="00753A64" w:rsidRDefault="00753A64" w:rsidP="00315358">
            <w:pPr>
              <w:spacing w:after="0" w:line="240" w:lineRule="auto"/>
              <w:rPr>
                <w:rFonts w:ascii="Candara" w:eastAsia="Times New Roman" w:hAnsi="Candara" w:cs="Times New Roman"/>
                <w:color w:val="000000"/>
                <w:sz w:val="17"/>
                <w:szCs w:val="17"/>
              </w:rPr>
            </w:pPr>
            <w:r w:rsidRPr="00753A64">
              <w:rPr>
                <w:rFonts w:ascii="Candara" w:eastAsia="Times New Roman" w:hAnsi="Candara" w:cs="Times New Roman"/>
                <w:color w:val="000000"/>
                <w:sz w:val="17"/>
                <w:szCs w:val="17"/>
              </w:rPr>
              <w:t> </w:t>
            </w:r>
          </w:p>
        </w:tc>
        <w:tc>
          <w:tcPr>
            <w:tcW w:w="1144" w:type="dxa"/>
            <w:shd w:val="clear" w:color="auto" w:fill="auto"/>
            <w:noWrap/>
            <w:vAlign w:val="center"/>
            <w:hideMark/>
          </w:tcPr>
          <w:p w14:paraId="2D38ACE7" w14:textId="77777777" w:rsidR="00753A64" w:rsidRPr="00753A64" w:rsidRDefault="00753A64" w:rsidP="00315358">
            <w:pPr>
              <w:spacing w:after="0" w:line="240" w:lineRule="auto"/>
              <w:jc w:val="center"/>
              <w:rPr>
                <w:rFonts w:ascii="Candara" w:eastAsia="Times New Roman" w:hAnsi="Candara" w:cs="Times New Roman"/>
                <w:b/>
                <w:bCs/>
                <w:sz w:val="17"/>
                <w:szCs w:val="17"/>
              </w:rPr>
            </w:pPr>
            <w:r w:rsidRPr="00753A64">
              <w:rPr>
                <w:rFonts w:ascii="Candara" w:eastAsia="Times New Roman" w:hAnsi="Candara" w:cs="Times New Roman"/>
                <w:b/>
                <w:bCs/>
                <w:sz w:val="17"/>
                <w:szCs w:val="17"/>
              </w:rPr>
              <w:t>Aquidauana</w:t>
            </w:r>
          </w:p>
        </w:tc>
        <w:tc>
          <w:tcPr>
            <w:tcW w:w="963" w:type="dxa"/>
            <w:shd w:val="clear" w:color="auto" w:fill="auto"/>
            <w:noWrap/>
            <w:vAlign w:val="center"/>
            <w:hideMark/>
          </w:tcPr>
          <w:p w14:paraId="724DE42B" w14:textId="77777777" w:rsidR="00753A64" w:rsidRPr="00753A64" w:rsidRDefault="00753A64" w:rsidP="00315358">
            <w:pPr>
              <w:spacing w:after="0" w:line="240" w:lineRule="auto"/>
              <w:jc w:val="center"/>
              <w:rPr>
                <w:rFonts w:ascii="Candara" w:eastAsia="Times New Roman" w:hAnsi="Candara" w:cs="Times New Roman"/>
                <w:b/>
                <w:bCs/>
                <w:sz w:val="17"/>
                <w:szCs w:val="17"/>
              </w:rPr>
            </w:pPr>
            <w:r w:rsidRPr="00753A64">
              <w:rPr>
                <w:rFonts w:ascii="Candara" w:eastAsia="Times New Roman" w:hAnsi="Candara" w:cs="Times New Roman"/>
                <w:b/>
                <w:bCs/>
                <w:sz w:val="17"/>
                <w:szCs w:val="17"/>
              </w:rPr>
              <w:t>Bodoquena</w:t>
            </w:r>
          </w:p>
        </w:tc>
        <w:tc>
          <w:tcPr>
            <w:tcW w:w="708" w:type="dxa"/>
            <w:shd w:val="clear" w:color="auto" w:fill="auto"/>
            <w:noWrap/>
            <w:vAlign w:val="center"/>
            <w:hideMark/>
          </w:tcPr>
          <w:p w14:paraId="3137460D" w14:textId="77777777" w:rsidR="00753A64" w:rsidRPr="00753A64" w:rsidRDefault="00753A64" w:rsidP="00315358">
            <w:pPr>
              <w:spacing w:after="0" w:line="240" w:lineRule="auto"/>
              <w:jc w:val="center"/>
              <w:rPr>
                <w:rFonts w:ascii="Candara" w:eastAsia="Times New Roman" w:hAnsi="Candara" w:cs="Times New Roman"/>
                <w:b/>
                <w:bCs/>
                <w:sz w:val="17"/>
                <w:szCs w:val="17"/>
              </w:rPr>
            </w:pPr>
            <w:r w:rsidRPr="00753A64">
              <w:rPr>
                <w:rFonts w:ascii="Candara" w:eastAsia="Times New Roman" w:hAnsi="Candara" w:cs="Times New Roman"/>
                <w:b/>
                <w:bCs/>
                <w:sz w:val="17"/>
                <w:szCs w:val="17"/>
              </w:rPr>
              <w:t>Bonito</w:t>
            </w:r>
          </w:p>
        </w:tc>
        <w:tc>
          <w:tcPr>
            <w:tcW w:w="698" w:type="dxa"/>
            <w:shd w:val="clear" w:color="auto" w:fill="auto"/>
            <w:noWrap/>
            <w:vAlign w:val="center"/>
            <w:hideMark/>
          </w:tcPr>
          <w:p w14:paraId="30872116" w14:textId="77777777" w:rsidR="00753A64" w:rsidRPr="00753A64" w:rsidRDefault="00753A64" w:rsidP="00315358">
            <w:pPr>
              <w:spacing w:after="0" w:line="240" w:lineRule="auto"/>
              <w:jc w:val="center"/>
              <w:rPr>
                <w:rFonts w:ascii="Candara" w:eastAsia="Times New Roman" w:hAnsi="Candara" w:cs="Times New Roman"/>
                <w:b/>
                <w:bCs/>
                <w:sz w:val="17"/>
                <w:szCs w:val="17"/>
              </w:rPr>
            </w:pPr>
            <w:r w:rsidRPr="00753A64">
              <w:rPr>
                <w:rFonts w:ascii="Candara" w:eastAsia="Times New Roman" w:hAnsi="Candara" w:cs="Times New Roman"/>
                <w:b/>
                <w:bCs/>
                <w:sz w:val="17"/>
                <w:szCs w:val="17"/>
              </w:rPr>
              <w:t>Campo Grande</w:t>
            </w:r>
          </w:p>
        </w:tc>
        <w:tc>
          <w:tcPr>
            <w:tcW w:w="839" w:type="dxa"/>
            <w:shd w:val="clear" w:color="auto" w:fill="auto"/>
            <w:noWrap/>
            <w:vAlign w:val="center"/>
            <w:hideMark/>
          </w:tcPr>
          <w:p w14:paraId="4B0D23F4" w14:textId="77777777" w:rsidR="00753A64" w:rsidRPr="00753A64" w:rsidRDefault="00753A64" w:rsidP="00315358">
            <w:pPr>
              <w:spacing w:after="0" w:line="240" w:lineRule="auto"/>
              <w:jc w:val="center"/>
              <w:rPr>
                <w:rFonts w:ascii="Candara" w:eastAsia="Times New Roman" w:hAnsi="Candara" w:cs="Times New Roman"/>
                <w:b/>
                <w:bCs/>
                <w:sz w:val="17"/>
                <w:szCs w:val="17"/>
              </w:rPr>
            </w:pPr>
            <w:r w:rsidRPr="00753A64">
              <w:rPr>
                <w:rFonts w:ascii="Candara" w:eastAsia="Times New Roman" w:hAnsi="Candara" w:cs="Times New Roman"/>
                <w:b/>
                <w:bCs/>
                <w:sz w:val="17"/>
                <w:szCs w:val="17"/>
              </w:rPr>
              <w:t>Corumbá</w:t>
            </w:r>
          </w:p>
        </w:tc>
        <w:tc>
          <w:tcPr>
            <w:tcW w:w="688" w:type="dxa"/>
            <w:shd w:val="clear" w:color="auto" w:fill="auto"/>
            <w:noWrap/>
            <w:vAlign w:val="center"/>
            <w:hideMark/>
          </w:tcPr>
          <w:p w14:paraId="5229351C" w14:textId="77777777" w:rsidR="00753A64" w:rsidRPr="00753A64" w:rsidRDefault="00753A64" w:rsidP="00315358">
            <w:pPr>
              <w:spacing w:after="0" w:line="240" w:lineRule="auto"/>
              <w:jc w:val="center"/>
              <w:rPr>
                <w:rFonts w:ascii="Candara" w:eastAsia="Times New Roman" w:hAnsi="Candara" w:cs="Times New Roman"/>
                <w:b/>
                <w:bCs/>
                <w:sz w:val="17"/>
                <w:szCs w:val="17"/>
              </w:rPr>
            </w:pPr>
            <w:r w:rsidRPr="00753A64">
              <w:rPr>
                <w:rFonts w:ascii="Candara" w:eastAsia="Times New Roman" w:hAnsi="Candara" w:cs="Times New Roman"/>
                <w:b/>
                <w:bCs/>
                <w:sz w:val="17"/>
                <w:szCs w:val="17"/>
              </w:rPr>
              <w:t>Costa Rica</w:t>
            </w:r>
          </w:p>
        </w:tc>
        <w:tc>
          <w:tcPr>
            <w:tcW w:w="849" w:type="dxa"/>
            <w:shd w:val="clear" w:color="auto" w:fill="auto"/>
            <w:noWrap/>
            <w:vAlign w:val="center"/>
            <w:hideMark/>
          </w:tcPr>
          <w:p w14:paraId="11E75B7A" w14:textId="77777777" w:rsidR="00753A64" w:rsidRPr="00753A64" w:rsidRDefault="00753A64" w:rsidP="00315358">
            <w:pPr>
              <w:spacing w:after="0" w:line="240" w:lineRule="auto"/>
              <w:jc w:val="center"/>
              <w:rPr>
                <w:rFonts w:ascii="Candara" w:eastAsia="Times New Roman" w:hAnsi="Candara" w:cs="Times New Roman"/>
                <w:b/>
                <w:bCs/>
                <w:sz w:val="17"/>
                <w:szCs w:val="17"/>
              </w:rPr>
            </w:pPr>
            <w:r w:rsidRPr="00753A64">
              <w:rPr>
                <w:rFonts w:ascii="Candara" w:eastAsia="Times New Roman" w:hAnsi="Candara" w:cs="Times New Roman"/>
                <w:b/>
                <w:bCs/>
                <w:sz w:val="17"/>
                <w:szCs w:val="17"/>
              </w:rPr>
              <w:t>Dourados</w:t>
            </w:r>
          </w:p>
        </w:tc>
        <w:tc>
          <w:tcPr>
            <w:tcW w:w="725" w:type="dxa"/>
            <w:shd w:val="clear" w:color="auto" w:fill="auto"/>
            <w:noWrap/>
            <w:vAlign w:val="center"/>
            <w:hideMark/>
          </w:tcPr>
          <w:p w14:paraId="73AD04CD" w14:textId="77777777" w:rsidR="00753A64" w:rsidRPr="00753A64" w:rsidRDefault="00753A64" w:rsidP="00315358">
            <w:pPr>
              <w:spacing w:after="0" w:line="240" w:lineRule="auto"/>
              <w:jc w:val="center"/>
              <w:rPr>
                <w:rFonts w:ascii="Candara" w:eastAsia="Times New Roman" w:hAnsi="Candara" w:cs="Times New Roman"/>
                <w:b/>
                <w:bCs/>
                <w:sz w:val="17"/>
                <w:szCs w:val="17"/>
              </w:rPr>
            </w:pPr>
            <w:r w:rsidRPr="00753A64">
              <w:rPr>
                <w:rFonts w:ascii="Candara" w:eastAsia="Times New Roman" w:hAnsi="Candara" w:cs="Times New Roman"/>
                <w:b/>
                <w:bCs/>
                <w:sz w:val="17"/>
                <w:szCs w:val="17"/>
              </w:rPr>
              <w:t>Jardim</w:t>
            </w:r>
          </w:p>
        </w:tc>
      </w:tr>
      <w:tr w:rsidR="00753A64" w:rsidRPr="00753A64" w14:paraId="4F55BA24" w14:textId="77777777" w:rsidTr="00315358">
        <w:trPr>
          <w:trHeight w:val="272"/>
          <w:jc w:val="center"/>
        </w:trPr>
        <w:tc>
          <w:tcPr>
            <w:tcW w:w="1691" w:type="dxa"/>
            <w:shd w:val="clear" w:color="auto" w:fill="auto"/>
            <w:vAlign w:val="center"/>
            <w:hideMark/>
          </w:tcPr>
          <w:p w14:paraId="7DDD8BF0" w14:textId="77777777" w:rsidR="00753A64" w:rsidRPr="00506EF6" w:rsidRDefault="00753A64" w:rsidP="00315358">
            <w:pPr>
              <w:spacing w:after="0" w:line="240" w:lineRule="auto"/>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População total</w:t>
            </w:r>
          </w:p>
        </w:tc>
        <w:tc>
          <w:tcPr>
            <w:tcW w:w="1144" w:type="dxa"/>
            <w:shd w:val="clear" w:color="auto" w:fill="auto"/>
            <w:noWrap/>
            <w:vAlign w:val="center"/>
            <w:hideMark/>
          </w:tcPr>
          <w:p w14:paraId="374E811B"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46.803</w:t>
            </w:r>
          </w:p>
        </w:tc>
        <w:tc>
          <w:tcPr>
            <w:tcW w:w="963" w:type="dxa"/>
            <w:shd w:val="clear" w:color="auto" w:fill="auto"/>
            <w:noWrap/>
            <w:vAlign w:val="center"/>
            <w:hideMark/>
          </w:tcPr>
          <w:p w14:paraId="59BBB9A8"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8.567</w:t>
            </w:r>
          </w:p>
        </w:tc>
        <w:tc>
          <w:tcPr>
            <w:tcW w:w="708" w:type="dxa"/>
            <w:shd w:val="clear" w:color="auto" w:fill="auto"/>
            <w:noWrap/>
            <w:vAlign w:val="center"/>
            <w:hideMark/>
          </w:tcPr>
          <w:p w14:paraId="11CE3B80"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23.659</w:t>
            </w:r>
          </w:p>
        </w:tc>
        <w:tc>
          <w:tcPr>
            <w:tcW w:w="698" w:type="dxa"/>
            <w:shd w:val="clear" w:color="auto" w:fill="auto"/>
            <w:noWrap/>
            <w:vAlign w:val="center"/>
            <w:hideMark/>
          </w:tcPr>
          <w:p w14:paraId="2FCD4C55"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897.938</w:t>
            </w:r>
          </w:p>
        </w:tc>
        <w:tc>
          <w:tcPr>
            <w:tcW w:w="839" w:type="dxa"/>
            <w:shd w:val="clear" w:color="auto" w:fill="auto"/>
            <w:noWrap/>
            <w:vAlign w:val="center"/>
            <w:hideMark/>
          </w:tcPr>
          <w:p w14:paraId="71F62082"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96.268</w:t>
            </w:r>
          </w:p>
        </w:tc>
        <w:tc>
          <w:tcPr>
            <w:tcW w:w="688" w:type="dxa"/>
            <w:shd w:val="clear" w:color="auto" w:fill="auto"/>
            <w:noWrap/>
            <w:vAlign w:val="center"/>
            <w:hideMark/>
          </w:tcPr>
          <w:p w14:paraId="0A4A0DF2"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26.037</w:t>
            </w:r>
          </w:p>
        </w:tc>
        <w:tc>
          <w:tcPr>
            <w:tcW w:w="849" w:type="dxa"/>
            <w:shd w:val="clear" w:color="auto" w:fill="auto"/>
            <w:noWrap/>
            <w:vAlign w:val="center"/>
            <w:hideMark/>
          </w:tcPr>
          <w:p w14:paraId="5605B3FC"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243.368</w:t>
            </w:r>
          </w:p>
        </w:tc>
        <w:tc>
          <w:tcPr>
            <w:tcW w:w="725" w:type="dxa"/>
            <w:shd w:val="clear" w:color="auto" w:fill="auto"/>
            <w:noWrap/>
            <w:vAlign w:val="center"/>
            <w:hideMark/>
          </w:tcPr>
          <w:p w14:paraId="33D6B7CB"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23.981</w:t>
            </w:r>
          </w:p>
        </w:tc>
      </w:tr>
      <w:tr w:rsidR="00753A64" w:rsidRPr="00753A64" w14:paraId="62B15A46" w14:textId="77777777" w:rsidTr="00315358">
        <w:trPr>
          <w:trHeight w:val="442"/>
          <w:jc w:val="center"/>
        </w:trPr>
        <w:tc>
          <w:tcPr>
            <w:tcW w:w="1691" w:type="dxa"/>
            <w:shd w:val="clear" w:color="auto" w:fill="auto"/>
            <w:vAlign w:val="center"/>
            <w:hideMark/>
          </w:tcPr>
          <w:p w14:paraId="26D2D74A" w14:textId="77777777" w:rsidR="00753A64" w:rsidRPr="00506EF6" w:rsidRDefault="00753A64" w:rsidP="00315358">
            <w:pPr>
              <w:spacing w:after="0" w:line="240" w:lineRule="auto"/>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Área do município (quilômetros quadrados)</w:t>
            </w:r>
          </w:p>
        </w:tc>
        <w:tc>
          <w:tcPr>
            <w:tcW w:w="1144" w:type="dxa"/>
            <w:shd w:val="clear" w:color="auto" w:fill="auto"/>
            <w:noWrap/>
            <w:vAlign w:val="center"/>
            <w:hideMark/>
          </w:tcPr>
          <w:p w14:paraId="0199EE0E"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17.087</w:t>
            </w:r>
          </w:p>
        </w:tc>
        <w:tc>
          <w:tcPr>
            <w:tcW w:w="963" w:type="dxa"/>
            <w:shd w:val="clear" w:color="auto" w:fill="auto"/>
            <w:noWrap/>
            <w:vAlign w:val="center"/>
            <w:hideMark/>
          </w:tcPr>
          <w:p w14:paraId="094E3D18"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2.592</w:t>
            </w:r>
          </w:p>
        </w:tc>
        <w:tc>
          <w:tcPr>
            <w:tcW w:w="708" w:type="dxa"/>
            <w:shd w:val="clear" w:color="auto" w:fill="auto"/>
            <w:noWrap/>
            <w:vAlign w:val="center"/>
            <w:hideMark/>
          </w:tcPr>
          <w:p w14:paraId="198A896E"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5.373</w:t>
            </w:r>
          </w:p>
        </w:tc>
        <w:tc>
          <w:tcPr>
            <w:tcW w:w="698" w:type="dxa"/>
            <w:shd w:val="clear" w:color="auto" w:fill="auto"/>
            <w:noWrap/>
            <w:vAlign w:val="center"/>
            <w:hideMark/>
          </w:tcPr>
          <w:p w14:paraId="72C6F96B"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8.083</w:t>
            </w:r>
          </w:p>
        </w:tc>
        <w:tc>
          <w:tcPr>
            <w:tcW w:w="839" w:type="dxa"/>
            <w:shd w:val="clear" w:color="auto" w:fill="auto"/>
            <w:noWrap/>
            <w:vAlign w:val="center"/>
            <w:hideMark/>
          </w:tcPr>
          <w:p w14:paraId="565B65C2"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64.432</w:t>
            </w:r>
          </w:p>
        </w:tc>
        <w:tc>
          <w:tcPr>
            <w:tcW w:w="688" w:type="dxa"/>
            <w:shd w:val="clear" w:color="auto" w:fill="auto"/>
            <w:noWrap/>
            <w:vAlign w:val="center"/>
            <w:hideMark/>
          </w:tcPr>
          <w:p w14:paraId="0B5BAAA8"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4.159</w:t>
            </w:r>
          </w:p>
        </w:tc>
        <w:tc>
          <w:tcPr>
            <w:tcW w:w="849" w:type="dxa"/>
            <w:shd w:val="clear" w:color="auto" w:fill="auto"/>
            <w:noWrap/>
            <w:vAlign w:val="center"/>
            <w:hideMark/>
          </w:tcPr>
          <w:p w14:paraId="56AEA714"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4.062</w:t>
            </w:r>
          </w:p>
        </w:tc>
        <w:tc>
          <w:tcPr>
            <w:tcW w:w="725" w:type="dxa"/>
            <w:shd w:val="clear" w:color="auto" w:fill="auto"/>
            <w:noWrap/>
            <w:vAlign w:val="center"/>
            <w:hideMark/>
          </w:tcPr>
          <w:p w14:paraId="054C7F03"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2.126</w:t>
            </w:r>
          </w:p>
        </w:tc>
      </w:tr>
      <w:tr w:rsidR="00753A64" w:rsidRPr="00753A64" w14:paraId="161662FC" w14:textId="77777777" w:rsidTr="00315358">
        <w:trPr>
          <w:trHeight w:val="442"/>
          <w:jc w:val="center"/>
        </w:trPr>
        <w:tc>
          <w:tcPr>
            <w:tcW w:w="1691" w:type="dxa"/>
            <w:shd w:val="clear" w:color="auto" w:fill="auto"/>
            <w:vAlign w:val="center"/>
            <w:hideMark/>
          </w:tcPr>
          <w:p w14:paraId="48E11482" w14:textId="77777777" w:rsidR="00753A64" w:rsidRPr="00506EF6" w:rsidRDefault="00753A64" w:rsidP="00315358">
            <w:pPr>
              <w:spacing w:after="0" w:line="240" w:lineRule="auto"/>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Densidade demográfica (habitantes/km2)</w:t>
            </w:r>
          </w:p>
        </w:tc>
        <w:tc>
          <w:tcPr>
            <w:tcW w:w="1144" w:type="dxa"/>
            <w:shd w:val="clear" w:color="auto" w:fill="auto"/>
            <w:noWrap/>
            <w:vAlign w:val="center"/>
            <w:hideMark/>
          </w:tcPr>
          <w:p w14:paraId="7DDC9A56"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2,7</w:t>
            </w:r>
          </w:p>
        </w:tc>
        <w:tc>
          <w:tcPr>
            <w:tcW w:w="963" w:type="dxa"/>
            <w:shd w:val="clear" w:color="auto" w:fill="auto"/>
            <w:noWrap/>
            <w:vAlign w:val="center"/>
            <w:hideMark/>
          </w:tcPr>
          <w:p w14:paraId="1319D0A7"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3,3</w:t>
            </w:r>
          </w:p>
        </w:tc>
        <w:tc>
          <w:tcPr>
            <w:tcW w:w="708" w:type="dxa"/>
            <w:shd w:val="clear" w:color="auto" w:fill="auto"/>
            <w:noWrap/>
            <w:vAlign w:val="center"/>
            <w:hideMark/>
          </w:tcPr>
          <w:p w14:paraId="60665070"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4,4</w:t>
            </w:r>
          </w:p>
        </w:tc>
        <w:tc>
          <w:tcPr>
            <w:tcW w:w="698" w:type="dxa"/>
            <w:shd w:val="clear" w:color="auto" w:fill="auto"/>
            <w:noWrap/>
            <w:vAlign w:val="center"/>
            <w:hideMark/>
          </w:tcPr>
          <w:p w14:paraId="5028B440"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111,1</w:t>
            </w:r>
          </w:p>
        </w:tc>
        <w:tc>
          <w:tcPr>
            <w:tcW w:w="839" w:type="dxa"/>
            <w:shd w:val="clear" w:color="auto" w:fill="auto"/>
            <w:noWrap/>
            <w:vAlign w:val="center"/>
            <w:hideMark/>
          </w:tcPr>
          <w:p w14:paraId="4497D3BE"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1,5</w:t>
            </w:r>
          </w:p>
        </w:tc>
        <w:tc>
          <w:tcPr>
            <w:tcW w:w="688" w:type="dxa"/>
            <w:shd w:val="clear" w:color="auto" w:fill="auto"/>
            <w:noWrap/>
            <w:vAlign w:val="center"/>
            <w:hideMark/>
          </w:tcPr>
          <w:p w14:paraId="0FA2E75C"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6,3</w:t>
            </w:r>
          </w:p>
        </w:tc>
        <w:tc>
          <w:tcPr>
            <w:tcW w:w="849" w:type="dxa"/>
            <w:shd w:val="clear" w:color="auto" w:fill="auto"/>
            <w:noWrap/>
            <w:vAlign w:val="center"/>
            <w:hideMark/>
          </w:tcPr>
          <w:p w14:paraId="779264E6"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59,9</w:t>
            </w:r>
          </w:p>
        </w:tc>
        <w:tc>
          <w:tcPr>
            <w:tcW w:w="725" w:type="dxa"/>
            <w:shd w:val="clear" w:color="auto" w:fill="auto"/>
            <w:noWrap/>
            <w:vAlign w:val="center"/>
            <w:hideMark/>
          </w:tcPr>
          <w:p w14:paraId="4635B966"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11,3</w:t>
            </w:r>
          </w:p>
        </w:tc>
      </w:tr>
      <w:tr w:rsidR="00753A64" w:rsidRPr="00753A64" w14:paraId="740798BF" w14:textId="77777777" w:rsidTr="00315358">
        <w:trPr>
          <w:trHeight w:val="272"/>
          <w:jc w:val="center"/>
        </w:trPr>
        <w:tc>
          <w:tcPr>
            <w:tcW w:w="1691" w:type="dxa"/>
            <w:shd w:val="clear" w:color="auto" w:fill="auto"/>
            <w:vAlign w:val="center"/>
            <w:hideMark/>
          </w:tcPr>
          <w:p w14:paraId="73E02AB8" w14:textId="77777777" w:rsidR="00753A64" w:rsidRPr="00506EF6" w:rsidRDefault="00753A64" w:rsidP="00315358">
            <w:pPr>
              <w:spacing w:after="0" w:line="240" w:lineRule="auto"/>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Percentual população urbana</w:t>
            </w:r>
          </w:p>
        </w:tc>
        <w:tc>
          <w:tcPr>
            <w:tcW w:w="1144" w:type="dxa"/>
            <w:shd w:val="clear" w:color="auto" w:fill="auto"/>
            <w:vAlign w:val="center"/>
            <w:hideMark/>
          </w:tcPr>
          <w:p w14:paraId="79D3D87D"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78</w:t>
            </w:r>
          </w:p>
        </w:tc>
        <w:tc>
          <w:tcPr>
            <w:tcW w:w="963" w:type="dxa"/>
            <w:shd w:val="clear" w:color="auto" w:fill="auto"/>
            <w:vAlign w:val="center"/>
            <w:hideMark/>
          </w:tcPr>
          <w:p w14:paraId="4F253928"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72</w:t>
            </w:r>
          </w:p>
        </w:tc>
        <w:tc>
          <w:tcPr>
            <w:tcW w:w="708" w:type="dxa"/>
            <w:shd w:val="clear" w:color="auto" w:fill="auto"/>
            <w:vAlign w:val="center"/>
            <w:hideMark/>
          </w:tcPr>
          <w:p w14:paraId="620E9636"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82</w:t>
            </w:r>
          </w:p>
        </w:tc>
        <w:tc>
          <w:tcPr>
            <w:tcW w:w="698" w:type="dxa"/>
            <w:shd w:val="clear" w:color="auto" w:fill="auto"/>
            <w:vAlign w:val="center"/>
            <w:hideMark/>
          </w:tcPr>
          <w:p w14:paraId="64A577EC"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98</w:t>
            </w:r>
          </w:p>
        </w:tc>
        <w:tc>
          <w:tcPr>
            <w:tcW w:w="839" w:type="dxa"/>
            <w:shd w:val="clear" w:color="auto" w:fill="auto"/>
            <w:vAlign w:val="center"/>
            <w:hideMark/>
          </w:tcPr>
          <w:p w14:paraId="3AF67E90"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90</w:t>
            </w:r>
          </w:p>
        </w:tc>
        <w:tc>
          <w:tcPr>
            <w:tcW w:w="688" w:type="dxa"/>
            <w:shd w:val="clear" w:color="auto" w:fill="auto"/>
            <w:vAlign w:val="center"/>
            <w:hideMark/>
          </w:tcPr>
          <w:p w14:paraId="1D622E62"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85</w:t>
            </w:r>
          </w:p>
        </w:tc>
        <w:tc>
          <w:tcPr>
            <w:tcW w:w="849" w:type="dxa"/>
            <w:shd w:val="clear" w:color="auto" w:fill="auto"/>
            <w:vAlign w:val="center"/>
            <w:hideMark/>
          </w:tcPr>
          <w:p w14:paraId="5A9A37CC"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92</w:t>
            </w:r>
          </w:p>
        </w:tc>
        <w:tc>
          <w:tcPr>
            <w:tcW w:w="725" w:type="dxa"/>
            <w:shd w:val="clear" w:color="auto" w:fill="auto"/>
            <w:vAlign w:val="center"/>
            <w:hideMark/>
          </w:tcPr>
          <w:p w14:paraId="695B70E9"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93</w:t>
            </w:r>
          </w:p>
        </w:tc>
      </w:tr>
      <w:tr w:rsidR="00753A64" w:rsidRPr="00753A64" w14:paraId="6B181B2B" w14:textId="77777777" w:rsidTr="00315358">
        <w:trPr>
          <w:trHeight w:val="442"/>
          <w:jc w:val="center"/>
        </w:trPr>
        <w:tc>
          <w:tcPr>
            <w:tcW w:w="1691" w:type="dxa"/>
            <w:shd w:val="clear" w:color="auto" w:fill="auto"/>
            <w:vAlign w:val="center"/>
            <w:hideMark/>
          </w:tcPr>
          <w:p w14:paraId="627BCC20" w14:textId="77777777" w:rsidR="00753A64" w:rsidRPr="00506EF6" w:rsidRDefault="00753A64" w:rsidP="00315358">
            <w:pPr>
              <w:spacing w:after="0" w:line="240" w:lineRule="auto"/>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Número de estabelecimentos rurais</w:t>
            </w:r>
          </w:p>
        </w:tc>
        <w:tc>
          <w:tcPr>
            <w:tcW w:w="1144" w:type="dxa"/>
            <w:shd w:val="clear" w:color="auto" w:fill="auto"/>
            <w:noWrap/>
            <w:vAlign w:val="center"/>
            <w:hideMark/>
          </w:tcPr>
          <w:p w14:paraId="4252C177"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1.223</w:t>
            </w:r>
          </w:p>
        </w:tc>
        <w:tc>
          <w:tcPr>
            <w:tcW w:w="963" w:type="dxa"/>
            <w:shd w:val="clear" w:color="auto" w:fill="auto"/>
            <w:noWrap/>
            <w:vAlign w:val="center"/>
            <w:hideMark/>
          </w:tcPr>
          <w:p w14:paraId="7BD4C3E6"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670</w:t>
            </w:r>
          </w:p>
        </w:tc>
        <w:tc>
          <w:tcPr>
            <w:tcW w:w="708" w:type="dxa"/>
            <w:shd w:val="clear" w:color="auto" w:fill="auto"/>
            <w:noWrap/>
            <w:vAlign w:val="center"/>
            <w:hideMark/>
          </w:tcPr>
          <w:p w14:paraId="2C6C4E4F"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895</w:t>
            </w:r>
          </w:p>
        </w:tc>
        <w:tc>
          <w:tcPr>
            <w:tcW w:w="698" w:type="dxa"/>
            <w:shd w:val="clear" w:color="auto" w:fill="auto"/>
            <w:noWrap/>
            <w:vAlign w:val="center"/>
            <w:hideMark/>
          </w:tcPr>
          <w:p w14:paraId="5204FB00"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1.849</w:t>
            </w:r>
          </w:p>
        </w:tc>
        <w:tc>
          <w:tcPr>
            <w:tcW w:w="839" w:type="dxa"/>
            <w:shd w:val="clear" w:color="auto" w:fill="auto"/>
            <w:noWrap/>
            <w:vAlign w:val="center"/>
            <w:hideMark/>
          </w:tcPr>
          <w:p w14:paraId="241E01B9"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1.766</w:t>
            </w:r>
          </w:p>
        </w:tc>
        <w:tc>
          <w:tcPr>
            <w:tcW w:w="688" w:type="dxa"/>
            <w:shd w:val="clear" w:color="auto" w:fill="auto"/>
            <w:noWrap/>
            <w:vAlign w:val="center"/>
            <w:hideMark/>
          </w:tcPr>
          <w:p w14:paraId="2E34DE11"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590</w:t>
            </w:r>
          </w:p>
        </w:tc>
        <w:tc>
          <w:tcPr>
            <w:tcW w:w="849" w:type="dxa"/>
            <w:shd w:val="clear" w:color="auto" w:fill="auto"/>
            <w:noWrap/>
            <w:vAlign w:val="center"/>
            <w:hideMark/>
          </w:tcPr>
          <w:p w14:paraId="3D37ED12"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1.718</w:t>
            </w:r>
          </w:p>
        </w:tc>
        <w:tc>
          <w:tcPr>
            <w:tcW w:w="725" w:type="dxa"/>
            <w:shd w:val="clear" w:color="auto" w:fill="auto"/>
            <w:noWrap/>
            <w:vAlign w:val="center"/>
            <w:hideMark/>
          </w:tcPr>
          <w:p w14:paraId="258E9C8A"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657</w:t>
            </w:r>
          </w:p>
        </w:tc>
      </w:tr>
      <w:tr w:rsidR="00753A64" w:rsidRPr="00753A64" w14:paraId="06B6C7BC" w14:textId="77777777" w:rsidTr="00315358">
        <w:trPr>
          <w:trHeight w:val="442"/>
          <w:jc w:val="center"/>
        </w:trPr>
        <w:tc>
          <w:tcPr>
            <w:tcW w:w="1691" w:type="dxa"/>
            <w:shd w:val="clear" w:color="auto" w:fill="auto"/>
            <w:vAlign w:val="center"/>
            <w:hideMark/>
          </w:tcPr>
          <w:p w14:paraId="16D733F0" w14:textId="77777777" w:rsidR="00753A64" w:rsidRPr="00506EF6" w:rsidRDefault="00753A64" w:rsidP="00315358">
            <w:pPr>
              <w:spacing w:after="0" w:line="240" w:lineRule="auto"/>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lastRenderedPageBreak/>
              <w:t>Trabalhadores em atividades relacionadas ao turismo</w:t>
            </w:r>
            <w:r w:rsidRPr="00506EF6">
              <w:rPr>
                <w:rStyle w:val="Refdenotaderodap"/>
                <w:rFonts w:ascii="Candara" w:eastAsia="Times New Roman" w:hAnsi="Candara" w:cs="Times New Roman"/>
                <w:color w:val="000000"/>
                <w:sz w:val="17"/>
                <w:szCs w:val="17"/>
              </w:rPr>
              <w:footnoteReference w:id="7"/>
            </w:r>
          </w:p>
        </w:tc>
        <w:tc>
          <w:tcPr>
            <w:tcW w:w="1144" w:type="dxa"/>
            <w:shd w:val="clear" w:color="auto" w:fill="auto"/>
            <w:vAlign w:val="center"/>
            <w:hideMark/>
          </w:tcPr>
          <w:p w14:paraId="58F046A4"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170</w:t>
            </w:r>
          </w:p>
        </w:tc>
        <w:tc>
          <w:tcPr>
            <w:tcW w:w="963" w:type="dxa"/>
            <w:shd w:val="clear" w:color="auto" w:fill="auto"/>
            <w:vAlign w:val="center"/>
            <w:hideMark/>
          </w:tcPr>
          <w:p w14:paraId="14D2F439"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78</w:t>
            </w:r>
          </w:p>
        </w:tc>
        <w:tc>
          <w:tcPr>
            <w:tcW w:w="708" w:type="dxa"/>
            <w:shd w:val="clear" w:color="auto" w:fill="auto"/>
            <w:vAlign w:val="center"/>
            <w:hideMark/>
          </w:tcPr>
          <w:p w14:paraId="7BEFDEBC"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1.577</w:t>
            </w:r>
          </w:p>
        </w:tc>
        <w:tc>
          <w:tcPr>
            <w:tcW w:w="698" w:type="dxa"/>
            <w:shd w:val="clear" w:color="auto" w:fill="auto"/>
            <w:vAlign w:val="center"/>
            <w:hideMark/>
          </w:tcPr>
          <w:p w14:paraId="3C40BCB2"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7.647</w:t>
            </w:r>
          </w:p>
        </w:tc>
        <w:tc>
          <w:tcPr>
            <w:tcW w:w="839" w:type="dxa"/>
            <w:shd w:val="clear" w:color="auto" w:fill="auto"/>
            <w:vAlign w:val="center"/>
            <w:hideMark/>
          </w:tcPr>
          <w:p w14:paraId="1A93CFCF"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786</w:t>
            </w:r>
          </w:p>
        </w:tc>
        <w:tc>
          <w:tcPr>
            <w:tcW w:w="688" w:type="dxa"/>
            <w:shd w:val="clear" w:color="auto" w:fill="auto"/>
            <w:vAlign w:val="center"/>
            <w:hideMark/>
          </w:tcPr>
          <w:p w14:paraId="3397F531"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138</w:t>
            </w:r>
          </w:p>
        </w:tc>
        <w:tc>
          <w:tcPr>
            <w:tcW w:w="849" w:type="dxa"/>
            <w:shd w:val="clear" w:color="auto" w:fill="auto"/>
            <w:vAlign w:val="center"/>
            <w:hideMark/>
          </w:tcPr>
          <w:p w14:paraId="67A62D18"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1.877</w:t>
            </w:r>
          </w:p>
        </w:tc>
        <w:tc>
          <w:tcPr>
            <w:tcW w:w="725" w:type="dxa"/>
            <w:shd w:val="clear" w:color="auto" w:fill="auto"/>
            <w:vAlign w:val="center"/>
            <w:hideMark/>
          </w:tcPr>
          <w:p w14:paraId="6D1CD8D1"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123</w:t>
            </w:r>
          </w:p>
        </w:tc>
      </w:tr>
      <w:tr w:rsidR="00753A64" w:rsidRPr="00753A64" w14:paraId="778231A6" w14:textId="77777777" w:rsidTr="00315358">
        <w:trPr>
          <w:trHeight w:val="442"/>
          <w:jc w:val="center"/>
        </w:trPr>
        <w:tc>
          <w:tcPr>
            <w:tcW w:w="1691" w:type="dxa"/>
            <w:shd w:val="clear" w:color="auto" w:fill="auto"/>
            <w:vAlign w:val="center"/>
            <w:hideMark/>
          </w:tcPr>
          <w:p w14:paraId="2D1929E0" w14:textId="77777777" w:rsidR="00753A64" w:rsidRPr="00506EF6" w:rsidRDefault="00753A64" w:rsidP="00315358">
            <w:pPr>
              <w:spacing w:after="0" w:line="240" w:lineRule="auto"/>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Número estabelecimentos rurais com receita de turismo rural</w:t>
            </w:r>
          </w:p>
        </w:tc>
        <w:tc>
          <w:tcPr>
            <w:tcW w:w="1144" w:type="dxa"/>
            <w:shd w:val="clear" w:color="auto" w:fill="auto"/>
            <w:noWrap/>
            <w:vAlign w:val="center"/>
            <w:hideMark/>
          </w:tcPr>
          <w:p w14:paraId="39684127"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3</w:t>
            </w:r>
          </w:p>
        </w:tc>
        <w:tc>
          <w:tcPr>
            <w:tcW w:w="963" w:type="dxa"/>
            <w:shd w:val="clear" w:color="auto" w:fill="auto"/>
            <w:noWrap/>
            <w:vAlign w:val="center"/>
            <w:hideMark/>
          </w:tcPr>
          <w:p w14:paraId="6F9859A5"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0</w:t>
            </w:r>
          </w:p>
        </w:tc>
        <w:tc>
          <w:tcPr>
            <w:tcW w:w="708" w:type="dxa"/>
            <w:shd w:val="clear" w:color="auto" w:fill="auto"/>
            <w:noWrap/>
            <w:vAlign w:val="center"/>
            <w:hideMark/>
          </w:tcPr>
          <w:p w14:paraId="42B3FF09"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3</w:t>
            </w:r>
          </w:p>
        </w:tc>
        <w:tc>
          <w:tcPr>
            <w:tcW w:w="698" w:type="dxa"/>
            <w:shd w:val="clear" w:color="auto" w:fill="auto"/>
            <w:noWrap/>
            <w:vAlign w:val="center"/>
            <w:hideMark/>
          </w:tcPr>
          <w:p w14:paraId="0E4BCBEC"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6</w:t>
            </w:r>
          </w:p>
        </w:tc>
        <w:tc>
          <w:tcPr>
            <w:tcW w:w="839" w:type="dxa"/>
            <w:shd w:val="clear" w:color="auto" w:fill="auto"/>
            <w:noWrap/>
            <w:vAlign w:val="center"/>
            <w:hideMark/>
          </w:tcPr>
          <w:p w14:paraId="0CDAD36F"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5</w:t>
            </w:r>
          </w:p>
        </w:tc>
        <w:tc>
          <w:tcPr>
            <w:tcW w:w="688" w:type="dxa"/>
            <w:shd w:val="clear" w:color="auto" w:fill="auto"/>
            <w:noWrap/>
            <w:vAlign w:val="center"/>
            <w:hideMark/>
          </w:tcPr>
          <w:p w14:paraId="41EE13BA"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w:t>
            </w:r>
          </w:p>
        </w:tc>
        <w:tc>
          <w:tcPr>
            <w:tcW w:w="849" w:type="dxa"/>
            <w:shd w:val="clear" w:color="auto" w:fill="auto"/>
            <w:noWrap/>
            <w:vAlign w:val="center"/>
            <w:hideMark/>
          </w:tcPr>
          <w:p w14:paraId="6577AE92"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2</w:t>
            </w:r>
          </w:p>
        </w:tc>
        <w:tc>
          <w:tcPr>
            <w:tcW w:w="725" w:type="dxa"/>
            <w:shd w:val="clear" w:color="auto" w:fill="auto"/>
            <w:noWrap/>
            <w:vAlign w:val="center"/>
            <w:hideMark/>
          </w:tcPr>
          <w:p w14:paraId="3B70F560" w14:textId="77777777" w:rsidR="00753A64" w:rsidRPr="00506EF6" w:rsidRDefault="00753A64" w:rsidP="00315358">
            <w:pPr>
              <w:spacing w:after="0" w:line="240" w:lineRule="auto"/>
              <w:jc w:val="center"/>
              <w:rPr>
                <w:rFonts w:ascii="Candara" w:eastAsia="Times New Roman" w:hAnsi="Candara" w:cs="Times New Roman"/>
                <w:color w:val="000000"/>
                <w:sz w:val="17"/>
                <w:szCs w:val="17"/>
              </w:rPr>
            </w:pPr>
            <w:r w:rsidRPr="00506EF6">
              <w:rPr>
                <w:rFonts w:ascii="Candara" w:eastAsia="Times New Roman" w:hAnsi="Candara" w:cs="Times New Roman"/>
                <w:color w:val="000000"/>
                <w:sz w:val="17"/>
                <w:szCs w:val="17"/>
              </w:rPr>
              <w:t>1</w:t>
            </w:r>
          </w:p>
        </w:tc>
      </w:tr>
    </w:tbl>
    <w:p w14:paraId="58B79BF9" w14:textId="77777777" w:rsidR="00753A64" w:rsidRPr="00753A64" w:rsidRDefault="00753A64" w:rsidP="00753A64">
      <w:pPr>
        <w:spacing w:after="0" w:line="240" w:lineRule="auto"/>
        <w:rPr>
          <w:rFonts w:ascii="Candara" w:eastAsia="Times New Roman" w:hAnsi="Candara" w:cs="Times New Roman"/>
          <w:sz w:val="20"/>
          <w:szCs w:val="20"/>
        </w:rPr>
      </w:pPr>
      <w:r w:rsidRPr="00753A64">
        <w:rPr>
          <w:rFonts w:ascii="Candara" w:eastAsia="Times New Roman" w:hAnsi="Candara" w:cs="Times New Roman"/>
          <w:sz w:val="20"/>
          <w:szCs w:val="20"/>
        </w:rPr>
        <w:t>Fonte: IBGE Censo Agropecuário, IBGE Cidades (2023)</w:t>
      </w:r>
    </w:p>
    <w:p w14:paraId="16E7843D" w14:textId="77777777" w:rsidR="00753A64" w:rsidRPr="00753A64" w:rsidRDefault="00753A64" w:rsidP="00753A64">
      <w:pPr>
        <w:spacing w:after="0" w:line="360" w:lineRule="auto"/>
        <w:jc w:val="both"/>
        <w:rPr>
          <w:rFonts w:ascii="Candara" w:eastAsia="Times New Roman" w:hAnsi="Candara" w:cs="Times New Roman"/>
          <w:sz w:val="24"/>
          <w:szCs w:val="24"/>
        </w:rPr>
      </w:pPr>
    </w:p>
    <w:p w14:paraId="4AC8D766" w14:textId="77777777" w:rsidR="00753A64" w:rsidRPr="00753A64" w:rsidRDefault="00753A64" w:rsidP="00753A64">
      <w:pPr>
        <w:spacing w:after="0" w:line="360" w:lineRule="auto"/>
        <w:jc w:val="both"/>
        <w:rPr>
          <w:rFonts w:ascii="Candara" w:eastAsia="Times New Roman" w:hAnsi="Candara" w:cs="Times New Roman"/>
          <w:sz w:val="24"/>
          <w:szCs w:val="24"/>
        </w:rPr>
      </w:pPr>
      <w:r w:rsidRPr="00753A64">
        <w:rPr>
          <w:rFonts w:ascii="Candara" w:eastAsia="Times New Roman" w:hAnsi="Candara" w:cs="Times New Roman"/>
          <w:sz w:val="24"/>
          <w:szCs w:val="24"/>
        </w:rPr>
        <w:tab/>
        <w:t>Outro dado surpreendente é o de número de estabelecimentos rurais com receita proveniente do turismo rural, que pode ser considerado baixo em todos os municípios. Neste ponto, pode-se inferir que a falta de informação ou desconhecimento por parte dos produtores rurais podem estar contribuindo para essa situação, uma vez que os dados e valores não são declarados aos órgãos competentes. Como resultado, acaba perdendo o acesso a fontes de informação e financiamento que poderiam ser valiosas para melhoria de suas propriedades.</w:t>
      </w:r>
    </w:p>
    <w:p w14:paraId="15FC4996" w14:textId="77777777" w:rsidR="00753A64" w:rsidRPr="00753A64" w:rsidRDefault="00753A64" w:rsidP="00753A64">
      <w:pPr>
        <w:spacing w:after="0" w:line="360" w:lineRule="auto"/>
        <w:jc w:val="both"/>
        <w:rPr>
          <w:rFonts w:ascii="Candara" w:eastAsia="Times New Roman" w:hAnsi="Candara" w:cs="Times New Roman"/>
          <w:sz w:val="24"/>
          <w:szCs w:val="24"/>
        </w:rPr>
      </w:pPr>
      <w:r w:rsidRPr="00753A64">
        <w:rPr>
          <w:rFonts w:ascii="Candara" w:eastAsia="Times New Roman" w:hAnsi="Candara" w:cs="Times New Roman"/>
          <w:sz w:val="24"/>
          <w:szCs w:val="24"/>
        </w:rPr>
        <w:tab/>
        <w:t>Após esta primeira caracterização, realizou-se o levantamento dos indicadores (citados na Tabela 2), para a posterior realização do cálculo do Barômetro da Sustentabilidade. Na Tabela 5, apresentam-se os dados dos indicadores.</w:t>
      </w:r>
    </w:p>
    <w:p w14:paraId="0A9FB7B1" w14:textId="77777777" w:rsidR="00753A64" w:rsidRPr="00753A64" w:rsidRDefault="00753A64" w:rsidP="00753A64">
      <w:pPr>
        <w:tabs>
          <w:tab w:val="left" w:pos="2622"/>
          <w:tab w:val="left" w:pos="3723"/>
          <w:tab w:val="left" w:pos="4784"/>
          <w:tab w:val="left" w:pos="5740"/>
          <w:tab w:val="left" w:pos="6681"/>
          <w:tab w:val="left" w:pos="7622"/>
          <w:tab w:val="left" w:pos="8563"/>
          <w:tab w:val="left" w:pos="9504"/>
        </w:tabs>
        <w:spacing w:after="0" w:line="360" w:lineRule="auto"/>
        <w:ind w:firstLine="709"/>
        <w:jc w:val="both"/>
        <w:rPr>
          <w:rFonts w:ascii="Candara" w:eastAsia="Times New Roman" w:hAnsi="Candara" w:cs="Times New Roman"/>
          <w:spacing w:val="-4"/>
          <w:sz w:val="24"/>
          <w:szCs w:val="24"/>
        </w:rPr>
      </w:pPr>
      <w:r w:rsidRPr="00753A64">
        <w:rPr>
          <w:rFonts w:ascii="Candara" w:eastAsia="Times New Roman" w:hAnsi="Candara" w:cs="Times New Roman"/>
          <w:color w:val="000000"/>
          <w:spacing w:val="-4"/>
          <w:sz w:val="24"/>
          <w:szCs w:val="24"/>
        </w:rPr>
        <w:t xml:space="preserve">Verifica-se pelos dados que os municípios de Campo Grande e Dourados, possuem melhores índices no IFDM (geral, emprego e renda, educação e saúde). Em especial no IFDM Educação, o município de Costa Rica destacou-se com índice </w:t>
      </w:r>
      <w:r w:rsidRPr="00753A64">
        <w:rPr>
          <w:rFonts w:ascii="Candara" w:eastAsia="Times New Roman" w:hAnsi="Candara" w:cs="Times New Roman"/>
          <w:spacing w:val="-4"/>
          <w:sz w:val="24"/>
          <w:szCs w:val="24"/>
        </w:rPr>
        <w:t xml:space="preserve">0,9376, considerado de alto desenvolvimento (acima de 0,8 conforme metodologia da FIRJAN). </w:t>
      </w:r>
    </w:p>
    <w:p w14:paraId="2C56BD9F" w14:textId="77777777" w:rsidR="00753A64" w:rsidRPr="00753A64" w:rsidRDefault="00753A64" w:rsidP="00753A64">
      <w:pPr>
        <w:tabs>
          <w:tab w:val="left" w:pos="2622"/>
          <w:tab w:val="left" w:pos="3723"/>
          <w:tab w:val="left" w:pos="4784"/>
          <w:tab w:val="left" w:pos="5740"/>
          <w:tab w:val="left" w:pos="6681"/>
          <w:tab w:val="left" w:pos="7622"/>
          <w:tab w:val="left" w:pos="8563"/>
          <w:tab w:val="left" w:pos="9504"/>
        </w:tabs>
        <w:spacing w:after="0" w:line="360" w:lineRule="auto"/>
        <w:ind w:firstLine="709"/>
        <w:jc w:val="both"/>
        <w:rPr>
          <w:rFonts w:ascii="Candara" w:hAnsi="Candara" w:cs="Times New Roman"/>
          <w:sz w:val="24"/>
          <w:szCs w:val="24"/>
        </w:rPr>
      </w:pPr>
      <w:r w:rsidRPr="00753A64">
        <w:rPr>
          <w:rFonts w:ascii="Candara" w:eastAsia="Times New Roman" w:hAnsi="Candara" w:cs="Times New Roman"/>
          <w:sz w:val="24"/>
          <w:szCs w:val="24"/>
        </w:rPr>
        <w:lastRenderedPageBreak/>
        <w:t xml:space="preserve">Outro indicador elevado de Costa Rica foi o PIB per capita, de R$ </w:t>
      </w:r>
      <w:r w:rsidRPr="00753A64">
        <w:rPr>
          <w:rFonts w:ascii="Candara" w:eastAsia="Times New Roman" w:hAnsi="Candara" w:cs="Times New Roman"/>
          <w:color w:val="000000"/>
          <w:sz w:val="24"/>
          <w:szCs w:val="24"/>
        </w:rPr>
        <w:t xml:space="preserve">93.009,60, pode-se inferir que foi elevado devido </w:t>
      </w:r>
      <w:r w:rsidRPr="00753A64">
        <w:rPr>
          <w:rFonts w:ascii="Candara" w:hAnsi="Candara" w:cs="Times New Roman"/>
          <w:sz w:val="24"/>
          <w:szCs w:val="24"/>
        </w:rPr>
        <w:t>o setor que mais agrega valor no município ser a Agropecuária, que tem aumentado significativamente nos últimos anos, sendo a cultura temporária do município concentrada na produção de soja, milho e cana-de-açúcar, ocupando uma área coletivamente de 85%. (SEBRAE, 2023).</w:t>
      </w:r>
    </w:p>
    <w:p w14:paraId="16B538B5" w14:textId="77777777" w:rsidR="00753A64" w:rsidRPr="00753A64" w:rsidRDefault="00753A64" w:rsidP="00753A64">
      <w:pPr>
        <w:spacing w:after="0" w:line="360" w:lineRule="auto"/>
        <w:rPr>
          <w:rFonts w:ascii="Candara" w:eastAsia="Times New Roman" w:hAnsi="Candara" w:cs="Times New Roman"/>
          <w:color w:val="FF0000"/>
          <w:sz w:val="24"/>
          <w:szCs w:val="24"/>
        </w:rPr>
      </w:pPr>
    </w:p>
    <w:p w14:paraId="414D3738" w14:textId="3C031581" w:rsidR="00753A64" w:rsidRPr="00753A64" w:rsidRDefault="00753A64" w:rsidP="007A3070">
      <w:pPr>
        <w:spacing w:after="0" w:line="240" w:lineRule="auto"/>
        <w:ind w:left="-567" w:firstLine="567"/>
        <w:rPr>
          <w:rFonts w:ascii="Candara" w:eastAsia="Times New Roman" w:hAnsi="Candara" w:cs="Times New Roman"/>
          <w:sz w:val="24"/>
          <w:szCs w:val="24"/>
        </w:rPr>
      </w:pPr>
      <w:r w:rsidRPr="00753A64">
        <w:rPr>
          <w:rFonts w:ascii="Candara" w:eastAsia="Times New Roman" w:hAnsi="Candara" w:cs="Times New Roman"/>
          <w:b/>
          <w:bCs/>
          <w:sz w:val="24"/>
          <w:szCs w:val="24"/>
        </w:rPr>
        <w:t xml:space="preserve">Tabela </w:t>
      </w:r>
      <w:r w:rsidR="00A612C1">
        <w:rPr>
          <w:rFonts w:ascii="Candara" w:eastAsia="Times New Roman" w:hAnsi="Candara" w:cs="Times New Roman"/>
          <w:b/>
          <w:bCs/>
          <w:sz w:val="24"/>
          <w:szCs w:val="24"/>
        </w:rPr>
        <w:t>4</w:t>
      </w:r>
      <w:r w:rsidRPr="00753A64">
        <w:rPr>
          <w:rFonts w:ascii="Candara" w:eastAsia="Times New Roman" w:hAnsi="Candara" w:cs="Times New Roman"/>
          <w:sz w:val="24"/>
          <w:szCs w:val="24"/>
        </w:rPr>
        <w:t xml:space="preserve"> – Dados dos indicadores coletados, dos municípios do estágio Colher.</w:t>
      </w:r>
    </w:p>
    <w:tbl>
      <w:tblPr>
        <w:tblW w:w="8504"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1038"/>
        <w:gridCol w:w="1015"/>
        <w:gridCol w:w="799"/>
        <w:gridCol w:w="799"/>
        <w:gridCol w:w="799"/>
        <w:gridCol w:w="799"/>
        <w:gridCol w:w="804"/>
        <w:gridCol w:w="799"/>
      </w:tblGrid>
      <w:tr w:rsidR="00753A64" w:rsidRPr="00753A64" w14:paraId="3B6B87A8" w14:textId="77777777" w:rsidTr="00315358">
        <w:trPr>
          <w:trHeight w:val="590"/>
          <w:jc w:val="center"/>
        </w:trPr>
        <w:tc>
          <w:tcPr>
            <w:tcW w:w="1654" w:type="dxa"/>
            <w:shd w:val="clear" w:color="auto" w:fill="auto"/>
            <w:noWrap/>
            <w:vAlign w:val="center"/>
            <w:hideMark/>
          </w:tcPr>
          <w:p w14:paraId="4A4C336A" w14:textId="77777777" w:rsidR="00753A64" w:rsidRPr="00753A64" w:rsidRDefault="00753A64" w:rsidP="00315358">
            <w:pPr>
              <w:spacing w:after="0" w:line="240" w:lineRule="auto"/>
              <w:rPr>
                <w:rFonts w:ascii="Candara" w:eastAsia="Times New Roman" w:hAnsi="Candara" w:cs="Times New Roman"/>
                <w:b/>
                <w:bCs/>
                <w:color w:val="000000"/>
                <w:sz w:val="16"/>
                <w:szCs w:val="16"/>
              </w:rPr>
            </w:pPr>
            <w:r w:rsidRPr="00753A64">
              <w:rPr>
                <w:rFonts w:ascii="Candara" w:eastAsia="Times New Roman" w:hAnsi="Candara" w:cs="Times New Roman"/>
                <w:b/>
                <w:bCs/>
                <w:noProof/>
                <w:sz w:val="16"/>
                <w:szCs w:val="16"/>
              </w:rPr>
              <mc:AlternateContent>
                <mc:Choice Requires="wps">
                  <w:drawing>
                    <wp:anchor distT="0" distB="0" distL="114300" distR="114300" simplePos="0" relativeHeight="251659264" behindDoc="0" locked="0" layoutInCell="1" allowOverlap="1" wp14:anchorId="57C0F4B4" wp14:editId="207882D9">
                      <wp:simplePos x="0" y="0"/>
                      <wp:positionH relativeFrom="column">
                        <wp:posOffset>-46355</wp:posOffset>
                      </wp:positionH>
                      <wp:positionV relativeFrom="paragraph">
                        <wp:posOffset>10795</wp:posOffset>
                      </wp:positionV>
                      <wp:extent cx="1019810" cy="443230"/>
                      <wp:effectExtent l="0" t="0" r="27940" b="33020"/>
                      <wp:wrapNone/>
                      <wp:docPr id="1865583209" name="Conector reto 1"/>
                      <wp:cNvGraphicFramePr/>
                      <a:graphic xmlns:a="http://schemas.openxmlformats.org/drawingml/2006/main">
                        <a:graphicData uri="http://schemas.microsoft.com/office/word/2010/wordprocessingShape">
                          <wps:wsp>
                            <wps:cNvCnPr/>
                            <wps:spPr>
                              <a:xfrm flipH="1">
                                <a:off x="0" y="0"/>
                                <a:ext cx="1019810" cy="443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BC759" id="Conector reto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85pt" to="76.6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" strokecolor="black [3040]"/>
                  </w:pict>
                </mc:Fallback>
              </mc:AlternateContent>
            </w:r>
            <w:r w:rsidRPr="00753A64">
              <w:rPr>
                <w:rFonts w:ascii="Candara" w:eastAsia="Times New Roman" w:hAnsi="Candara" w:cs="Times New Roman"/>
                <w:b/>
                <w:bCs/>
                <w:color w:val="000000"/>
                <w:sz w:val="16"/>
                <w:szCs w:val="16"/>
              </w:rPr>
              <w:t xml:space="preserve">Indicador  </w:t>
            </w:r>
          </w:p>
          <w:p w14:paraId="685D3BB4" w14:textId="77777777" w:rsidR="00753A64" w:rsidRPr="00753A64" w:rsidRDefault="00753A64" w:rsidP="00315358">
            <w:pPr>
              <w:spacing w:after="0" w:line="240" w:lineRule="auto"/>
              <w:rPr>
                <w:rFonts w:ascii="Candara" w:eastAsia="Times New Roman" w:hAnsi="Candara" w:cs="Times New Roman"/>
                <w:b/>
                <w:bCs/>
                <w:color w:val="000000"/>
                <w:sz w:val="16"/>
                <w:szCs w:val="16"/>
              </w:rPr>
            </w:pPr>
          </w:p>
          <w:p w14:paraId="5BC84C32" w14:textId="77777777" w:rsidR="00753A64" w:rsidRPr="00753A64" w:rsidRDefault="00753A64" w:rsidP="00315358">
            <w:pPr>
              <w:spacing w:after="0" w:line="240" w:lineRule="auto"/>
              <w:rPr>
                <w:rFonts w:ascii="Candara" w:eastAsia="Times New Roman" w:hAnsi="Candara"/>
                <w:sz w:val="16"/>
                <w:szCs w:val="16"/>
              </w:rPr>
            </w:pPr>
            <w:r w:rsidRPr="00753A64">
              <w:rPr>
                <w:rFonts w:ascii="Candara" w:eastAsia="Times New Roman" w:hAnsi="Candara" w:cs="Times New Roman"/>
                <w:b/>
                <w:bCs/>
                <w:sz w:val="16"/>
                <w:szCs w:val="16"/>
              </w:rPr>
              <w:t xml:space="preserve">                                     </w:t>
            </w:r>
            <w:r w:rsidRPr="00753A64">
              <w:rPr>
                <w:rFonts w:ascii="Candara" w:eastAsia="Times New Roman" w:hAnsi="Candara"/>
                <w:sz w:val="16"/>
                <w:szCs w:val="16"/>
              </w:rPr>
              <w:t xml:space="preserve"> </w:t>
            </w:r>
          </w:p>
          <w:p w14:paraId="2E1FF1E8" w14:textId="77777777" w:rsidR="00753A64" w:rsidRPr="00753A64" w:rsidRDefault="00753A64" w:rsidP="00315358">
            <w:pPr>
              <w:spacing w:after="0" w:line="240" w:lineRule="auto"/>
              <w:rPr>
                <w:rFonts w:ascii="Candara" w:eastAsia="Times New Roman" w:hAnsi="Candara" w:cs="Times New Roman"/>
                <w:b/>
                <w:bCs/>
                <w:color w:val="000000"/>
                <w:sz w:val="16"/>
                <w:szCs w:val="16"/>
                <w:highlight w:val="yellow"/>
              </w:rPr>
            </w:pPr>
            <w:r w:rsidRPr="00753A64">
              <w:rPr>
                <w:rFonts w:ascii="Candara" w:eastAsia="Times New Roman" w:hAnsi="Candara"/>
                <w:sz w:val="16"/>
                <w:szCs w:val="16"/>
              </w:rPr>
              <w:t xml:space="preserve">                    </w:t>
            </w:r>
            <w:r w:rsidRPr="00753A64">
              <w:rPr>
                <w:rFonts w:ascii="Candara" w:eastAsia="Times New Roman" w:hAnsi="Candara" w:cs="Times New Roman"/>
                <w:b/>
                <w:bCs/>
                <w:sz w:val="16"/>
                <w:szCs w:val="16"/>
              </w:rPr>
              <w:t>Município</w:t>
            </w:r>
          </w:p>
        </w:tc>
        <w:tc>
          <w:tcPr>
            <w:tcW w:w="1040" w:type="dxa"/>
            <w:shd w:val="clear" w:color="auto" w:fill="auto"/>
            <w:noWrap/>
            <w:vAlign w:val="center"/>
            <w:hideMark/>
          </w:tcPr>
          <w:p w14:paraId="1A901FA9" w14:textId="77777777" w:rsidR="00753A64" w:rsidRPr="00753A64" w:rsidRDefault="00753A64" w:rsidP="00315358">
            <w:pPr>
              <w:spacing w:after="0" w:line="240" w:lineRule="auto"/>
              <w:jc w:val="center"/>
              <w:rPr>
                <w:rFonts w:ascii="Candara" w:eastAsia="Times New Roman" w:hAnsi="Candara" w:cs="Times New Roman"/>
                <w:b/>
                <w:bCs/>
                <w:sz w:val="16"/>
                <w:szCs w:val="16"/>
              </w:rPr>
            </w:pPr>
            <w:r w:rsidRPr="00753A64">
              <w:rPr>
                <w:rFonts w:ascii="Candara" w:eastAsia="Times New Roman" w:hAnsi="Candara" w:cs="Times New Roman"/>
                <w:b/>
                <w:bCs/>
                <w:sz w:val="16"/>
                <w:szCs w:val="16"/>
              </w:rPr>
              <w:t>Aquidauana</w:t>
            </w:r>
          </w:p>
        </w:tc>
        <w:tc>
          <w:tcPr>
            <w:tcW w:w="1016" w:type="dxa"/>
            <w:shd w:val="clear" w:color="auto" w:fill="auto"/>
            <w:noWrap/>
            <w:vAlign w:val="center"/>
            <w:hideMark/>
          </w:tcPr>
          <w:p w14:paraId="261B49B9" w14:textId="77777777" w:rsidR="00753A64" w:rsidRPr="00753A64" w:rsidRDefault="00753A64" w:rsidP="00315358">
            <w:pPr>
              <w:spacing w:after="0" w:line="240" w:lineRule="auto"/>
              <w:jc w:val="center"/>
              <w:rPr>
                <w:rFonts w:ascii="Candara" w:eastAsia="Times New Roman" w:hAnsi="Candara" w:cs="Times New Roman"/>
                <w:b/>
                <w:bCs/>
                <w:sz w:val="16"/>
                <w:szCs w:val="16"/>
              </w:rPr>
            </w:pPr>
            <w:r w:rsidRPr="00753A64">
              <w:rPr>
                <w:rFonts w:ascii="Candara" w:eastAsia="Times New Roman" w:hAnsi="Candara" w:cs="Times New Roman"/>
                <w:b/>
                <w:bCs/>
                <w:sz w:val="16"/>
                <w:szCs w:val="16"/>
              </w:rPr>
              <w:t>Bodoquena</w:t>
            </w:r>
          </w:p>
        </w:tc>
        <w:tc>
          <w:tcPr>
            <w:tcW w:w="799" w:type="dxa"/>
            <w:shd w:val="clear" w:color="auto" w:fill="auto"/>
            <w:noWrap/>
            <w:vAlign w:val="center"/>
            <w:hideMark/>
          </w:tcPr>
          <w:p w14:paraId="7FE801F0" w14:textId="77777777" w:rsidR="00753A64" w:rsidRPr="00753A64" w:rsidRDefault="00753A64" w:rsidP="00315358">
            <w:pPr>
              <w:spacing w:after="0" w:line="240" w:lineRule="auto"/>
              <w:jc w:val="center"/>
              <w:rPr>
                <w:rFonts w:ascii="Candara" w:eastAsia="Times New Roman" w:hAnsi="Candara" w:cs="Times New Roman"/>
                <w:b/>
                <w:bCs/>
                <w:sz w:val="16"/>
                <w:szCs w:val="16"/>
              </w:rPr>
            </w:pPr>
            <w:r w:rsidRPr="00753A64">
              <w:rPr>
                <w:rFonts w:ascii="Candara" w:eastAsia="Times New Roman" w:hAnsi="Candara" w:cs="Times New Roman"/>
                <w:b/>
                <w:bCs/>
                <w:sz w:val="16"/>
                <w:szCs w:val="16"/>
              </w:rPr>
              <w:t>Bonito</w:t>
            </w:r>
          </w:p>
        </w:tc>
        <w:tc>
          <w:tcPr>
            <w:tcW w:w="799" w:type="dxa"/>
            <w:shd w:val="clear" w:color="auto" w:fill="auto"/>
            <w:noWrap/>
            <w:vAlign w:val="center"/>
            <w:hideMark/>
          </w:tcPr>
          <w:p w14:paraId="029F5C30" w14:textId="77777777" w:rsidR="00753A64" w:rsidRPr="00753A64" w:rsidRDefault="00753A64" w:rsidP="00315358">
            <w:pPr>
              <w:spacing w:after="0" w:line="240" w:lineRule="auto"/>
              <w:jc w:val="center"/>
              <w:rPr>
                <w:rFonts w:ascii="Candara" w:eastAsia="Times New Roman" w:hAnsi="Candara" w:cs="Times New Roman"/>
                <w:b/>
                <w:bCs/>
                <w:sz w:val="16"/>
                <w:szCs w:val="16"/>
              </w:rPr>
            </w:pPr>
            <w:r w:rsidRPr="00753A64">
              <w:rPr>
                <w:rFonts w:ascii="Candara" w:eastAsia="Times New Roman" w:hAnsi="Candara" w:cs="Times New Roman"/>
                <w:b/>
                <w:bCs/>
                <w:sz w:val="16"/>
                <w:szCs w:val="16"/>
              </w:rPr>
              <w:t>Campo Grande</w:t>
            </w:r>
          </w:p>
        </w:tc>
        <w:tc>
          <w:tcPr>
            <w:tcW w:w="799" w:type="dxa"/>
            <w:shd w:val="clear" w:color="auto" w:fill="auto"/>
            <w:noWrap/>
            <w:vAlign w:val="center"/>
            <w:hideMark/>
          </w:tcPr>
          <w:p w14:paraId="36A044A0" w14:textId="77777777" w:rsidR="00753A64" w:rsidRPr="00753A64" w:rsidRDefault="00753A64" w:rsidP="00315358">
            <w:pPr>
              <w:spacing w:after="0" w:line="240" w:lineRule="auto"/>
              <w:jc w:val="center"/>
              <w:rPr>
                <w:rFonts w:ascii="Candara" w:eastAsia="Times New Roman" w:hAnsi="Candara" w:cs="Times New Roman"/>
                <w:b/>
                <w:bCs/>
                <w:sz w:val="16"/>
                <w:szCs w:val="16"/>
              </w:rPr>
            </w:pPr>
            <w:r w:rsidRPr="00753A64">
              <w:rPr>
                <w:rFonts w:ascii="Candara" w:eastAsia="Times New Roman" w:hAnsi="Candara" w:cs="Times New Roman"/>
                <w:b/>
                <w:bCs/>
                <w:sz w:val="16"/>
                <w:szCs w:val="16"/>
              </w:rPr>
              <w:t>Corumbá</w:t>
            </w:r>
          </w:p>
        </w:tc>
        <w:tc>
          <w:tcPr>
            <w:tcW w:w="799" w:type="dxa"/>
            <w:shd w:val="clear" w:color="auto" w:fill="auto"/>
            <w:noWrap/>
            <w:vAlign w:val="center"/>
            <w:hideMark/>
          </w:tcPr>
          <w:p w14:paraId="3D7587E4" w14:textId="77777777" w:rsidR="00753A64" w:rsidRPr="00753A64" w:rsidRDefault="00753A64" w:rsidP="00315358">
            <w:pPr>
              <w:spacing w:after="0" w:line="240" w:lineRule="auto"/>
              <w:jc w:val="center"/>
              <w:rPr>
                <w:rFonts w:ascii="Candara" w:eastAsia="Times New Roman" w:hAnsi="Candara" w:cs="Times New Roman"/>
                <w:b/>
                <w:bCs/>
                <w:sz w:val="16"/>
                <w:szCs w:val="16"/>
              </w:rPr>
            </w:pPr>
            <w:r w:rsidRPr="00753A64">
              <w:rPr>
                <w:rFonts w:ascii="Candara" w:eastAsia="Times New Roman" w:hAnsi="Candara" w:cs="Times New Roman"/>
                <w:b/>
                <w:bCs/>
                <w:sz w:val="16"/>
                <w:szCs w:val="16"/>
              </w:rPr>
              <w:t>Costa Rica</w:t>
            </w:r>
          </w:p>
        </w:tc>
        <w:tc>
          <w:tcPr>
            <w:tcW w:w="799" w:type="dxa"/>
            <w:shd w:val="clear" w:color="auto" w:fill="auto"/>
            <w:noWrap/>
            <w:vAlign w:val="center"/>
            <w:hideMark/>
          </w:tcPr>
          <w:p w14:paraId="60EB1788" w14:textId="77777777" w:rsidR="00753A64" w:rsidRPr="00753A64" w:rsidRDefault="00753A64" w:rsidP="00315358">
            <w:pPr>
              <w:spacing w:after="0" w:line="240" w:lineRule="auto"/>
              <w:jc w:val="center"/>
              <w:rPr>
                <w:rFonts w:ascii="Candara" w:eastAsia="Times New Roman" w:hAnsi="Candara" w:cs="Times New Roman"/>
                <w:b/>
                <w:bCs/>
                <w:sz w:val="16"/>
                <w:szCs w:val="16"/>
              </w:rPr>
            </w:pPr>
            <w:r w:rsidRPr="00753A64">
              <w:rPr>
                <w:rFonts w:ascii="Candara" w:eastAsia="Times New Roman" w:hAnsi="Candara" w:cs="Times New Roman"/>
                <w:b/>
                <w:bCs/>
                <w:sz w:val="16"/>
                <w:szCs w:val="16"/>
              </w:rPr>
              <w:t>Dourados</w:t>
            </w:r>
          </w:p>
        </w:tc>
        <w:tc>
          <w:tcPr>
            <w:tcW w:w="799" w:type="dxa"/>
            <w:shd w:val="clear" w:color="auto" w:fill="auto"/>
            <w:noWrap/>
            <w:vAlign w:val="center"/>
            <w:hideMark/>
          </w:tcPr>
          <w:p w14:paraId="35F2B737" w14:textId="77777777" w:rsidR="00753A64" w:rsidRPr="00753A64" w:rsidRDefault="00753A64" w:rsidP="00315358">
            <w:pPr>
              <w:spacing w:after="0" w:line="240" w:lineRule="auto"/>
              <w:jc w:val="center"/>
              <w:rPr>
                <w:rFonts w:ascii="Candara" w:eastAsia="Times New Roman" w:hAnsi="Candara" w:cs="Times New Roman"/>
                <w:b/>
                <w:bCs/>
                <w:sz w:val="16"/>
                <w:szCs w:val="16"/>
              </w:rPr>
            </w:pPr>
            <w:r w:rsidRPr="00753A64">
              <w:rPr>
                <w:rFonts w:ascii="Candara" w:eastAsia="Times New Roman" w:hAnsi="Candara" w:cs="Times New Roman"/>
                <w:b/>
                <w:bCs/>
                <w:sz w:val="16"/>
                <w:szCs w:val="16"/>
              </w:rPr>
              <w:t>Jardim</w:t>
            </w:r>
          </w:p>
        </w:tc>
      </w:tr>
      <w:tr w:rsidR="00753A64" w:rsidRPr="00753A64" w14:paraId="573DBF1E" w14:textId="77777777" w:rsidTr="00315358">
        <w:trPr>
          <w:trHeight w:val="283"/>
          <w:jc w:val="center"/>
        </w:trPr>
        <w:tc>
          <w:tcPr>
            <w:tcW w:w="1654" w:type="dxa"/>
            <w:shd w:val="clear" w:color="auto" w:fill="auto"/>
            <w:vAlign w:val="center"/>
            <w:hideMark/>
          </w:tcPr>
          <w:p w14:paraId="2740073B" w14:textId="77777777" w:rsidR="00753A64" w:rsidRPr="00B71D6C" w:rsidRDefault="00753A64" w:rsidP="00315358">
            <w:pPr>
              <w:spacing w:after="0" w:line="240" w:lineRule="auto"/>
              <w:rPr>
                <w:rFonts w:ascii="Candara" w:eastAsia="Times New Roman" w:hAnsi="Candara" w:cs="Times New Roman"/>
                <w:sz w:val="15"/>
                <w:szCs w:val="15"/>
              </w:rPr>
            </w:pPr>
            <w:r w:rsidRPr="00B71D6C">
              <w:rPr>
                <w:rFonts w:ascii="Candara" w:eastAsia="Times New Roman" w:hAnsi="Candara" w:cs="Times New Roman"/>
                <w:sz w:val="15"/>
                <w:szCs w:val="15"/>
              </w:rPr>
              <w:t xml:space="preserve">IFDM Geral </w:t>
            </w:r>
          </w:p>
        </w:tc>
        <w:tc>
          <w:tcPr>
            <w:tcW w:w="1040" w:type="dxa"/>
            <w:shd w:val="clear" w:color="auto" w:fill="auto"/>
            <w:noWrap/>
            <w:vAlign w:val="center"/>
            <w:hideMark/>
          </w:tcPr>
          <w:p w14:paraId="5E623C0C"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0,6423</w:t>
            </w:r>
          </w:p>
        </w:tc>
        <w:tc>
          <w:tcPr>
            <w:tcW w:w="1016" w:type="dxa"/>
            <w:shd w:val="clear" w:color="auto" w:fill="auto"/>
            <w:noWrap/>
            <w:vAlign w:val="center"/>
            <w:hideMark/>
          </w:tcPr>
          <w:p w14:paraId="79A67B7C"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0,6817</w:t>
            </w:r>
          </w:p>
        </w:tc>
        <w:tc>
          <w:tcPr>
            <w:tcW w:w="799" w:type="dxa"/>
            <w:shd w:val="clear" w:color="auto" w:fill="auto"/>
            <w:noWrap/>
            <w:vAlign w:val="center"/>
            <w:hideMark/>
          </w:tcPr>
          <w:p w14:paraId="02DC502B"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0,6977</w:t>
            </w:r>
          </w:p>
        </w:tc>
        <w:tc>
          <w:tcPr>
            <w:tcW w:w="799" w:type="dxa"/>
            <w:shd w:val="clear" w:color="auto" w:fill="auto"/>
            <w:noWrap/>
            <w:vAlign w:val="center"/>
            <w:hideMark/>
          </w:tcPr>
          <w:p w14:paraId="58FC2882"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0,8145</w:t>
            </w:r>
          </w:p>
        </w:tc>
        <w:tc>
          <w:tcPr>
            <w:tcW w:w="799" w:type="dxa"/>
            <w:shd w:val="clear" w:color="auto" w:fill="auto"/>
            <w:noWrap/>
            <w:vAlign w:val="center"/>
            <w:hideMark/>
          </w:tcPr>
          <w:p w14:paraId="5CAAE77B"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0,6537</w:t>
            </w:r>
          </w:p>
        </w:tc>
        <w:tc>
          <w:tcPr>
            <w:tcW w:w="799" w:type="dxa"/>
            <w:shd w:val="clear" w:color="auto" w:fill="auto"/>
            <w:noWrap/>
            <w:vAlign w:val="center"/>
            <w:hideMark/>
          </w:tcPr>
          <w:p w14:paraId="237F4BE0"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0,7942</w:t>
            </w:r>
          </w:p>
        </w:tc>
        <w:tc>
          <w:tcPr>
            <w:tcW w:w="799" w:type="dxa"/>
            <w:shd w:val="clear" w:color="auto" w:fill="auto"/>
            <w:noWrap/>
            <w:vAlign w:val="center"/>
            <w:hideMark/>
          </w:tcPr>
          <w:p w14:paraId="658EA352"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0,8101</w:t>
            </w:r>
          </w:p>
        </w:tc>
        <w:tc>
          <w:tcPr>
            <w:tcW w:w="799" w:type="dxa"/>
            <w:shd w:val="clear" w:color="auto" w:fill="auto"/>
            <w:noWrap/>
            <w:vAlign w:val="center"/>
            <w:hideMark/>
          </w:tcPr>
          <w:p w14:paraId="2C1C5D8D"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0,6697</w:t>
            </w:r>
          </w:p>
        </w:tc>
      </w:tr>
      <w:tr w:rsidR="00753A64" w:rsidRPr="00753A64" w14:paraId="4F669FEB" w14:textId="77777777" w:rsidTr="00315358">
        <w:trPr>
          <w:trHeight w:val="283"/>
          <w:jc w:val="center"/>
        </w:trPr>
        <w:tc>
          <w:tcPr>
            <w:tcW w:w="1654" w:type="dxa"/>
            <w:shd w:val="clear" w:color="auto" w:fill="auto"/>
            <w:vAlign w:val="center"/>
            <w:hideMark/>
          </w:tcPr>
          <w:p w14:paraId="76D9B404" w14:textId="77777777" w:rsidR="00753A64" w:rsidRPr="00B71D6C" w:rsidRDefault="00753A64" w:rsidP="00315358">
            <w:pPr>
              <w:spacing w:after="0" w:line="240" w:lineRule="auto"/>
              <w:rPr>
                <w:rFonts w:ascii="Candara" w:eastAsia="Times New Roman" w:hAnsi="Candara" w:cs="Times New Roman"/>
                <w:sz w:val="15"/>
                <w:szCs w:val="15"/>
              </w:rPr>
            </w:pPr>
            <w:r w:rsidRPr="00B71D6C">
              <w:rPr>
                <w:rFonts w:ascii="Candara" w:eastAsia="Times New Roman" w:hAnsi="Candara" w:cs="Times New Roman"/>
                <w:sz w:val="15"/>
                <w:szCs w:val="15"/>
              </w:rPr>
              <w:t>IFDM Emprego &amp; Renda</w:t>
            </w:r>
          </w:p>
        </w:tc>
        <w:tc>
          <w:tcPr>
            <w:tcW w:w="1040" w:type="dxa"/>
            <w:shd w:val="clear" w:color="auto" w:fill="auto"/>
            <w:noWrap/>
            <w:vAlign w:val="center"/>
            <w:hideMark/>
          </w:tcPr>
          <w:p w14:paraId="18DC00A8"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0,4664</w:t>
            </w:r>
          </w:p>
        </w:tc>
        <w:tc>
          <w:tcPr>
            <w:tcW w:w="1016" w:type="dxa"/>
            <w:shd w:val="clear" w:color="auto" w:fill="auto"/>
            <w:noWrap/>
            <w:vAlign w:val="center"/>
            <w:hideMark/>
          </w:tcPr>
          <w:p w14:paraId="4B11E29B"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0,5123</w:t>
            </w:r>
          </w:p>
        </w:tc>
        <w:tc>
          <w:tcPr>
            <w:tcW w:w="799" w:type="dxa"/>
            <w:shd w:val="clear" w:color="auto" w:fill="auto"/>
            <w:noWrap/>
            <w:vAlign w:val="center"/>
            <w:hideMark/>
          </w:tcPr>
          <w:p w14:paraId="082F2948"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0,6287</w:t>
            </w:r>
          </w:p>
        </w:tc>
        <w:tc>
          <w:tcPr>
            <w:tcW w:w="799" w:type="dxa"/>
            <w:shd w:val="clear" w:color="auto" w:fill="auto"/>
            <w:noWrap/>
            <w:vAlign w:val="center"/>
            <w:hideMark/>
          </w:tcPr>
          <w:p w14:paraId="144F61E3"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0,7182</w:t>
            </w:r>
          </w:p>
        </w:tc>
        <w:tc>
          <w:tcPr>
            <w:tcW w:w="799" w:type="dxa"/>
            <w:shd w:val="clear" w:color="auto" w:fill="auto"/>
            <w:noWrap/>
            <w:vAlign w:val="center"/>
            <w:hideMark/>
          </w:tcPr>
          <w:p w14:paraId="446AF3D1"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0,4650</w:t>
            </w:r>
          </w:p>
        </w:tc>
        <w:tc>
          <w:tcPr>
            <w:tcW w:w="799" w:type="dxa"/>
            <w:shd w:val="clear" w:color="auto" w:fill="auto"/>
            <w:noWrap/>
            <w:vAlign w:val="center"/>
            <w:hideMark/>
          </w:tcPr>
          <w:p w14:paraId="56187529"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0,5687</w:t>
            </w:r>
          </w:p>
        </w:tc>
        <w:tc>
          <w:tcPr>
            <w:tcW w:w="799" w:type="dxa"/>
            <w:shd w:val="clear" w:color="auto" w:fill="auto"/>
            <w:noWrap/>
            <w:vAlign w:val="center"/>
            <w:hideMark/>
          </w:tcPr>
          <w:p w14:paraId="035396BE"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0,7668</w:t>
            </w:r>
          </w:p>
        </w:tc>
        <w:tc>
          <w:tcPr>
            <w:tcW w:w="799" w:type="dxa"/>
            <w:shd w:val="clear" w:color="auto" w:fill="auto"/>
            <w:noWrap/>
            <w:vAlign w:val="center"/>
            <w:hideMark/>
          </w:tcPr>
          <w:p w14:paraId="38CA9944"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0,5069</w:t>
            </w:r>
          </w:p>
        </w:tc>
      </w:tr>
      <w:tr w:rsidR="00753A64" w:rsidRPr="00753A64" w14:paraId="334A9ED5" w14:textId="77777777" w:rsidTr="00315358">
        <w:trPr>
          <w:trHeight w:val="283"/>
          <w:jc w:val="center"/>
        </w:trPr>
        <w:tc>
          <w:tcPr>
            <w:tcW w:w="1654" w:type="dxa"/>
            <w:shd w:val="clear" w:color="auto" w:fill="auto"/>
            <w:vAlign w:val="center"/>
            <w:hideMark/>
          </w:tcPr>
          <w:p w14:paraId="2F11DF87" w14:textId="77777777" w:rsidR="00753A64" w:rsidRPr="00B71D6C" w:rsidRDefault="00753A64" w:rsidP="00315358">
            <w:pPr>
              <w:spacing w:after="0" w:line="240" w:lineRule="auto"/>
              <w:rPr>
                <w:rFonts w:ascii="Candara" w:eastAsia="Times New Roman" w:hAnsi="Candara" w:cs="Times New Roman"/>
                <w:sz w:val="15"/>
                <w:szCs w:val="15"/>
              </w:rPr>
            </w:pPr>
            <w:r w:rsidRPr="00B71D6C">
              <w:rPr>
                <w:rFonts w:ascii="Candara" w:eastAsia="Times New Roman" w:hAnsi="Candara" w:cs="Times New Roman"/>
                <w:sz w:val="15"/>
                <w:szCs w:val="15"/>
              </w:rPr>
              <w:t>IFDM Educação</w:t>
            </w:r>
          </w:p>
        </w:tc>
        <w:tc>
          <w:tcPr>
            <w:tcW w:w="1040" w:type="dxa"/>
            <w:shd w:val="clear" w:color="auto" w:fill="auto"/>
            <w:noWrap/>
            <w:vAlign w:val="center"/>
            <w:hideMark/>
          </w:tcPr>
          <w:p w14:paraId="5BB8F9C2"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0,7191</w:t>
            </w:r>
          </w:p>
        </w:tc>
        <w:tc>
          <w:tcPr>
            <w:tcW w:w="1016" w:type="dxa"/>
            <w:shd w:val="clear" w:color="auto" w:fill="auto"/>
            <w:noWrap/>
            <w:vAlign w:val="center"/>
            <w:hideMark/>
          </w:tcPr>
          <w:p w14:paraId="62527EC3"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0,7780</w:t>
            </w:r>
          </w:p>
        </w:tc>
        <w:tc>
          <w:tcPr>
            <w:tcW w:w="799" w:type="dxa"/>
            <w:shd w:val="clear" w:color="auto" w:fill="auto"/>
            <w:noWrap/>
            <w:vAlign w:val="center"/>
            <w:hideMark/>
          </w:tcPr>
          <w:p w14:paraId="11D5DF47"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0,7165</w:t>
            </w:r>
          </w:p>
        </w:tc>
        <w:tc>
          <w:tcPr>
            <w:tcW w:w="799" w:type="dxa"/>
            <w:shd w:val="clear" w:color="auto" w:fill="auto"/>
            <w:noWrap/>
            <w:vAlign w:val="center"/>
            <w:hideMark/>
          </w:tcPr>
          <w:p w14:paraId="54E35180"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0,8276</w:t>
            </w:r>
          </w:p>
        </w:tc>
        <w:tc>
          <w:tcPr>
            <w:tcW w:w="799" w:type="dxa"/>
            <w:shd w:val="clear" w:color="auto" w:fill="auto"/>
            <w:noWrap/>
            <w:vAlign w:val="center"/>
            <w:hideMark/>
          </w:tcPr>
          <w:p w14:paraId="2FBA89DF"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0,7245</w:t>
            </w:r>
          </w:p>
        </w:tc>
        <w:tc>
          <w:tcPr>
            <w:tcW w:w="799" w:type="dxa"/>
            <w:shd w:val="clear" w:color="auto" w:fill="auto"/>
            <w:noWrap/>
            <w:vAlign w:val="center"/>
            <w:hideMark/>
          </w:tcPr>
          <w:p w14:paraId="2247F8D8"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0,9376</w:t>
            </w:r>
          </w:p>
        </w:tc>
        <w:tc>
          <w:tcPr>
            <w:tcW w:w="799" w:type="dxa"/>
            <w:shd w:val="clear" w:color="auto" w:fill="auto"/>
            <w:noWrap/>
            <w:vAlign w:val="center"/>
            <w:hideMark/>
          </w:tcPr>
          <w:p w14:paraId="3E223F39"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0,7831</w:t>
            </w:r>
          </w:p>
        </w:tc>
        <w:tc>
          <w:tcPr>
            <w:tcW w:w="799" w:type="dxa"/>
            <w:shd w:val="clear" w:color="auto" w:fill="auto"/>
            <w:noWrap/>
            <w:vAlign w:val="center"/>
            <w:hideMark/>
          </w:tcPr>
          <w:p w14:paraId="42E055DC"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0,7457</w:t>
            </w:r>
          </w:p>
        </w:tc>
      </w:tr>
      <w:tr w:rsidR="00753A64" w:rsidRPr="00753A64" w14:paraId="1EAF8A63" w14:textId="77777777" w:rsidTr="00315358">
        <w:trPr>
          <w:trHeight w:val="454"/>
          <w:jc w:val="center"/>
        </w:trPr>
        <w:tc>
          <w:tcPr>
            <w:tcW w:w="1654" w:type="dxa"/>
            <w:shd w:val="clear" w:color="auto" w:fill="auto"/>
            <w:vAlign w:val="center"/>
            <w:hideMark/>
          </w:tcPr>
          <w:p w14:paraId="50BC16E9"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IDEB anos finais do ensino fundamental</w:t>
            </w:r>
          </w:p>
        </w:tc>
        <w:tc>
          <w:tcPr>
            <w:tcW w:w="1040" w:type="dxa"/>
            <w:shd w:val="clear" w:color="auto" w:fill="auto"/>
            <w:noWrap/>
            <w:vAlign w:val="center"/>
            <w:hideMark/>
          </w:tcPr>
          <w:p w14:paraId="5AC7D810"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4,7</w:t>
            </w:r>
          </w:p>
        </w:tc>
        <w:tc>
          <w:tcPr>
            <w:tcW w:w="1016" w:type="dxa"/>
            <w:shd w:val="clear" w:color="auto" w:fill="auto"/>
            <w:noWrap/>
            <w:vAlign w:val="center"/>
            <w:hideMark/>
          </w:tcPr>
          <w:p w14:paraId="3FB8BB79"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w:t>
            </w:r>
          </w:p>
        </w:tc>
        <w:tc>
          <w:tcPr>
            <w:tcW w:w="799" w:type="dxa"/>
            <w:shd w:val="clear" w:color="auto" w:fill="auto"/>
            <w:noWrap/>
            <w:vAlign w:val="center"/>
            <w:hideMark/>
          </w:tcPr>
          <w:p w14:paraId="2CFCECB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4,6</w:t>
            </w:r>
          </w:p>
        </w:tc>
        <w:tc>
          <w:tcPr>
            <w:tcW w:w="799" w:type="dxa"/>
            <w:shd w:val="clear" w:color="auto" w:fill="auto"/>
            <w:noWrap/>
            <w:vAlign w:val="center"/>
            <w:hideMark/>
          </w:tcPr>
          <w:p w14:paraId="7E13226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5,1</w:t>
            </w:r>
          </w:p>
        </w:tc>
        <w:tc>
          <w:tcPr>
            <w:tcW w:w="799" w:type="dxa"/>
            <w:shd w:val="clear" w:color="auto" w:fill="auto"/>
            <w:noWrap/>
            <w:vAlign w:val="center"/>
            <w:hideMark/>
          </w:tcPr>
          <w:p w14:paraId="3F1C4434"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4,4</w:t>
            </w:r>
          </w:p>
        </w:tc>
        <w:tc>
          <w:tcPr>
            <w:tcW w:w="799" w:type="dxa"/>
            <w:shd w:val="clear" w:color="auto" w:fill="auto"/>
            <w:noWrap/>
            <w:vAlign w:val="center"/>
            <w:hideMark/>
          </w:tcPr>
          <w:p w14:paraId="3A7156E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5,2</w:t>
            </w:r>
          </w:p>
        </w:tc>
        <w:tc>
          <w:tcPr>
            <w:tcW w:w="799" w:type="dxa"/>
            <w:shd w:val="clear" w:color="auto" w:fill="auto"/>
            <w:noWrap/>
            <w:vAlign w:val="center"/>
            <w:hideMark/>
          </w:tcPr>
          <w:p w14:paraId="2920D2B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4,5</w:t>
            </w:r>
          </w:p>
        </w:tc>
        <w:tc>
          <w:tcPr>
            <w:tcW w:w="799" w:type="dxa"/>
            <w:shd w:val="clear" w:color="auto" w:fill="auto"/>
            <w:noWrap/>
            <w:vAlign w:val="center"/>
            <w:hideMark/>
          </w:tcPr>
          <w:p w14:paraId="6B405952"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4,7</w:t>
            </w:r>
          </w:p>
        </w:tc>
      </w:tr>
      <w:tr w:rsidR="00753A64" w:rsidRPr="00753A64" w14:paraId="033DFE55" w14:textId="77777777" w:rsidTr="00315358">
        <w:trPr>
          <w:trHeight w:val="290"/>
          <w:jc w:val="center"/>
        </w:trPr>
        <w:tc>
          <w:tcPr>
            <w:tcW w:w="1654" w:type="dxa"/>
            <w:shd w:val="clear" w:color="auto" w:fill="auto"/>
            <w:vAlign w:val="center"/>
            <w:hideMark/>
          </w:tcPr>
          <w:p w14:paraId="4F5CCB82" w14:textId="77777777" w:rsidR="00753A64" w:rsidRPr="00B71D6C" w:rsidRDefault="00753A64" w:rsidP="00315358">
            <w:pPr>
              <w:spacing w:after="0" w:line="240" w:lineRule="auto"/>
              <w:rPr>
                <w:rFonts w:ascii="Candara" w:eastAsia="Times New Roman" w:hAnsi="Candara" w:cs="Times New Roman"/>
                <w:sz w:val="15"/>
                <w:szCs w:val="15"/>
              </w:rPr>
            </w:pPr>
            <w:r w:rsidRPr="00B71D6C">
              <w:rPr>
                <w:rFonts w:ascii="Candara" w:eastAsia="Times New Roman" w:hAnsi="Candara" w:cs="Times New Roman"/>
                <w:sz w:val="15"/>
                <w:szCs w:val="15"/>
              </w:rPr>
              <w:t>IFDM Saúde</w:t>
            </w:r>
          </w:p>
        </w:tc>
        <w:tc>
          <w:tcPr>
            <w:tcW w:w="1040" w:type="dxa"/>
            <w:shd w:val="clear" w:color="auto" w:fill="auto"/>
            <w:noWrap/>
            <w:vAlign w:val="center"/>
            <w:hideMark/>
          </w:tcPr>
          <w:p w14:paraId="35F8285F"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0,7414</w:t>
            </w:r>
          </w:p>
        </w:tc>
        <w:tc>
          <w:tcPr>
            <w:tcW w:w="1016" w:type="dxa"/>
            <w:shd w:val="clear" w:color="auto" w:fill="auto"/>
            <w:noWrap/>
            <w:vAlign w:val="center"/>
            <w:hideMark/>
          </w:tcPr>
          <w:p w14:paraId="0C319ECE"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0,7548</w:t>
            </w:r>
          </w:p>
        </w:tc>
        <w:tc>
          <w:tcPr>
            <w:tcW w:w="799" w:type="dxa"/>
            <w:shd w:val="clear" w:color="auto" w:fill="auto"/>
            <w:noWrap/>
            <w:vAlign w:val="center"/>
            <w:hideMark/>
          </w:tcPr>
          <w:p w14:paraId="66A5F397"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0,7479</w:t>
            </w:r>
          </w:p>
        </w:tc>
        <w:tc>
          <w:tcPr>
            <w:tcW w:w="799" w:type="dxa"/>
            <w:shd w:val="clear" w:color="auto" w:fill="auto"/>
            <w:noWrap/>
            <w:vAlign w:val="center"/>
            <w:hideMark/>
          </w:tcPr>
          <w:p w14:paraId="077ECEE3"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0,8978</w:t>
            </w:r>
          </w:p>
        </w:tc>
        <w:tc>
          <w:tcPr>
            <w:tcW w:w="799" w:type="dxa"/>
            <w:shd w:val="clear" w:color="auto" w:fill="auto"/>
            <w:noWrap/>
            <w:vAlign w:val="center"/>
            <w:hideMark/>
          </w:tcPr>
          <w:p w14:paraId="26D38494"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0,7715</w:t>
            </w:r>
          </w:p>
        </w:tc>
        <w:tc>
          <w:tcPr>
            <w:tcW w:w="799" w:type="dxa"/>
            <w:shd w:val="clear" w:color="auto" w:fill="auto"/>
            <w:noWrap/>
            <w:vAlign w:val="center"/>
            <w:hideMark/>
          </w:tcPr>
          <w:p w14:paraId="1B91D864"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0,8761</w:t>
            </w:r>
          </w:p>
        </w:tc>
        <w:tc>
          <w:tcPr>
            <w:tcW w:w="799" w:type="dxa"/>
            <w:shd w:val="clear" w:color="auto" w:fill="auto"/>
            <w:noWrap/>
            <w:vAlign w:val="center"/>
            <w:hideMark/>
          </w:tcPr>
          <w:p w14:paraId="452737C3"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0,8804</w:t>
            </w:r>
          </w:p>
        </w:tc>
        <w:tc>
          <w:tcPr>
            <w:tcW w:w="799" w:type="dxa"/>
            <w:shd w:val="clear" w:color="auto" w:fill="auto"/>
            <w:noWrap/>
            <w:vAlign w:val="center"/>
            <w:hideMark/>
          </w:tcPr>
          <w:p w14:paraId="0C931FF7"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0,7564</w:t>
            </w:r>
          </w:p>
        </w:tc>
      </w:tr>
      <w:tr w:rsidR="00753A64" w:rsidRPr="00753A64" w14:paraId="398F1C8B" w14:textId="77777777" w:rsidTr="00315358">
        <w:trPr>
          <w:trHeight w:val="454"/>
          <w:jc w:val="center"/>
        </w:trPr>
        <w:tc>
          <w:tcPr>
            <w:tcW w:w="1654" w:type="dxa"/>
            <w:shd w:val="clear" w:color="auto" w:fill="auto"/>
            <w:vAlign w:val="center"/>
            <w:hideMark/>
          </w:tcPr>
          <w:p w14:paraId="7C52ADCF"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Mortalidade infantil (óbitos por mil nascidos vivos)</w:t>
            </w:r>
          </w:p>
        </w:tc>
        <w:tc>
          <w:tcPr>
            <w:tcW w:w="1040" w:type="dxa"/>
            <w:shd w:val="clear" w:color="auto" w:fill="auto"/>
            <w:noWrap/>
            <w:vAlign w:val="center"/>
            <w:hideMark/>
          </w:tcPr>
          <w:p w14:paraId="0AE2E17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8,13</w:t>
            </w:r>
          </w:p>
        </w:tc>
        <w:tc>
          <w:tcPr>
            <w:tcW w:w="1016" w:type="dxa"/>
            <w:shd w:val="clear" w:color="auto" w:fill="auto"/>
            <w:noWrap/>
            <w:vAlign w:val="center"/>
            <w:hideMark/>
          </w:tcPr>
          <w:p w14:paraId="3CF0D8DE"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8,77</w:t>
            </w:r>
          </w:p>
        </w:tc>
        <w:tc>
          <w:tcPr>
            <w:tcW w:w="799" w:type="dxa"/>
            <w:shd w:val="clear" w:color="auto" w:fill="auto"/>
            <w:noWrap/>
            <w:vAlign w:val="center"/>
            <w:hideMark/>
          </w:tcPr>
          <w:p w14:paraId="7EBC846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8,65</w:t>
            </w:r>
          </w:p>
        </w:tc>
        <w:tc>
          <w:tcPr>
            <w:tcW w:w="799" w:type="dxa"/>
            <w:shd w:val="clear" w:color="auto" w:fill="auto"/>
            <w:noWrap/>
            <w:vAlign w:val="center"/>
            <w:hideMark/>
          </w:tcPr>
          <w:p w14:paraId="21314A40"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10,29</w:t>
            </w:r>
          </w:p>
        </w:tc>
        <w:tc>
          <w:tcPr>
            <w:tcW w:w="799" w:type="dxa"/>
            <w:shd w:val="clear" w:color="auto" w:fill="auto"/>
            <w:noWrap/>
            <w:vAlign w:val="center"/>
            <w:hideMark/>
          </w:tcPr>
          <w:p w14:paraId="7AFA4E71"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21,15</w:t>
            </w:r>
          </w:p>
        </w:tc>
        <w:tc>
          <w:tcPr>
            <w:tcW w:w="799" w:type="dxa"/>
            <w:shd w:val="clear" w:color="auto" w:fill="auto"/>
            <w:noWrap/>
            <w:vAlign w:val="center"/>
            <w:hideMark/>
          </w:tcPr>
          <w:p w14:paraId="6FA0330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21,23</w:t>
            </w:r>
          </w:p>
        </w:tc>
        <w:tc>
          <w:tcPr>
            <w:tcW w:w="799" w:type="dxa"/>
            <w:shd w:val="clear" w:color="auto" w:fill="auto"/>
            <w:noWrap/>
            <w:vAlign w:val="center"/>
            <w:hideMark/>
          </w:tcPr>
          <w:p w14:paraId="6FD31FB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8,98</w:t>
            </w:r>
          </w:p>
        </w:tc>
        <w:tc>
          <w:tcPr>
            <w:tcW w:w="799" w:type="dxa"/>
            <w:shd w:val="clear" w:color="auto" w:fill="auto"/>
            <w:noWrap/>
            <w:vAlign w:val="center"/>
            <w:hideMark/>
          </w:tcPr>
          <w:p w14:paraId="1174668E"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16,83</w:t>
            </w:r>
          </w:p>
        </w:tc>
      </w:tr>
      <w:tr w:rsidR="00753A64" w:rsidRPr="00753A64" w14:paraId="51215217" w14:textId="77777777" w:rsidTr="00315358">
        <w:trPr>
          <w:trHeight w:val="567"/>
          <w:jc w:val="center"/>
        </w:trPr>
        <w:tc>
          <w:tcPr>
            <w:tcW w:w="1654" w:type="dxa"/>
            <w:shd w:val="clear" w:color="auto" w:fill="auto"/>
            <w:vAlign w:val="center"/>
            <w:hideMark/>
          </w:tcPr>
          <w:p w14:paraId="4246DADC"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 xml:space="preserve">Número de ligações ativas abastecidas por </w:t>
            </w:r>
            <w:proofErr w:type="gramStart"/>
            <w:r w:rsidRPr="00B71D6C">
              <w:rPr>
                <w:rFonts w:ascii="Candara" w:eastAsia="Times New Roman" w:hAnsi="Candara" w:cs="Times New Roman"/>
                <w:color w:val="000000"/>
                <w:sz w:val="15"/>
                <w:szCs w:val="15"/>
              </w:rPr>
              <w:t>água  -</w:t>
            </w:r>
            <w:proofErr w:type="gramEnd"/>
            <w:r w:rsidRPr="00B71D6C">
              <w:rPr>
                <w:rFonts w:ascii="Candara" w:eastAsia="Times New Roman" w:hAnsi="Candara" w:cs="Times New Roman"/>
                <w:color w:val="000000"/>
                <w:sz w:val="15"/>
                <w:szCs w:val="15"/>
              </w:rPr>
              <w:t xml:space="preserve"> rede (urbano) (Unidades)</w:t>
            </w:r>
          </w:p>
        </w:tc>
        <w:tc>
          <w:tcPr>
            <w:tcW w:w="1040" w:type="dxa"/>
            <w:shd w:val="clear" w:color="auto" w:fill="auto"/>
            <w:noWrap/>
            <w:vAlign w:val="center"/>
            <w:hideMark/>
          </w:tcPr>
          <w:p w14:paraId="3347060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97,5</w:t>
            </w:r>
          </w:p>
        </w:tc>
        <w:tc>
          <w:tcPr>
            <w:tcW w:w="1016" w:type="dxa"/>
            <w:shd w:val="clear" w:color="auto" w:fill="auto"/>
            <w:noWrap/>
            <w:vAlign w:val="center"/>
            <w:hideMark/>
          </w:tcPr>
          <w:p w14:paraId="46BE5DA2"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98,2</w:t>
            </w:r>
          </w:p>
        </w:tc>
        <w:tc>
          <w:tcPr>
            <w:tcW w:w="799" w:type="dxa"/>
            <w:shd w:val="clear" w:color="auto" w:fill="auto"/>
            <w:noWrap/>
            <w:vAlign w:val="center"/>
            <w:hideMark/>
          </w:tcPr>
          <w:p w14:paraId="101AE0B4"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96,9</w:t>
            </w:r>
          </w:p>
        </w:tc>
        <w:tc>
          <w:tcPr>
            <w:tcW w:w="799" w:type="dxa"/>
            <w:shd w:val="clear" w:color="auto" w:fill="auto"/>
            <w:noWrap/>
            <w:vAlign w:val="center"/>
            <w:hideMark/>
          </w:tcPr>
          <w:p w14:paraId="722B0C7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87,4</w:t>
            </w:r>
          </w:p>
        </w:tc>
        <w:tc>
          <w:tcPr>
            <w:tcW w:w="799" w:type="dxa"/>
            <w:shd w:val="clear" w:color="auto" w:fill="auto"/>
            <w:noWrap/>
            <w:vAlign w:val="center"/>
            <w:hideMark/>
          </w:tcPr>
          <w:p w14:paraId="788B12F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94,1</w:t>
            </w:r>
          </w:p>
        </w:tc>
        <w:tc>
          <w:tcPr>
            <w:tcW w:w="799" w:type="dxa"/>
            <w:shd w:val="clear" w:color="auto" w:fill="auto"/>
            <w:noWrap/>
            <w:vAlign w:val="center"/>
            <w:hideMark/>
          </w:tcPr>
          <w:p w14:paraId="0A637BCE"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99,6</w:t>
            </w:r>
          </w:p>
        </w:tc>
        <w:tc>
          <w:tcPr>
            <w:tcW w:w="799" w:type="dxa"/>
            <w:shd w:val="clear" w:color="auto" w:fill="auto"/>
            <w:noWrap/>
            <w:vAlign w:val="center"/>
            <w:hideMark/>
          </w:tcPr>
          <w:p w14:paraId="25913AD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91,7</w:t>
            </w:r>
          </w:p>
        </w:tc>
        <w:tc>
          <w:tcPr>
            <w:tcW w:w="799" w:type="dxa"/>
            <w:shd w:val="clear" w:color="auto" w:fill="auto"/>
            <w:noWrap/>
            <w:vAlign w:val="center"/>
            <w:hideMark/>
          </w:tcPr>
          <w:p w14:paraId="4F8C36D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97,3</w:t>
            </w:r>
          </w:p>
        </w:tc>
      </w:tr>
      <w:tr w:rsidR="00753A64" w:rsidRPr="00753A64" w14:paraId="3C3B88E5" w14:textId="77777777" w:rsidTr="00315358">
        <w:trPr>
          <w:trHeight w:val="454"/>
          <w:jc w:val="center"/>
        </w:trPr>
        <w:tc>
          <w:tcPr>
            <w:tcW w:w="1654" w:type="dxa"/>
            <w:shd w:val="clear" w:color="auto" w:fill="auto"/>
            <w:vAlign w:val="center"/>
            <w:hideMark/>
          </w:tcPr>
          <w:p w14:paraId="065710BB"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 xml:space="preserve"> Volume de água consumida por dia (Metros cúbicos)</w:t>
            </w:r>
          </w:p>
        </w:tc>
        <w:tc>
          <w:tcPr>
            <w:tcW w:w="1040" w:type="dxa"/>
            <w:shd w:val="clear" w:color="auto" w:fill="auto"/>
            <w:noWrap/>
            <w:vAlign w:val="center"/>
            <w:hideMark/>
          </w:tcPr>
          <w:p w14:paraId="5529774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5355</w:t>
            </w:r>
          </w:p>
        </w:tc>
        <w:tc>
          <w:tcPr>
            <w:tcW w:w="1016" w:type="dxa"/>
            <w:shd w:val="clear" w:color="auto" w:fill="auto"/>
            <w:noWrap/>
            <w:vAlign w:val="center"/>
            <w:hideMark/>
          </w:tcPr>
          <w:p w14:paraId="32D1B21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792</w:t>
            </w:r>
          </w:p>
        </w:tc>
        <w:tc>
          <w:tcPr>
            <w:tcW w:w="799" w:type="dxa"/>
            <w:shd w:val="clear" w:color="auto" w:fill="auto"/>
            <w:noWrap/>
            <w:vAlign w:val="center"/>
            <w:hideMark/>
          </w:tcPr>
          <w:p w14:paraId="31AADBC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2949</w:t>
            </w:r>
          </w:p>
        </w:tc>
        <w:tc>
          <w:tcPr>
            <w:tcW w:w="799" w:type="dxa"/>
            <w:shd w:val="clear" w:color="auto" w:fill="auto"/>
            <w:noWrap/>
            <w:vAlign w:val="center"/>
            <w:hideMark/>
          </w:tcPr>
          <w:p w14:paraId="02BE219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141396</w:t>
            </w:r>
          </w:p>
        </w:tc>
        <w:tc>
          <w:tcPr>
            <w:tcW w:w="799" w:type="dxa"/>
            <w:shd w:val="clear" w:color="auto" w:fill="auto"/>
            <w:noWrap/>
            <w:vAlign w:val="center"/>
            <w:hideMark/>
          </w:tcPr>
          <w:p w14:paraId="531B251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10961</w:t>
            </w:r>
          </w:p>
        </w:tc>
        <w:tc>
          <w:tcPr>
            <w:tcW w:w="799" w:type="dxa"/>
            <w:shd w:val="clear" w:color="auto" w:fill="auto"/>
            <w:noWrap/>
            <w:vAlign w:val="center"/>
            <w:hideMark/>
          </w:tcPr>
          <w:p w14:paraId="536C07D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0</w:t>
            </w:r>
          </w:p>
        </w:tc>
        <w:tc>
          <w:tcPr>
            <w:tcW w:w="799" w:type="dxa"/>
            <w:shd w:val="clear" w:color="auto" w:fill="auto"/>
            <w:noWrap/>
            <w:vAlign w:val="center"/>
            <w:hideMark/>
          </w:tcPr>
          <w:p w14:paraId="7276351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30509</w:t>
            </w:r>
          </w:p>
        </w:tc>
        <w:tc>
          <w:tcPr>
            <w:tcW w:w="799" w:type="dxa"/>
            <w:shd w:val="clear" w:color="auto" w:fill="auto"/>
            <w:noWrap/>
            <w:vAlign w:val="center"/>
            <w:hideMark/>
          </w:tcPr>
          <w:p w14:paraId="3BE0DAE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3166</w:t>
            </w:r>
          </w:p>
        </w:tc>
      </w:tr>
      <w:tr w:rsidR="00753A64" w:rsidRPr="00753A64" w14:paraId="3C5775B3" w14:textId="77777777" w:rsidTr="00315358">
        <w:trPr>
          <w:trHeight w:val="454"/>
          <w:jc w:val="center"/>
        </w:trPr>
        <w:tc>
          <w:tcPr>
            <w:tcW w:w="1654" w:type="dxa"/>
            <w:shd w:val="clear" w:color="auto" w:fill="auto"/>
            <w:vAlign w:val="center"/>
            <w:hideMark/>
          </w:tcPr>
          <w:p w14:paraId="52FF8804"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Esgotamento sanitário adequado (percentual)</w:t>
            </w:r>
          </w:p>
        </w:tc>
        <w:tc>
          <w:tcPr>
            <w:tcW w:w="1040" w:type="dxa"/>
            <w:shd w:val="clear" w:color="auto" w:fill="auto"/>
            <w:noWrap/>
            <w:vAlign w:val="center"/>
            <w:hideMark/>
          </w:tcPr>
          <w:p w14:paraId="3011DE9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28,2</w:t>
            </w:r>
          </w:p>
        </w:tc>
        <w:tc>
          <w:tcPr>
            <w:tcW w:w="1016" w:type="dxa"/>
            <w:shd w:val="clear" w:color="auto" w:fill="auto"/>
            <w:noWrap/>
            <w:vAlign w:val="center"/>
            <w:hideMark/>
          </w:tcPr>
          <w:p w14:paraId="3895183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66,3</w:t>
            </w:r>
          </w:p>
        </w:tc>
        <w:tc>
          <w:tcPr>
            <w:tcW w:w="799" w:type="dxa"/>
            <w:shd w:val="clear" w:color="auto" w:fill="auto"/>
            <w:noWrap/>
            <w:vAlign w:val="center"/>
            <w:hideMark/>
          </w:tcPr>
          <w:p w14:paraId="4ACF4CF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82</w:t>
            </w:r>
          </w:p>
        </w:tc>
        <w:tc>
          <w:tcPr>
            <w:tcW w:w="799" w:type="dxa"/>
            <w:shd w:val="clear" w:color="auto" w:fill="auto"/>
            <w:noWrap/>
            <w:vAlign w:val="center"/>
            <w:hideMark/>
          </w:tcPr>
          <w:p w14:paraId="0DC7E4F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58,7</w:t>
            </w:r>
          </w:p>
        </w:tc>
        <w:tc>
          <w:tcPr>
            <w:tcW w:w="799" w:type="dxa"/>
            <w:shd w:val="clear" w:color="auto" w:fill="auto"/>
            <w:noWrap/>
            <w:vAlign w:val="center"/>
            <w:hideMark/>
          </w:tcPr>
          <w:p w14:paraId="48A8882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19,3</w:t>
            </w:r>
          </w:p>
        </w:tc>
        <w:tc>
          <w:tcPr>
            <w:tcW w:w="799" w:type="dxa"/>
            <w:shd w:val="clear" w:color="auto" w:fill="auto"/>
            <w:noWrap/>
            <w:vAlign w:val="center"/>
            <w:hideMark/>
          </w:tcPr>
          <w:p w14:paraId="047C8D5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45,6</w:t>
            </w:r>
          </w:p>
        </w:tc>
        <w:tc>
          <w:tcPr>
            <w:tcW w:w="799" w:type="dxa"/>
            <w:shd w:val="clear" w:color="auto" w:fill="auto"/>
            <w:noWrap/>
            <w:vAlign w:val="center"/>
            <w:hideMark/>
          </w:tcPr>
          <w:p w14:paraId="3946695E"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50,7</w:t>
            </w:r>
          </w:p>
        </w:tc>
        <w:tc>
          <w:tcPr>
            <w:tcW w:w="799" w:type="dxa"/>
            <w:shd w:val="clear" w:color="auto" w:fill="auto"/>
            <w:noWrap/>
            <w:vAlign w:val="center"/>
            <w:hideMark/>
          </w:tcPr>
          <w:p w14:paraId="5D45082C"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31,7</w:t>
            </w:r>
          </w:p>
        </w:tc>
      </w:tr>
      <w:tr w:rsidR="00753A64" w:rsidRPr="00753A64" w14:paraId="409520C9" w14:textId="77777777" w:rsidTr="00315358">
        <w:trPr>
          <w:trHeight w:val="283"/>
          <w:jc w:val="center"/>
        </w:trPr>
        <w:tc>
          <w:tcPr>
            <w:tcW w:w="1654" w:type="dxa"/>
            <w:shd w:val="clear" w:color="auto" w:fill="auto"/>
            <w:vAlign w:val="center"/>
            <w:hideMark/>
          </w:tcPr>
          <w:p w14:paraId="024B1538"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Salário médio mensal</w:t>
            </w:r>
          </w:p>
        </w:tc>
        <w:tc>
          <w:tcPr>
            <w:tcW w:w="1040" w:type="dxa"/>
            <w:shd w:val="clear" w:color="auto" w:fill="auto"/>
            <w:noWrap/>
            <w:vAlign w:val="center"/>
            <w:hideMark/>
          </w:tcPr>
          <w:p w14:paraId="1579B9D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2508</w:t>
            </w:r>
          </w:p>
        </w:tc>
        <w:tc>
          <w:tcPr>
            <w:tcW w:w="1016" w:type="dxa"/>
            <w:shd w:val="clear" w:color="auto" w:fill="auto"/>
            <w:noWrap/>
            <w:vAlign w:val="center"/>
            <w:hideMark/>
          </w:tcPr>
          <w:p w14:paraId="79DC602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3168</w:t>
            </w:r>
          </w:p>
        </w:tc>
        <w:tc>
          <w:tcPr>
            <w:tcW w:w="799" w:type="dxa"/>
            <w:shd w:val="clear" w:color="auto" w:fill="auto"/>
            <w:noWrap/>
            <w:vAlign w:val="center"/>
            <w:hideMark/>
          </w:tcPr>
          <w:p w14:paraId="1661953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2772</w:t>
            </w:r>
          </w:p>
        </w:tc>
        <w:tc>
          <w:tcPr>
            <w:tcW w:w="799" w:type="dxa"/>
            <w:shd w:val="clear" w:color="auto" w:fill="auto"/>
            <w:noWrap/>
            <w:vAlign w:val="center"/>
            <w:hideMark/>
          </w:tcPr>
          <w:p w14:paraId="38A6C2F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4488</w:t>
            </w:r>
          </w:p>
        </w:tc>
        <w:tc>
          <w:tcPr>
            <w:tcW w:w="799" w:type="dxa"/>
            <w:shd w:val="clear" w:color="auto" w:fill="auto"/>
            <w:noWrap/>
            <w:vAlign w:val="center"/>
            <w:hideMark/>
          </w:tcPr>
          <w:p w14:paraId="7093337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3696</w:t>
            </w:r>
          </w:p>
        </w:tc>
        <w:tc>
          <w:tcPr>
            <w:tcW w:w="799" w:type="dxa"/>
            <w:shd w:val="clear" w:color="auto" w:fill="auto"/>
            <w:noWrap/>
            <w:vAlign w:val="center"/>
            <w:hideMark/>
          </w:tcPr>
          <w:p w14:paraId="5A2AF22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3300</w:t>
            </w:r>
          </w:p>
        </w:tc>
        <w:tc>
          <w:tcPr>
            <w:tcW w:w="799" w:type="dxa"/>
            <w:shd w:val="clear" w:color="auto" w:fill="auto"/>
            <w:noWrap/>
            <w:vAlign w:val="center"/>
            <w:hideMark/>
          </w:tcPr>
          <w:p w14:paraId="3C981DAE"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3300</w:t>
            </w:r>
          </w:p>
        </w:tc>
        <w:tc>
          <w:tcPr>
            <w:tcW w:w="799" w:type="dxa"/>
            <w:shd w:val="clear" w:color="auto" w:fill="auto"/>
            <w:noWrap/>
            <w:vAlign w:val="center"/>
            <w:hideMark/>
          </w:tcPr>
          <w:p w14:paraId="32B76471"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2640</w:t>
            </w:r>
          </w:p>
        </w:tc>
      </w:tr>
      <w:tr w:rsidR="00753A64" w:rsidRPr="00753A64" w14:paraId="7E06A4D1" w14:textId="77777777" w:rsidTr="00315358">
        <w:trPr>
          <w:trHeight w:val="283"/>
          <w:jc w:val="center"/>
        </w:trPr>
        <w:tc>
          <w:tcPr>
            <w:tcW w:w="1654" w:type="dxa"/>
            <w:shd w:val="clear" w:color="auto" w:fill="auto"/>
            <w:noWrap/>
            <w:vAlign w:val="center"/>
            <w:hideMark/>
          </w:tcPr>
          <w:p w14:paraId="3417A1C7"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PIB per capita</w:t>
            </w:r>
          </w:p>
        </w:tc>
        <w:tc>
          <w:tcPr>
            <w:tcW w:w="1040" w:type="dxa"/>
            <w:shd w:val="clear" w:color="auto" w:fill="auto"/>
            <w:noWrap/>
            <w:vAlign w:val="center"/>
            <w:hideMark/>
          </w:tcPr>
          <w:p w14:paraId="09A6123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21.548,90</w:t>
            </w:r>
          </w:p>
        </w:tc>
        <w:tc>
          <w:tcPr>
            <w:tcW w:w="1016" w:type="dxa"/>
            <w:shd w:val="clear" w:color="auto" w:fill="auto"/>
            <w:noWrap/>
            <w:vAlign w:val="center"/>
            <w:hideMark/>
          </w:tcPr>
          <w:p w14:paraId="43153699"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33.838,02</w:t>
            </w:r>
          </w:p>
        </w:tc>
        <w:tc>
          <w:tcPr>
            <w:tcW w:w="799" w:type="dxa"/>
            <w:shd w:val="clear" w:color="auto" w:fill="auto"/>
            <w:noWrap/>
            <w:vAlign w:val="center"/>
            <w:hideMark/>
          </w:tcPr>
          <w:p w14:paraId="1FDC600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43.851,21</w:t>
            </w:r>
          </w:p>
        </w:tc>
        <w:tc>
          <w:tcPr>
            <w:tcW w:w="799" w:type="dxa"/>
            <w:shd w:val="clear" w:color="auto" w:fill="auto"/>
            <w:noWrap/>
            <w:vAlign w:val="center"/>
            <w:hideMark/>
          </w:tcPr>
          <w:p w14:paraId="645CBB3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33.243,63</w:t>
            </w:r>
          </w:p>
        </w:tc>
        <w:tc>
          <w:tcPr>
            <w:tcW w:w="799" w:type="dxa"/>
            <w:shd w:val="clear" w:color="auto" w:fill="auto"/>
            <w:noWrap/>
            <w:vAlign w:val="center"/>
            <w:hideMark/>
          </w:tcPr>
          <w:p w14:paraId="5487228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25.756,90</w:t>
            </w:r>
          </w:p>
        </w:tc>
        <w:tc>
          <w:tcPr>
            <w:tcW w:w="799" w:type="dxa"/>
            <w:shd w:val="clear" w:color="auto" w:fill="auto"/>
            <w:noWrap/>
            <w:vAlign w:val="center"/>
            <w:hideMark/>
          </w:tcPr>
          <w:p w14:paraId="5F45081C"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93.009,60</w:t>
            </w:r>
          </w:p>
        </w:tc>
        <w:tc>
          <w:tcPr>
            <w:tcW w:w="799" w:type="dxa"/>
            <w:shd w:val="clear" w:color="auto" w:fill="auto"/>
            <w:noWrap/>
            <w:vAlign w:val="center"/>
            <w:hideMark/>
          </w:tcPr>
          <w:p w14:paraId="7654FD4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48.135,57</w:t>
            </w:r>
          </w:p>
        </w:tc>
        <w:tc>
          <w:tcPr>
            <w:tcW w:w="799" w:type="dxa"/>
            <w:shd w:val="clear" w:color="auto" w:fill="auto"/>
            <w:noWrap/>
            <w:vAlign w:val="center"/>
            <w:hideMark/>
          </w:tcPr>
          <w:p w14:paraId="358658B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27.277,12</w:t>
            </w:r>
          </w:p>
        </w:tc>
      </w:tr>
      <w:tr w:rsidR="00753A64" w:rsidRPr="00753A64" w14:paraId="3DAB3A1E" w14:textId="77777777" w:rsidTr="00315358">
        <w:trPr>
          <w:trHeight w:val="283"/>
          <w:jc w:val="center"/>
        </w:trPr>
        <w:tc>
          <w:tcPr>
            <w:tcW w:w="1654" w:type="dxa"/>
            <w:shd w:val="clear" w:color="auto" w:fill="auto"/>
            <w:vAlign w:val="center"/>
            <w:hideMark/>
          </w:tcPr>
          <w:p w14:paraId="5FEDF08B"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População ocupada (percentual)</w:t>
            </w:r>
          </w:p>
        </w:tc>
        <w:tc>
          <w:tcPr>
            <w:tcW w:w="1040" w:type="dxa"/>
            <w:shd w:val="clear" w:color="auto" w:fill="auto"/>
            <w:noWrap/>
            <w:vAlign w:val="center"/>
            <w:hideMark/>
          </w:tcPr>
          <w:p w14:paraId="4631DFD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13,1</w:t>
            </w:r>
          </w:p>
        </w:tc>
        <w:tc>
          <w:tcPr>
            <w:tcW w:w="1016" w:type="dxa"/>
            <w:shd w:val="clear" w:color="auto" w:fill="auto"/>
            <w:noWrap/>
            <w:vAlign w:val="center"/>
            <w:hideMark/>
          </w:tcPr>
          <w:p w14:paraId="0264D85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18,1</w:t>
            </w:r>
          </w:p>
        </w:tc>
        <w:tc>
          <w:tcPr>
            <w:tcW w:w="799" w:type="dxa"/>
            <w:shd w:val="clear" w:color="auto" w:fill="auto"/>
            <w:noWrap/>
            <w:vAlign w:val="center"/>
            <w:hideMark/>
          </w:tcPr>
          <w:p w14:paraId="71CBE23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24,1</w:t>
            </w:r>
          </w:p>
        </w:tc>
        <w:tc>
          <w:tcPr>
            <w:tcW w:w="799" w:type="dxa"/>
            <w:shd w:val="clear" w:color="auto" w:fill="auto"/>
            <w:noWrap/>
            <w:vAlign w:val="center"/>
            <w:hideMark/>
          </w:tcPr>
          <w:p w14:paraId="35B2075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33,3</w:t>
            </w:r>
          </w:p>
        </w:tc>
        <w:tc>
          <w:tcPr>
            <w:tcW w:w="799" w:type="dxa"/>
            <w:shd w:val="clear" w:color="auto" w:fill="auto"/>
            <w:noWrap/>
            <w:vAlign w:val="center"/>
            <w:hideMark/>
          </w:tcPr>
          <w:p w14:paraId="09D0575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14,5</w:t>
            </w:r>
          </w:p>
        </w:tc>
        <w:tc>
          <w:tcPr>
            <w:tcW w:w="799" w:type="dxa"/>
            <w:shd w:val="clear" w:color="auto" w:fill="auto"/>
            <w:noWrap/>
            <w:vAlign w:val="center"/>
            <w:hideMark/>
          </w:tcPr>
          <w:p w14:paraId="18B484EC"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26,8</w:t>
            </w:r>
          </w:p>
        </w:tc>
        <w:tc>
          <w:tcPr>
            <w:tcW w:w="799" w:type="dxa"/>
            <w:shd w:val="clear" w:color="auto" w:fill="auto"/>
            <w:noWrap/>
            <w:vAlign w:val="center"/>
            <w:hideMark/>
          </w:tcPr>
          <w:p w14:paraId="605C080E"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31,1</w:t>
            </w:r>
          </w:p>
        </w:tc>
        <w:tc>
          <w:tcPr>
            <w:tcW w:w="799" w:type="dxa"/>
            <w:shd w:val="clear" w:color="auto" w:fill="auto"/>
            <w:noWrap/>
            <w:vAlign w:val="center"/>
            <w:hideMark/>
          </w:tcPr>
          <w:p w14:paraId="45ADF560"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14,5</w:t>
            </w:r>
          </w:p>
        </w:tc>
      </w:tr>
      <w:tr w:rsidR="00753A64" w:rsidRPr="00753A64" w14:paraId="2123ECEE" w14:textId="77777777" w:rsidTr="00315358">
        <w:trPr>
          <w:trHeight w:val="454"/>
          <w:jc w:val="center"/>
        </w:trPr>
        <w:tc>
          <w:tcPr>
            <w:tcW w:w="1654" w:type="dxa"/>
            <w:shd w:val="clear" w:color="auto" w:fill="auto"/>
            <w:vAlign w:val="center"/>
            <w:hideMark/>
          </w:tcPr>
          <w:p w14:paraId="6CE16D5C"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 xml:space="preserve">População com rendimento até 1/2 </w:t>
            </w:r>
            <w:proofErr w:type="gramStart"/>
            <w:r w:rsidRPr="00B71D6C">
              <w:rPr>
                <w:rFonts w:ascii="Candara" w:eastAsia="Times New Roman" w:hAnsi="Candara" w:cs="Times New Roman"/>
                <w:color w:val="000000"/>
                <w:sz w:val="15"/>
                <w:szCs w:val="15"/>
              </w:rPr>
              <w:t>salário mínimo</w:t>
            </w:r>
            <w:proofErr w:type="gramEnd"/>
            <w:r w:rsidRPr="00B71D6C">
              <w:rPr>
                <w:rFonts w:ascii="Candara" w:eastAsia="Times New Roman" w:hAnsi="Candara" w:cs="Times New Roman"/>
                <w:color w:val="000000"/>
                <w:sz w:val="15"/>
                <w:szCs w:val="15"/>
              </w:rPr>
              <w:t xml:space="preserve"> (percentual)</w:t>
            </w:r>
          </w:p>
        </w:tc>
        <w:tc>
          <w:tcPr>
            <w:tcW w:w="1040" w:type="dxa"/>
            <w:shd w:val="clear" w:color="auto" w:fill="auto"/>
            <w:noWrap/>
            <w:vAlign w:val="center"/>
            <w:hideMark/>
          </w:tcPr>
          <w:p w14:paraId="1F2D41C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38</w:t>
            </w:r>
          </w:p>
        </w:tc>
        <w:tc>
          <w:tcPr>
            <w:tcW w:w="1016" w:type="dxa"/>
            <w:shd w:val="clear" w:color="auto" w:fill="auto"/>
            <w:noWrap/>
            <w:vAlign w:val="center"/>
            <w:hideMark/>
          </w:tcPr>
          <w:p w14:paraId="26425E8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39,4</w:t>
            </w:r>
          </w:p>
        </w:tc>
        <w:tc>
          <w:tcPr>
            <w:tcW w:w="799" w:type="dxa"/>
            <w:shd w:val="clear" w:color="auto" w:fill="auto"/>
            <w:noWrap/>
            <w:vAlign w:val="center"/>
            <w:hideMark/>
          </w:tcPr>
          <w:p w14:paraId="5B30D042"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31,5</w:t>
            </w:r>
          </w:p>
        </w:tc>
        <w:tc>
          <w:tcPr>
            <w:tcW w:w="799" w:type="dxa"/>
            <w:shd w:val="clear" w:color="auto" w:fill="auto"/>
            <w:noWrap/>
            <w:vAlign w:val="center"/>
            <w:hideMark/>
          </w:tcPr>
          <w:p w14:paraId="7AB259C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30,3</w:t>
            </w:r>
          </w:p>
        </w:tc>
        <w:tc>
          <w:tcPr>
            <w:tcW w:w="799" w:type="dxa"/>
            <w:shd w:val="clear" w:color="auto" w:fill="auto"/>
            <w:noWrap/>
            <w:vAlign w:val="center"/>
            <w:hideMark/>
          </w:tcPr>
          <w:p w14:paraId="272C07E8"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37,6</w:t>
            </w:r>
          </w:p>
        </w:tc>
        <w:tc>
          <w:tcPr>
            <w:tcW w:w="799" w:type="dxa"/>
            <w:shd w:val="clear" w:color="auto" w:fill="auto"/>
            <w:noWrap/>
            <w:vAlign w:val="center"/>
            <w:hideMark/>
          </w:tcPr>
          <w:p w14:paraId="5F3821A0"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32,5</w:t>
            </w:r>
          </w:p>
        </w:tc>
        <w:tc>
          <w:tcPr>
            <w:tcW w:w="799" w:type="dxa"/>
            <w:shd w:val="clear" w:color="auto" w:fill="auto"/>
            <w:noWrap/>
            <w:vAlign w:val="center"/>
            <w:hideMark/>
          </w:tcPr>
          <w:p w14:paraId="076EE8D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30,8</w:t>
            </w:r>
          </w:p>
        </w:tc>
        <w:tc>
          <w:tcPr>
            <w:tcW w:w="799" w:type="dxa"/>
            <w:shd w:val="clear" w:color="auto" w:fill="auto"/>
            <w:noWrap/>
            <w:vAlign w:val="center"/>
            <w:hideMark/>
          </w:tcPr>
          <w:p w14:paraId="44E85C2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35,2</w:t>
            </w:r>
          </w:p>
        </w:tc>
      </w:tr>
      <w:tr w:rsidR="00753A64" w:rsidRPr="00753A64" w14:paraId="45DE1E7B" w14:textId="77777777" w:rsidTr="00BC3323">
        <w:trPr>
          <w:trHeight w:val="376"/>
          <w:jc w:val="center"/>
        </w:trPr>
        <w:tc>
          <w:tcPr>
            <w:tcW w:w="1654" w:type="dxa"/>
            <w:shd w:val="clear" w:color="auto" w:fill="auto"/>
            <w:vAlign w:val="center"/>
            <w:hideMark/>
          </w:tcPr>
          <w:p w14:paraId="7A45391B" w14:textId="77777777" w:rsidR="00753A64" w:rsidRPr="00B71D6C" w:rsidRDefault="00753A64" w:rsidP="00315358">
            <w:pPr>
              <w:spacing w:after="0" w:line="240" w:lineRule="auto"/>
              <w:rPr>
                <w:rFonts w:ascii="Candara" w:eastAsia="Times New Roman" w:hAnsi="Candara" w:cs="Times New Roman"/>
                <w:sz w:val="15"/>
                <w:szCs w:val="15"/>
              </w:rPr>
            </w:pPr>
            <w:r w:rsidRPr="00B71D6C">
              <w:rPr>
                <w:rFonts w:ascii="Candara" w:eastAsia="Times New Roman" w:hAnsi="Candara" w:cs="Times New Roman"/>
                <w:sz w:val="15"/>
                <w:szCs w:val="15"/>
              </w:rPr>
              <w:t xml:space="preserve">Percentual do Valor adicionado bruto (VAB) de Serviços – exceto Administração defesa, educação e saúde </w:t>
            </w:r>
            <w:r w:rsidRPr="00B71D6C">
              <w:rPr>
                <w:rFonts w:ascii="Candara" w:eastAsia="Times New Roman" w:hAnsi="Candara" w:cs="Times New Roman"/>
                <w:sz w:val="15"/>
                <w:szCs w:val="15"/>
              </w:rPr>
              <w:lastRenderedPageBreak/>
              <w:t>públicas e seguridade social (R$ 1.000)</w:t>
            </w:r>
          </w:p>
        </w:tc>
        <w:tc>
          <w:tcPr>
            <w:tcW w:w="1040" w:type="dxa"/>
            <w:shd w:val="clear" w:color="auto" w:fill="auto"/>
            <w:noWrap/>
            <w:vAlign w:val="center"/>
            <w:hideMark/>
          </w:tcPr>
          <w:p w14:paraId="4CACA80F"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lastRenderedPageBreak/>
              <w:t>42</w:t>
            </w:r>
          </w:p>
        </w:tc>
        <w:tc>
          <w:tcPr>
            <w:tcW w:w="1016" w:type="dxa"/>
            <w:shd w:val="clear" w:color="auto" w:fill="auto"/>
            <w:noWrap/>
            <w:vAlign w:val="center"/>
            <w:hideMark/>
          </w:tcPr>
          <w:p w14:paraId="16B82CFB"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28</w:t>
            </w:r>
          </w:p>
        </w:tc>
        <w:tc>
          <w:tcPr>
            <w:tcW w:w="799" w:type="dxa"/>
            <w:shd w:val="clear" w:color="auto" w:fill="auto"/>
            <w:noWrap/>
            <w:vAlign w:val="center"/>
            <w:hideMark/>
          </w:tcPr>
          <w:p w14:paraId="32A25162"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 xml:space="preserve">47 </w:t>
            </w:r>
          </w:p>
        </w:tc>
        <w:tc>
          <w:tcPr>
            <w:tcW w:w="799" w:type="dxa"/>
            <w:shd w:val="clear" w:color="auto" w:fill="auto"/>
            <w:noWrap/>
            <w:vAlign w:val="center"/>
            <w:hideMark/>
          </w:tcPr>
          <w:p w14:paraId="1818D8EC"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61</w:t>
            </w:r>
          </w:p>
        </w:tc>
        <w:tc>
          <w:tcPr>
            <w:tcW w:w="799" w:type="dxa"/>
            <w:shd w:val="clear" w:color="auto" w:fill="auto"/>
            <w:noWrap/>
            <w:vAlign w:val="center"/>
            <w:hideMark/>
          </w:tcPr>
          <w:p w14:paraId="0C4691AE"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 xml:space="preserve">43 </w:t>
            </w:r>
          </w:p>
        </w:tc>
        <w:tc>
          <w:tcPr>
            <w:tcW w:w="799" w:type="dxa"/>
            <w:shd w:val="clear" w:color="auto" w:fill="auto"/>
            <w:noWrap/>
            <w:vAlign w:val="center"/>
            <w:hideMark/>
          </w:tcPr>
          <w:p w14:paraId="0A4F7FAE"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 xml:space="preserve">24 </w:t>
            </w:r>
          </w:p>
        </w:tc>
        <w:tc>
          <w:tcPr>
            <w:tcW w:w="799" w:type="dxa"/>
            <w:shd w:val="clear" w:color="auto" w:fill="auto"/>
            <w:noWrap/>
            <w:vAlign w:val="center"/>
            <w:hideMark/>
          </w:tcPr>
          <w:p w14:paraId="26E1E3EB"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 xml:space="preserve">60 </w:t>
            </w:r>
          </w:p>
        </w:tc>
        <w:tc>
          <w:tcPr>
            <w:tcW w:w="799" w:type="dxa"/>
            <w:shd w:val="clear" w:color="auto" w:fill="auto"/>
            <w:noWrap/>
            <w:vAlign w:val="center"/>
            <w:hideMark/>
          </w:tcPr>
          <w:p w14:paraId="42F18091" w14:textId="77777777" w:rsidR="00753A64" w:rsidRPr="00B71D6C" w:rsidRDefault="00753A64" w:rsidP="00315358">
            <w:pPr>
              <w:spacing w:after="0" w:line="240" w:lineRule="auto"/>
              <w:jc w:val="center"/>
              <w:rPr>
                <w:rFonts w:ascii="Candara" w:eastAsia="Times New Roman" w:hAnsi="Candara" w:cs="Times New Roman"/>
                <w:sz w:val="15"/>
                <w:szCs w:val="15"/>
              </w:rPr>
            </w:pPr>
            <w:r w:rsidRPr="00B71D6C">
              <w:rPr>
                <w:rFonts w:ascii="Candara" w:eastAsia="Times New Roman" w:hAnsi="Candara" w:cs="Times New Roman"/>
                <w:sz w:val="15"/>
                <w:szCs w:val="15"/>
              </w:rPr>
              <w:t xml:space="preserve">49 </w:t>
            </w:r>
          </w:p>
        </w:tc>
      </w:tr>
      <w:tr w:rsidR="00753A64" w:rsidRPr="00753A64" w14:paraId="4341DEEC" w14:textId="77777777" w:rsidTr="00315358">
        <w:trPr>
          <w:trHeight w:val="454"/>
          <w:jc w:val="center"/>
        </w:trPr>
        <w:tc>
          <w:tcPr>
            <w:tcW w:w="1654" w:type="dxa"/>
            <w:shd w:val="clear" w:color="auto" w:fill="auto"/>
            <w:vAlign w:val="center"/>
            <w:hideMark/>
          </w:tcPr>
          <w:p w14:paraId="75442C6C"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Arborização de vias públicas (percentual)</w:t>
            </w:r>
          </w:p>
        </w:tc>
        <w:tc>
          <w:tcPr>
            <w:tcW w:w="1040" w:type="dxa"/>
            <w:shd w:val="clear" w:color="auto" w:fill="auto"/>
            <w:noWrap/>
            <w:vAlign w:val="center"/>
            <w:hideMark/>
          </w:tcPr>
          <w:p w14:paraId="53691FF9"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96</w:t>
            </w:r>
          </w:p>
        </w:tc>
        <w:tc>
          <w:tcPr>
            <w:tcW w:w="1016" w:type="dxa"/>
            <w:shd w:val="clear" w:color="auto" w:fill="auto"/>
            <w:noWrap/>
            <w:vAlign w:val="center"/>
            <w:hideMark/>
          </w:tcPr>
          <w:p w14:paraId="02FC6D4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94,9</w:t>
            </w:r>
          </w:p>
        </w:tc>
        <w:tc>
          <w:tcPr>
            <w:tcW w:w="799" w:type="dxa"/>
            <w:shd w:val="clear" w:color="auto" w:fill="auto"/>
            <w:noWrap/>
            <w:vAlign w:val="center"/>
            <w:hideMark/>
          </w:tcPr>
          <w:p w14:paraId="28F9CE48"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99,1</w:t>
            </w:r>
          </w:p>
        </w:tc>
        <w:tc>
          <w:tcPr>
            <w:tcW w:w="799" w:type="dxa"/>
            <w:shd w:val="clear" w:color="auto" w:fill="auto"/>
            <w:noWrap/>
            <w:vAlign w:val="center"/>
            <w:hideMark/>
          </w:tcPr>
          <w:p w14:paraId="126B798D"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96,3</w:t>
            </w:r>
          </w:p>
        </w:tc>
        <w:tc>
          <w:tcPr>
            <w:tcW w:w="799" w:type="dxa"/>
            <w:shd w:val="clear" w:color="auto" w:fill="auto"/>
            <w:noWrap/>
            <w:vAlign w:val="center"/>
            <w:hideMark/>
          </w:tcPr>
          <w:p w14:paraId="4022D51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96,6</w:t>
            </w:r>
          </w:p>
        </w:tc>
        <w:tc>
          <w:tcPr>
            <w:tcW w:w="799" w:type="dxa"/>
            <w:shd w:val="clear" w:color="auto" w:fill="auto"/>
            <w:noWrap/>
            <w:vAlign w:val="center"/>
            <w:hideMark/>
          </w:tcPr>
          <w:p w14:paraId="1355960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92,7</w:t>
            </w:r>
          </w:p>
        </w:tc>
        <w:tc>
          <w:tcPr>
            <w:tcW w:w="799" w:type="dxa"/>
            <w:shd w:val="clear" w:color="auto" w:fill="auto"/>
            <w:noWrap/>
            <w:vAlign w:val="center"/>
            <w:hideMark/>
          </w:tcPr>
          <w:p w14:paraId="5569F0CC"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96,9</w:t>
            </w:r>
          </w:p>
        </w:tc>
        <w:tc>
          <w:tcPr>
            <w:tcW w:w="799" w:type="dxa"/>
            <w:shd w:val="clear" w:color="auto" w:fill="auto"/>
            <w:noWrap/>
            <w:vAlign w:val="center"/>
            <w:hideMark/>
          </w:tcPr>
          <w:p w14:paraId="5C47A2E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94,3</w:t>
            </w:r>
          </w:p>
        </w:tc>
      </w:tr>
      <w:tr w:rsidR="00753A64" w:rsidRPr="00753A64" w14:paraId="728243E2" w14:textId="77777777" w:rsidTr="00315358">
        <w:trPr>
          <w:trHeight w:val="454"/>
          <w:jc w:val="center"/>
        </w:trPr>
        <w:tc>
          <w:tcPr>
            <w:tcW w:w="1654" w:type="dxa"/>
            <w:shd w:val="clear" w:color="auto" w:fill="auto"/>
            <w:vAlign w:val="center"/>
            <w:hideMark/>
          </w:tcPr>
          <w:p w14:paraId="5111DD7F"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Urbanização de vias públicas (percentual)</w:t>
            </w:r>
          </w:p>
        </w:tc>
        <w:tc>
          <w:tcPr>
            <w:tcW w:w="1040" w:type="dxa"/>
            <w:shd w:val="clear" w:color="auto" w:fill="auto"/>
            <w:noWrap/>
            <w:vAlign w:val="center"/>
            <w:hideMark/>
          </w:tcPr>
          <w:p w14:paraId="356B4234"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15,3</w:t>
            </w:r>
          </w:p>
        </w:tc>
        <w:tc>
          <w:tcPr>
            <w:tcW w:w="1016" w:type="dxa"/>
            <w:shd w:val="clear" w:color="auto" w:fill="auto"/>
            <w:noWrap/>
            <w:vAlign w:val="center"/>
            <w:hideMark/>
          </w:tcPr>
          <w:p w14:paraId="6ED7A26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0</w:t>
            </w:r>
          </w:p>
        </w:tc>
        <w:tc>
          <w:tcPr>
            <w:tcW w:w="799" w:type="dxa"/>
            <w:shd w:val="clear" w:color="auto" w:fill="auto"/>
            <w:noWrap/>
            <w:vAlign w:val="center"/>
            <w:hideMark/>
          </w:tcPr>
          <w:p w14:paraId="617E1744"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12,5</w:t>
            </w:r>
          </w:p>
        </w:tc>
        <w:tc>
          <w:tcPr>
            <w:tcW w:w="799" w:type="dxa"/>
            <w:shd w:val="clear" w:color="auto" w:fill="auto"/>
            <w:noWrap/>
            <w:vAlign w:val="center"/>
            <w:hideMark/>
          </w:tcPr>
          <w:p w14:paraId="3D4F816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33,4</w:t>
            </w:r>
          </w:p>
        </w:tc>
        <w:tc>
          <w:tcPr>
            <w:tcW w:w="799" w:type="dxa"/>
            <w:shd w:val="clear" w:color="auto" w:fill="auto"/>
            <w:noWrap/>
            <w:vAlign w:val="center"/>
            <w:hideMark/>
          </w:tcPr>
          <w:p w14:paraId="2E24A70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33,4</w:t>
            </w:r>
          </w:p>
        </w:tc>
        <w:tc>
          <w:tcPr>
            <w:tcW w:w="799" w:type="dxa"/>
            <w:shd w:val="clear" w:color="auto" w:fill="auto"/>
            <w:noWrap/>
            <w:vAlign w:val="center"/>
            <w:hideMark/>
          </w:tcPr>
          <w:p w14:paraId="4F29C55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33,7</w:t>
            </w:r>
          </w:p>
        </w:tc>
        <w:tc>
          <w:tcPr>
            <w:tcW w:w="799" w:type="dxa"/>
            <w:shd w:val="clear" w:color="auto" w:fill="auto"/>
            <w:noWrap/>
            <w:vAlign w:val="center"/>
            <w:hideMark/>
          </w:tcPr>
          <w:p w14:paraId="10845AB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28,2</w:t>
            </w:r>
          </w:p>
        </w:tc>
        <w:tc>
          <w:tcPr>
            <w:tcW w:w="799" w:type="dxa"/>
            <w:shd w:val="clear" w:color="auto" w:fill="auto"/>
            <w:noWrap/>
            <w:vAlign w:val="center"/>
            <w:hideMark/>
          </w:tcPr>
          <w:p w14:paraId="409A1772"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9,4</w:t>
            </w:r>
          </w:p>
        </w:tc>
      </w:tr>
      <w:tr w:rsidR="00753A64" w:rsidRPr="00A612C1" w14:paraId="0A8D141F" w14:textId="77777777" w:rsidTr="00315358">
        <w:trPr>
          <w:trHeight w:val="290"/>
          <w:jc w:val="center"/>
        </w:trPr>
        <w:tc>
          <w:tcPr>
            <w:tcW w:w="1654" w:type="dxa"/>
            <w:shd w:val="clear" w:color="auto" w:fill="auto"/>
            <w:vAlign w:val="center"/>
            <w:hideMark/>
          </w:tcPr>
          <w:p w14:paraId="0A731C48"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Área urbanizada (km2)</w:t>
            </w:r>
          </w:p>
        </w:tc>
        <w:tc>
          <w:tcPr>
            <w:tcW w:w="1040" w:type="dxa"/>
            <w:shd w:val="clear" w:color="auto" w:fill="auto"/>
            <w:noWrap/>
            <w:vAlign w:val="center"/>
            <w:hideMark/>
          </w:tcPr>
          <w:p w14:paraId="7D10AE4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15,53</w:t>
            </w:r>
          </w:p>
        </w:tc>
        <w:tc>
          <w:tcPr>
            <w:tcW w:w="1016" w:type="dxa"/>
            <w:shd w:val="clear" w:color="auto" w:fill="auto"/>
            <w:noWrap/>
            <w:vAlign w:val="center"/>
            <w:hideMark/>
          </w:tcPr>
          <w:p w14:paraId="03FAB582"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2,01</w:t>
            </w:r>
          </w:p>
        </w:tc>
        <w:tc>
          <w:tcPr>
            <w:tcW w:w="799" w:type="dxa"/>
            <w:shd w:val="clear" w:color="auto" w:fill="auto"/>
            <w:noWrap/>
            <w:vAlign w:val="center"/>
            <w:hideMark/>
          </w:tcPr>
          <w:p w14:paraId="4411FC4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7,74</w:t>
            </w:r>
          </w:p>
        </w:tc>
        <w:tc>
          <w:tcPr>
            <w:tcW w:w="799" w:type="dxa"/>
            <w:shd w:val="clear" w:color="auto" w:fill="auto"/>
            <w:noWrap/>
            <w:vAlign w:val="center"/>
            <w:hideMark/>
          </w:tcPr>
          <w:p w14:paraId="0108885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252,63</w:t>
            </w:r>
          </w:p>
        </w:tc>
        <w:tc>
          <w:tcPr>
            <w:tcW w:w="799" w:type="dxa"/>
            <w:shd w:val="clear" w:color="auto" w:fill="auto"/>
            <w:noWrap/>
            <w:vAlign w:val="center"/>
            <w:hideMark/>
          </w:tcPr>
          <w:p w14:paraId="3F6322D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23,06</w:t>
            </w:r>
          </w:p>
        </w:tc>
        <w:tc>
          <w:tcPr>
            <w:tcW w:w="799" w:type="dxa"/>
            <w:shd w:val="clear" w:color="auto" w:fill="auto"/>
            <w:noWrap/>
            <w:vAlign w:val="center"/>
            <w:hideMark/>
          </w:tcPr>
          <w:p w14:paraId="593C2C2E"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9,73</w:t>
            </w:r>
          </w:p>
        </w:tc>
        <w:tc>
          <w:tcPr>
            <w:tcW w:w="799" w:type="dxa"/>
            <w:shd w:val="clear" w:color="auto" w:fill="auto"/>
            <w:noWrap/>
            <w:vAlign w:val="center"/>
            <w:hideMark/>
          </w:tcPr>
          <w:p w14:paraId="7477CE1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78,55</w:t>
            </w:r>
          </w:p>
        </w:tc>
        <w:tc>
          <w:tcPr>
            <w:tcW w:w="799" w:type="dxa"/>
            <w:shd w:val="clear" w:color="auto" w:fill="auto"/>
            <w:noWrap/>
            <w:vAlign w:val="center"/>
            <w:hideMark/>
          </w:tcPr>
          <w:p w14:paraId="332AC324"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10,23</w:t>
            </w:r>
          </w:p>
        </w:tc>
      </w:tr>
      <w:tr w:rsidR="00753A64" w:rsidRPr="00A612C1" w14:paraId="70070113" w14:textId="77777777" w:rsidTr="00315358">
        <w:trPr>
          <w:trHeight w:val="454"/>
          <w:jc w:val="center"/>
        </w:trPr>
        <w:tc>
          <w:tcPr>
            <w:tcW w:w="1654" w:type="dxa"/>
            <w:shd w:val="clear" w:color="auto" w:fill="auto"/>
            <w:vAlign w:val="center"/>
            <w:hideMark/>
          </w:tcPr>
          <w:p w14:paraId="6149AD25"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Estabelecimentos rurais com energia elétrica (percentual)</w:t>
            </w:r>
          </w:p>
        </w:tc>
        <w:tc>
          <w:tcPr>
            <w:tcW w:w="1040" w:type="dxa"/>
            <w:shd w:val="clear" w:color="auto" w:fill="auto"/>
            <w:noWrap/>
            <w:vAlign w:val="center"/>
            <w:hideMark/>
          </w:tcPr>
          <w:p w14:paraId="62845402"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94,7</w:t>
            </w:r>
          </w:p>
        </w:tc>
        <w:tc>
          <w:tcPr>
            <w:tcW w:w="1016" w:type="dxa"/>
            <w:shd w:val="clear" w:color="auto" w:fill="auto"/>
            <w:noWrap/>
            <w:vAlign w:val="center"/>
            <w:hideMark/>
          </w:tcPr>
          <w:p w14:paraId="0997BC54"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82,8</w:t>
            </w:r>
          </w:p>
        </w:tc>
        <w:tc>
          <w:tcPr>
            <w:tcW w:w="799" w:type="dxa"/>
            <w:shd w:val="clear" w:color="auto" w:fill="auto"/>
            <w:noWrap/>
            <w:vAlign w:val="center"/>
            <w:hideMark/>
          </w:tcPr>
          <w:p w14:paraId="1D208FB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92,2</w:t>
            </w:r>
          </w:p>
        </w:tc>
        <w:tc>
          <w:tcPr>
            <w:tcW w:w="799" w:type="dxa"/>
            <w:shd w:val="clear" w:color="auto" w:fill="auto"/>
            <w:noWrap/>
            <w:vAlign w:val="center"/>
            <w:hideMark/>
          </w:tcPr>
          <w:p w14:paraId="05358DD0"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96,8</w:t>
            </w:r>
          </w:p>
        </w:tc>
        <w:tc>
          <w:tcPr>
            <w:tcW w:w="799" w:type="dxa"/>
            <w:shd w:val="clear" w:color="auto" w:fill="auto"/>
            <w:noWrap/>
            <w:vAlign w:val="center"/>
            <w:hideMark/>
          </w:tcPr>
          <w:p w14:paraId="728E187C"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76,1</w:t>
            </w:r>
          </w:p>
        </w:tc>
        <w:tc>
          <w:tcPr>
            <w:tcW w:w="799" w:type="dxa"/>
            <w:shd w:val="clear" w:color="auto" w:fill="auto"/>
            <w:noWrap/>
            <w:vAlign w:val="center"/>
            <w:hideMark/>
          </w:tcPr>
          <w:p w14:paraId="504E488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92,7</w:t>
            </w:r>
          </w:p>
        </w:tc>
        <w:tc>
          <w:tcPr>
            <w:tcW w:w="799" w:type="dxa"/>
            <w:shd w:val="clear" w:color="auto" w:fill="auto"/>
            <w:noWrap/>
            <w:vAlign w:val="center"/>
            <w:hideMark/>
          </w:tcPr>
          <w:p w14:paraId="66414A11"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95,3</w:t>
            </w:r>
          </w:p>
        </w:tc>
        <w:tc>
          <w:tcPr>
            <w:tcW w:w="799" w:type="dxa"/>
            <w:shd w:val="clear" w:color="auto" w:fill="auto"/>
            <w:noWrap/>
            <w:vAlign w:val="center"/>
            <w:hideMark/>
          </w:tcPr>
          <w:p w14:paraId="71C36502"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88,6</w:t>
            </w:r>
          </w:p>
        </w:tc>
      </w:tr>
      <w:tr w:rsidR="00753A64" w:rsidRPr="00B71D6C" w14:paraId="11C156BA" w14:textId="77777777" w:rsidTr="00315358">
        <w:trPr>
          <w:trHeight w:val="964"/>
          <w:jc w:val="center"/>
        </w:trPr>
        <w:tc>
          <w:tcPr>
            <w:tcW w:w="1654" w:type="dxa"/>
            <w:shd w:val="clear" w:color="auto" w:fill="auto"/>
            <w:vAlign w:val="center"/>
            <w:hideMark/>
          </w:tcPr>
          <w:p w14:paraId="57C11FC6"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Percentual de estabelecimentos rurais com água (nascentes, rios, riachos, poços ou cisterna convencional jorrante ou profundo)</w:t>
            </w:r>
          </w:p>
        </w:tc>
        <w:tc>
          <w:tcPr>
            <w:tcW w:w="1040" w:type="dxa"/>
            <w:shd w:val="clear" w:color="auto" w:fill="auto"/>
            <w:noWrap/>
            <w:vAlign w:val="center"/>
            <w:hideMark/>
          </w:tcPr>
          <w:p w14:paraId="26ECE219"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80,6</w:t>
            </w:r>
          </w:p>
        </w:tc>
        <w:tc>
          <w:tcPr>
            <w:tcW w:w="1016" w:type="dxa"/>
            <w:shd w:val="clear" w:color="auto" w:fill="auto"/>
            <w:noWrap/>
            <w:vAlign w:val="center"/>
            <w:hideMark/>
          </w:tcPr>
          <w:p w14:paraId="68AA938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67,3</w:t>
            </w:r>
          </w:p>
        </w:tc>
        <w:tc>
          <w:tcPr>
            <w:tcW w:w="799" w:type="dxa"/>
            <w:shd w:val="clear" w:color="auto" w:fill="auto"/>
            <w:noWrap/>
            <w:vAlign w:val="center"/>
            <w:hideMark/>
          </w:tcPr>
          <w:p w14:paraId="72EA6F9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78,7</w:t>
            </w:r>
          </w:p>
        </w:tc>
        <w:tc>
          <w:tcPr>
            <w:tcW w:w="799" w:type="dxa"/>
            <w:shd w:val="clear" w:color="auto" w:fill="auto"/>
            <w:noWrap/>
            <w:vAlign w:val="center"/>
            <w:hideMark/>
          </w:tcPr>
          <w:p w14:paraId="26C7F3FC"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86,8</w:t>
            </w:r>
          </w:p>
        </w:tc>
        <w:tc>
          <w:tcPr>
            <w:tcW w:w="799" w:type="dxa"/>
            <w:shd w:val="clear" w:color="auto" w:fill="auto"/>
            <w:noWrap/>
            <w:vAlign w:val="center"/>
            <w:hideMark/>
          </w:tcPr>
          <w:p w14:paraId="5FE7D56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80,5</w:t>
            </w:r>
          </w:p>
        </w:tc>
        <w:tc>
          <w:tcPr>
            <w:tcW w:w="799" w:type="dxa"/>
            <w:shd w:val="clear" w:color="auto" w:fill="auto"/>
            <w:noWrap/>
            <w:vAlign w:val="center"/>
            <w:hideMark/>
          </w:tcPr>
          <w:p w14:paraId="5BF29580"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93,1</w:t>
            </w:r>
          </w:p>
        </w:tc>
        <w:tc>
          <w:tcPr>
            <w:tcW w:w="799" w:type="dxa"/>
            <w:shd w:val="clear" w:color="auto" w:fill="auto"/>
            <w:noWrap/>
            <w:vAlign w:val="center"/>
            <w:hideMark/>
          </w:tcPr>
          <w:p w14:paraId="045E3B7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86,3</w:t>
            </w:r>
          </w:p>
        </w:tc>
        <w:tc>
          <w:tcPr>
            <w:tcW w:w="799" w:type="dxa"/>
            <w:shd w:val="clear" w:color="auto" w:fill="auto"/>
            <w:noWrap/>
            <w:vAlign w:val="center"/>
            <w:hideMark/>
          </w:tcPr>
          <w:p w14:paraId="2E1C60F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81,3</w:t>
            </w:r>
          </w:p>
        </w:tc>
      </w:tr>
      <w:tr w:rsidR="00753A64" w:rsidRPr="00B71D6C" w14:paraId="034D4A47" w14:textId="77777777" w:rsidTr="00315358">
        <w:trPr>
          <w:trHeight w:val="454"/>
          <w:jc w:val="center"/>
        </w:trPr>
        <w:tc>
          <w:tcPr>
            <w:tcW w:w="1654" w:type="dxa"/>
            <w:shd w:val="clear" w:color="auto" w:fill="auto"/>
            <w:vAlign w:val="center"/>
            <w:hideMark/>
          </w:tcPr>
          <w:p w14:paraId="4128D35E"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Percentual de estabelecimentos rurais NÃO usou agrotóxico</w:t>
            </w:r>
          </w:p>
        </w:tc>
        <w:tc>
          <w:tcPr>
            <w:tcW w:w="1040" w:type="dxa"/>
            <w:shd w:val="clear" w:color="auto" w:fill="auto"/>
            <w:noWrap/>
            <w:vAlign w:val="center"/>
            <w:hideMark/>
          </w:tcPr>
          <w:p w14:paraId="5641A70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95,6</w:t>
            </w:r>
          </w:p>
        </w:tc>
        <w:tc>
          <w:tcPr>
            <w:tcW w:w="1016" w:type="dxa"/>
            <w:shd w:val="clear" w:color="auto" w:fill="auto"/>
            <w:noWrap/>
            <w:vAlign w:val="center"/>
            <w:hideMark/>
          </w:tcPr>
          <w:p w14:paraId="2FB15DE8"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87,6</w:t>
            </w:r>
          </w:p>
        </w:tc>
        <w:tc>
          <w:tcPr>
            <w:tcW w:w="799" w:type="dxa"/>
            <w:shd w:val="clear" w:color="auto" w:fill="auto"/>
            <w:noWrap/>
            <w:vAlign w:val="center"/>
            <w:hideMark/>
          </w:tcPr>
          <w:p w14:paraId="426C671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85,5</w:t>
            </w:r>
          </w:p>
        </w:tc>
        <w:tc>
          <w:tcPr>
            <w:tcW w:w="799" w:type="dxa"/>
            <w:shd w:val="clear" w:color="auto" w:fill="auto"/>
            <w:noWrap/>
            <w:vAlign w:val="center"/>
            <w:hideMark/>
          </w:tcPr>
          <w:p w14:paraId="53BCE1E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74,8</w:t>
            </w:r>
          </w:p>
        </w:tc>
        <w:tc>
          <w:tcPr>
            <w:tcW w:w="799" w:type="dxa"/>
            <w:shd w:val="clear" w:color="auto" w:fill="auto"/>
            <w:noWrap/>
            <w:vAlign w:val="center"/>
            <w:hideMark/>
          </w:tcPr>
          <w:p w14:paraId="10346738"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95,2</w:t>
            </w:r>
          </w:p>
        </w:tc>
        <w:tc>
          <w:tcPr>
            <w:tcW w:w="799" w:type="dxa"/>
            <w:shd w:val="clear" w:color="auto" w:fill="auto"/>
            <w:noWrap/>
            <w:vAlign w:val="center"/>
            <w:hideMark/>
          </w:tcPr>
          <w:p w14:paraId="4568773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72,7</w:t>
            </w:r>
          </w:p>
        </w:tc>
        <w:tc>
          <w:tcPr>
            <w:tcW w:w="799" w:type="dxa"/>
            <w:shd w:val="clear" w:color="auto" w:fill="auto"/>
            <w:noWrap/>
            <w:vAlign w:val="center"/>
            <w:hideMark/>
          </w:tcPr>
          <w:p w14:paraId="53B1F801"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50,7</w:t>
            </w:r>
          </w:p>
        </w:tc>
        <w:tc>
          <w:tcPr>
            <w:tcW w:w="799" w:type="dxa"/>
            <w:shd w:val="clear" w:color="auto" w:fill="auto"/>
            <w:noWrap/>
            <w:vAlign w:val="center"/>
            <w:hideMark/>
          </w:tcPr>
          <w:p w14:paraId="6D8430B4"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90,4</w:t>
            </w:r>
          </w:p>
        </w:tc>
      </w:tr>
      <w:tr w:rsidR="00753A64" w:rsidRPr="00B71D6C" w14:paraId="32AFB97B" w14:textId="77777777" w:rsidTr="00315358">
        <w:trPr>
          <w:trHeight w:val="624"/>
          <w:jc w:val="center"/>
        </w:trPr>
        <w:tc>
          <w:tcPr>
            <w:tcW w:w="1654" w:type="dxa"/>
            <w:shd w:val="clear" w:color="auto" w:fill="auto"/>
            <w:vAlign w:val="center"/>
            <w:hideMark/>
          </w:tcPr>
          <w:p w14:paraId="47273406"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Percentual de estabelecimentos rurais RECEBE orientação técnica</w:t>
            </w:r>
          </w:p>
        </w:tc>
        <w:tc>
          <w:tcPr>
            <w:tcW w:w="1040" w:type="dxa"/>
            <w:shd w:val="clear" w:color="auto" w:fill="auto"/>
            <w:noWrap/>
            <w:vAlign w:val="center"/>
            <w:hideMark/>
          </w:tcPr>
          <w:p w14:paraId="4603A6CB"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19,1</w:t>
            </w:r>
          </w:p>
        </w:tc>
        <w:tc>
          <w:tcPr>
            <w:tcW w:w="1016" w:type="dxa"/>
            <w:shd w:val="clear" w:color="auto" w:fill="auto"/>
            <w:noWrap/>
            <w:vAlign w:val="center"/>
            <w:hideMark/>
          </w:tcPr>
          <w:p w14:paraId="152297B6"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22,1</w:t>
            </w:r>
          </w:p>
        </w:tc>
        <w:tc>
          <w:tcPr>
            <w:tcW w:w="799" w:type="dxa"/>
            <w:shd w:val="clear" w:color="auto" w:fill="auto"/>
            <w:noWrap/>
            <w:vAlign w:val="center"/>
            <w:hideMark/>
          </w:tcPr>
          <w:p w14:paraId="6B22CC0C"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33,3</w:t>
            </w:r>
          </w:p>
        </w:tc>
        <w:tc>
          <w:tcPr>
            <w:tcW w:w="799" w:type="dxa"/>
            <w:shd w:val="clear" w:color="auto" w:fill="auto"/>
            <w:noWrap/>
            <w:vAlign w:val="center"/>
            <w:hideMark/>
          </w:tcPr>
          <w:p w14:paraId="30FAEBA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37,0</w:t>
            </w:r>
          </w:p>
        </w:tc>
        <w:tc>
          <w:tcPr>
            <w:tcW w:w="799" w:type="dxa"/>
            <w:shd w:val="clear" w:color="auto" w:fill="auto"/>
            <w:noWrap/>
            <w:vAlign w:val="center"/>
            <w:hideMark/>
          </w:tcPr>
          <w:p w14:paraId="252E88A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24,5</w:t>
            </w:r>
          </w:p>
        </w:tc>
        <w:tc>
          <w:tcPr>
            <w:tcW w:w="799" w:type="dxa"/>
            <w:shd w:val="clear" w:color="auto" w:fill="auto"/>
            <w:noWrap/>
            <w:vAlign w:val="center"/>
            <w:hideMark/>
          </w:tcPr>
          <w:p w14:paraId="053E6B7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48,8</w:t>
            </w:r>
          </w:p>
        </w:tc>
        <w:tc>
          <w:tcPr>
            <w:tcW w:w="799" w:type="dxa"/>
            <w:shd w:val="clear" w:color="auto" w:fill="auto"/>
            <w:noWrap/>
            <w:vAlign w:val="center"/>
            <w:hideMark/>
          </w:tcPr>
          <w:p w14:paraId="46AD1EB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51,8</w:t>
            </w:r>
          </w:p>
        </w:tc>
        <w:tc>
          <w:tcPr>
            <w:tcW w:w="799" w:type="dxa"/>
            <w:shd w:val="clear" w:color="auto" w:fill="auto"/>
            <w:noWrap/>
            <w:vAlign w:val="center"/>
            <w:hideMark/>
          </w:tcPr>
          <w:p w14:paraId="7A809A6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26,5</w:t>
            </w:r>
          </w:p>
        </w:tc>
      </w:tr>
      <w:tr w:rsidR="00753A64" w:rsidRPr="00B71D6C" w14:paraId="3F697D27" w14:textId="77777777" w:rsidTr="00315358">
        <w:trPr>
          <w:trHeight w:val="624"/>
          <w:jc w:val="center"/>
        </w:trPr>
        <w:tc>
          <w:tcPr>
            <w:tcW w:w="1654" w:type="dxa"/>
            <w:shd w:val="clear" w:color="auto" w:fill="auto"/>
            <w:vAlign w:val="center"/>
            <w:hideMark/>
          </w:tcPr>
          <w:p w14:paraId="1A6B84B8"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Percentual de estabelecimentos rurais com uso de agricultura ou pecuária orgânica</w:t>
            </w:r>
          </w:p>
        </w:tc>
        <w:tc>
          <w:tcPr>
            <w:tcW w:w="1040" w:type="dxa"/>
            <w:shd w:val="clear" w:color="auto" w:fill="auto"/>
            <w:noWrap/>
            <w:vAlign w:val="center"/>
            <w:hideMark/>
          </w:tcPr>
          <w:p w14:paraId="29CF42F0"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0,4</w:t>
            </w:r>
          </w:p>
        </w:tc>
        <w:tc>
          <w:tcPr>
            <w:tcW w:w="1016" w:type="dxa"/>
            <w:shd w:val="clear" w:color="auto" w:fill="auto"/>
            <w:noWrap/>
            <w:vAlign w:val="center"/>
            <w:hideMark/>
          </w:tcPr>
          <w:p w14:paraId="0F47BE97"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0,4</w:t>
            </w:r>
          </w:p>
        </w:tc>
        <w:tc>
          <w:tcPr>
            <w:tcW w:w="799" w:type="dxa"/>
            <w:shd w:val="clear" w:color="auto" w:fill="auto"/>
            <w:noWrap/>
            <w:vAlign w:val="center"/>
            <w:hideMark/>
          </w:tcPr>
          <w:p w14:paraId="4E6772A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0,3</w:t>
            </w:r>
          </w:p>
        </w:tc>
        <w:tc>
          <w:tcPr>
            <w:tcW w:w="799" w:type="dxa"/>
            <w:shd w:val="clear" w:color="auto" w:fill="auto"/>
            <w:noWrap/>
            <w:vAlign w:val="center"/>
            <w:hideMark/>
          </w:tcPr>
          <w:p w14:paraId="71A77684"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3,7</w:t>
            </w:r>
          </w:p>
        </w:tc>
        <w:tc>
          <w:tcPr>
            <w:tcW w:w="799" w:type="dxa"/>
            <w:shd w:val="clear" w:color="auto" w:fill="auto"/>
            <w:noWrap/>
            <w:vAlign w:val="center"/>
            <w:hideMark/>
          </w:tcPr>
          <w:p w14:paraId="407AA914"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0,3</w:t>
            </w:r>
          </w:p>
        </w:tc>
        <w:tc>
          <w:tcPr>
            <w:tcW w:w="799" w:type="dxa"/>
            <w:shd w:val="clear" w:color="auto" w:fill="auto"/>
            <w:noWrap/>
            <w:vAlign w:val="center"/>
            <w:hideMark/>
          </w:tcPr>
          <w:p w14:paraId="3CB5394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0,0</w:t>
            </w:r>
          </w:p>
        </w:tc>
        <w:tc>
          <w:tcPr>
            <w:tcW w:w="799" w:type="dxa"/>
            <w:shd w:val="clear" w:color="auto" w:fill="auto"/>
            <w:noWrap/>
            <w:vAlign w:val="center"/>
            <w:hideMark/>
          </w:tcPr>
          <w:p w14:paraId="0F646BC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0,6</w:t>
            </w:r>
          </w:p>
        </w:tc>
        <w:tc>
          <w:tcPr>
            <w:tcW w:w="799" w:type="dxa"/>
            <w:shd w:val="clear" w:color="auto" w:fill="auto"/>
            <w:noWrap/>
            <w:vAlign w:val="center"/>
            <w:hideMark/>
          </w:tcPr>
          <w:p w14:paraId="1A86C61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0,3</w:t>
            </w:r>
          </w:p>
        </w:tc>
      </w:tr>
      <w:tr w:rsidR="00753A64" w:rsidRPr="00B71D6C" w14:paraId="29146CDA" w14:textId="77777777" w:rsidTr="00315358">
        <w:trPr>
          <w:trHeight w:val="454"/>
          <w:jc w:val="center"/>
        </w:trPr>
        <w:tc>
          <w:tcPr>
            <w:tcW w:w="1654" w:type="dxa"/>
            <w:shd w:val="clear" w:color="auto" w:fill="auto"/>
            <w:vAlign w:val="center"/>
            <w:hideMark/>
          </w:tcPr>
          <w:p w14:paraId="4CF30820" w14:textId="77777777" w:rsidR="00753A64" w:rsidRPr="00B71D6C" w:rsidRDefault="00753A64" w:rsidP="00315358">
            <w:pPr>
              <w:spacing w:after="0" w:line="240" w:lineRule="auto"/>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Percentual de estabelecimentos rurais com Agricultura Familiar</w:t>
            </w:r>
          </w:p>
        </w:tc>
        <w:tc>
          <w:tcPr>
            <w:tcW w:w="1040" w:type="dxa"/>
            <w:shd w:val="clear" w:color="auto" w:fill="auto"/>
            <w:noWrap/>
            <w:vAlign w:val="center"/>
            <w:hideMark/>
          </w:tcPr>
          <w:p w14:paraId="228B8DFE"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58,9</w:t>
            </w:r>
          </w:p>
        </w:tc>
        <w:tc>
          <w:tcPr>
            <w:tcW w:w="1016" w:type="dxa"/>
            <w:shd w:val="clear" w:color="auto" w:fill="auto"/>
            <w:noWrap/>
            <w:vAlign w:val="center"/>
            <w:hideMark/>
          </w:tcPr>
          <w:p w14:paraId="5ED2FEF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73,7</w:t>
            </w:r>
          </w:p>
        </w:tc>
        <w:tc>
          <w:tcPr>
            <w:tcW w:w="799" w:type="dxa"/>
            <w:shd w:val="clear" w:color="auto" w:fill="auto"/>
            <w:noWrap/>
            <w:vAlign w:val="center"/>
            <w:hideMark/>
          </w:tcPr>
          <w:p w14:paraId="5F8D5F8A"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44,4</w:t>
            </w:r>
          </w:p>
        </w:tc>
        <w:tc>
          <w:tcPr>
            <w:tcW w:w="799" w:type="dxa"/>
            <w:shd w:val="clear" w:color="auto" w:fill="auto"/>
            <w:noWrap/>
            <w:vAlign w:val="center"/>
            <w:hideMark/>
          </w:tcPr>
          <w:p w14:paraId="4D972858"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41,0</w:t>
            </w:r>
          </w:p>
        </w:tc>
        <w:tc>
          <w:tcPr>
            <w:tcW w:w="799" w:type="dxa"/>
            <w:shd w:val="clear" w:color="auto" w:fill="auto"/>
            <w:noWrap/>
            <w:vAlign w:val="center"/>
            <w:hideMark/>
          </w:tcPr>
          <w:p w14:paraId="3AF3916F"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53,1</w:t>
            </w:r>
          </w:p>
        </w:tc>
        <w:tc>
          <w:tcPr>
            <w:tcW w:w="799" w:type="dxa"/>
            <w:shd w:val="clear" w:color="auto" w:fill="auto"/>
            <w:noWrap/>
            <w:vAlign w:val="center"/>
            <w:hideMark/>
          </w:tcPr>
          <w:p w14:paraId="2D1F2485"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50,0</w:t>
            </w:r>
          </w:p>
        </w:tc>
        <w:tc>
          <w:tcPr>
            <w:tcW w:w="799" w:type="dxa"/>
            <w:shd w:val="clear" w:color="auto" w:fill="auto"/>
            <w:noWrap/>
            <w:vAlign w:val="center"/>
            <w:hideMark/>
          </w:tcPr>
          <w:p w14:paraId="1EC8C9F3"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59,0</w:t>
            </w:r>
          </w:p>
        </w:tc>
        <w:tc>
          <w:tcPr>
            <w:tcW w:w="799" w:type="dxa"/>
            <w:shd w:val="clear" w:color="auto" w:fill="auto"/>
            <w:noWrap/>
            <w:vAlign w:val="center"/>
            <w:hideMark/>
          </w:tcPr>
          <w:p w14:paraId="17F83BA2" w14:textId="77777777" w:rsidR="00753A64" w:rsidRPr="00B71D6C" w:rsidRDefault="00753A64" w:rsidP="00315358">
            <w:pPr>
              <w:spacing w:after="0" w:line="240" w:lineRule="auto"/>
              <w:jc w:val="center"/>
              <w:rPr>
                <w:rFonts w:ascii="Candara" w:eastAsia="Times New Roman" w:hAnsi="Candara" w:cs="Times New Roman"/>
                <w:color w:val="000000"/>
                <w:sz w:val="15"/>
                <w:szCs w:val="15"/>
              </w:rPr>
            </w:pPr>
            <w:r w:rsidRPr="00B71D6C">
              <w:rPr>
                <w:rFonts w:ascii="Candara" w:eastAsia="Times New Roman" w:hAnsi="Candara" w:cs="Times New Roman"/>
                <w:color w:val="000000"/>
                <w:sz w:val="15"/>
                <w:szCs w:val="15"/>
              </w:rPr>
              <w:t>60,3</w:t>
            </w:r>
          </w:p>
        </w:tc>
      </w:tr>
    </w:tbl>
    <w:p w14:paraId="0FA0A71D" w14:textId="77777777" w:rsidR="00753A64" w:rsidRPr="00753A64" w:rsidRDefault="00753A64" w:rsidP="00753A64">
      <w:pPr>
        <w:tabs>
          <w:tab w:val="left" w:pos="2622"/>
          <w:tab w:val="left" w:pos="3723"/>
          <w:tab w:val="left" w:pos="4784"/>
          <w:tab w:val="left" w:pos="5740"/>
          <w:tab w:val="left" w:pos="6681"/>
          <w:tab w:val="left" w:pos="7622"/>
          <w:tab w:val="left" w:pos="8563"/>
          <w:tab w:val="left" w:pos="9504"/>
        </w:tabs>
        <w:spacing w:after="0" w:line="240" w:lineRule="auto"/>
        <w:rPr>
          <w:rFonts w:ascii="Candara" w:eastAsia="Times New Roman" w:hAnsi="Candara" w:cs="Times New Roman"/>
          <w:color w:val="000000"/>
          <w:sz w:val="20"/>
          <w:szCs w:val="20"/>
        </w:rPr>
      </w:pPr>
      <w:r w:rsidRPr="00753A64">
        <w:rPr>
          <w:rFonts w:ascii="Candara" w:eastAsia="Times New Roman" w:hAnsi="Candara" w:cs="Times New Roman"/>
          <w:color w:val="000000"/>
          <w:sz w:val="20"/>
          <w:szCs w:val="20"/>
        </w:rPr>
        <w:t>Fonte: Adaptado pelos autores de IBGE Censo Agropecuário, IBGE Cidades, RAIS, FIRJAN.</w:t>
      </w:r>
    </w:p>
    <w:p w14:paraId="2137B4B1" w14:textId="77777777" w:rsidR="00753A64" w:rsidRPr="00753A64" w:rsidRDefault="00753A64" w:rsidP="00753A64">
      <w:pPr>
        <w:tabs>
          <w:tab w:val="left" w:pos="2622"/>
          <w:tab w:val="left" w:pos="3723"/>
          <w:tab w:val="left" w:pos="4784"/>
          <w:tab w:val="left" w:pos="5740"/>
          <w:tab w:val="left" w:pos="6681"/>
          <w:tab w:val="left" w:pos="7622"/>
          <w:tab w:val="left" w:pos="8563"/>
          <w:tab w:val="left" w:pos="9504"/>
        </w:tabs>
        <w:spacing w:after="0" w:line="360" w:lineRule="auto"/>
        <w:rPr>
          <w:rFonts w:ascii="Candara" w:eastAsia="Times New Roman" w:hAnsi="Candara" w:cs="Times New Roman"/>
          <w:color w:val="000000"/>
          <w:sz w:val="24"/>
          <w:szCs w:val="24"/>
        </w:rPr>
      </w:pPr>
    </w:p>
    <w:p w14:paraId="711BA3C5" w14:textId="77777777" w:rsidR="00753A64" w:rsidRPr="00753A64" w:rsidRDefault="00753A64" w:rsidP="00753A64">
      <w:pPr>
        <w:tabs>
          <w:tab w:val="left" w:pos="2622"/>
          <w:tab w:val="left" w:pos="3723"/>
          <w:tab w:val="left" w:pos="4784"/>
          <w:tab w:val="left" w:pos="5740"/>
          <w:tab w:val="left" w:pos="6681"/>
          <w:tab w:val="left" w:pos="7622"/>
          <w:tab w:val="left" w:pos="8563"/>
          <w:tab w:val="left" w:pos="9504"/>
        </w:tabs>
        <w:spacing w:after="0" w:line="360" w:lineRule="auto"/>
        <w:ind w:firstLine="709"/>
        <w:jc w:val="both"/>
        <w:rPr>
          <w:rFonts w:ascii="Candara" w:eastAsia="Times New Roman" w:hAnsi="Candara" w:cs="Times New Roman"/>
          <w:color w:val="000000"/>
          <w:sz w:val="24"/>
          <w:szCs w:val="24"/>
        </w:rPr>
      </w:pPr>
      <w:r w:rsidRPr="00753A64">
        <w:rPr>
          <w:rFonts w:ascii="Candara" w:eastAsia="Times New Roman" w:hAnsi="Candara" w:cs="Times New Roman"/>
          <w:color w:val="000000"/>
          <w:sz w:val="24"/>
          <w:szCs w:val="24"/>
        </w:rPr>
        <w:t xml:space="preserve">Destaca-se também o indicador de percentual de população ocupada, com exceção de Campo Grande e Dourados, que possuem índices superiores a 30%, os demais municípios possuem valores considerados baixos, como por exemplo, Aquidauana com 13,1% e Corumbá e Jardim com 14,5% cada. Este indicador, combinado com o percentual de pessoas que recebe até meio </w:t>
      </w:r>
      <w:proofErr w:type="gramStart"/>
      <w:r w:rsidRPr="00753A64">
        <w:rPr>
          <w:rFonts w:ascii="Candara" w:eastAsia="Times New Roman" w:hAnsi="Candara" w:cs="Times New Roman"/>
          <w:color w:val="000000"/>
          <w:sz w:val="24"/>
          <w:szCs w:val="24"/>
        </w:rPr>
        <w:t>salário mínimo</w:t>
      </w:r>
      <w:proofErr w:type="gramEnd"/>
      <w:r w:rsidRPr="00753A64">
        <w:rPr>
          <w:rFonts w:ascii="Candara" w:eastAsia="Times New Roman" w:hAnsi="Candara" w:cs="Times New Roman"/>
          <w:color w:val="000000"/>
          <w:sz w:val="24"/>
          <w:szCs w:val="24"/>
        </w:rPr>
        <w:t>, pode sugerir que há uma significativa parcela da população que não possui emprego formal ou ainda, que tem sua subsistência atrelada aos programas governamentais.</w:t>
      </w:r>
    </w:p>
    <w:p w14:paraId="4C66A29E" w14:textId="77777777" w:rsidR="00753A64" w:rsidRPr="00753A64" w:rsidRDefault="00753A64" w:rsidP="00753A64">
      <w:pPr>
        <w:tabs>
          <w:tab w:val="left" w:pos="2622"/>
          <w:tab w:val="left" w:pos="3723"/>
          <w:tab w:val="left" w:pos="4784"/>
          <w:tab w:val="left" w:pos="5740"/>
          <w:tab w:val="left" w:pos="6681"/>
          <w:tab w:val="left" w:pos="7622"/>
          <w:tab w:val="left" w:pos="8563"/>
          <w:tab w:val="left" w:pos="9504"/>
        </w:tabs>
        <w:spacing w:after="0" w:line="360" w:lineRule="auto"/>
        <w:ind w:firstLine="709"/>
        <w:jc w:val="both"/>
        <w:rPr>
          <w:rFonts w:ascii="Candara" w:eastAsia="Times New Roman" w:hAnsi="Candara" w:cs="Times New Roman"/>
          <w:color w:val="000000"/>
          <w:sz w:val="24"/>
          <w:szCs w:val="24"/>
        </w:rPr>
      </w:pPr>
      <w:r w:rsidRPr="00753A64">
        <w:rPr>
          <w:rFonts w:ascii="Candara" w:eastAsia="Times New Roman" w:hAnsi="Candara" w:cs="Times New Roman"/>
          <w:color w:val="000000"/>
          <w:sz w:val="24"/>
          <w:szCs w:val="24"/>
        </w:rPr>
        <w:t xml:space="preserve">Quanto aos dados de sustentabilidade, os estabelecimentos que não utilizam agrotóxicos, pode ser considerado elevado, em Aquidauana, Corumbá e Jardim, </w:t>
      </w:r>
      <w:r w:rsidRPr="00753A64">
        <w:rPr>
          <w:rFonts w:ascii="Candara" w:eastAsia="Times New Roman" w:hAnsi="Candara" w:cs="Times New Roman"/>
          <w:color w:val="000000"/>
          <w:sz w:val="24"/>
          <w:szCs w:val="24"/>
        </w:rPr>
        <w:lastRenderedPageBreak/>
        <w:t>estes índices ficaram acima de 90%. No entanto, ao analisar os dados de agricultura e pecuária orgânica, a maioria dos municípios ficou abaixo de 1%.  Novamente, os dados podem não ter sido informados corretamente aos órgãos governamentais (de controle), pois considerando que boa parte da produção é de soja e milho, fica evidente que foram utilizados agrotóxicos; e no caso de não utilização de agrotóxico, seria pelo motivo de utilizar em larga escala a produção orgânica, fato que não ficou comprovado pelos dados.</w:t>
      </w:r>
    </w:p>
    <w:p w14:paraId="18797087" w14:textId="77777777" w:rsidR="00753A64" w:rsidRPr="00753A64" w:rsidRDefault="00753A64" w:rsidP="00753A64">
      <w:pPr>
        <w:tabs>
          <w:tab w:val="left" w:pos="2622"/>
          <w:tab w:val="left" w:pos="3723"/>
          <w:tab w:val="left" w:pos="4784"/>
          <w:tab w:val="left" w:pos="5740"/>
          <w:tab w:val="left" w:pos="6681"/>
          <w:tab w:val="left" w:pos="7622"/>
          <w:tab w:val="left" w:pos="8563"/>
          <w:tab w:val="left" w:pos="9504"/>
        </w:tabs>
        <w:spacing w:after="0" w:line="360" w:lineRule="auto"/>
        <w:ind w:firstLine="709"/>
        <w:jc w:val="both"/>
        <w:rPr>
          <w:rFonts w:ascii="Candara" w:eastAsia="Times New Roman" w:hAnsi="Candara" w:cs="Times New Roman"/>
          <w:color w:val="000000"/>
          <w:sz w:val="24"/>
          <w:szCs w:val="24"/>
        </w:rPr>
      </w:pPr>
      <w:r w:rsidRPr="00753A64">
        <w:rPr>
          <w:rFonts w:ascii="Candara" w:eastAsia="Times New Roman" w:hAnsi="Candara" w:cs="Times New Roman"/>
          <w:color w:val="000000"/>
          <w:sz w:val="24"/>
          <w:szCs w:val="24"/>
        </w:rPr>
        <w:t xml:space="preserve">Para melhor visualização dos resultados dos cálculos do Barômetro da Sustentabilidade, elaborou-se a Tabela 6. </w:t>
      </w:r>
    </w:p>
    <w:p w14:paraId="3EC01E12" w14:textId="77777777" w:rsidR="00AB34C0" w:rsidRPr="00753A64" w:rsidRDefault="00AB34C0" w:rsidP="00753A64">
      <w:pPr>
        <w:tabs>
          <w:tab w:val="left" w:pos="2622"/>
          <w:tab w:val="left" w:pos="3723"/>
          <w:tab w:val="left" w:pos="4784"/>
          <w:tab w:val="left" w:pos="5740"/>
          <w:tab w:val="left" w:pos="6681"/>
          <w:tab w:val="left" w:pos="7622"/>
          <w:tab w:val="left" w:pos="8563"/>
          <w:tab w:val="left" w:pos="9504"/>
        </w:tabs>
        <w:spacing w:after="0" w:line="360" w:lineRule="auto"/>
        <w:rPr>
          <w:rFonts w:ascii="Candara" w:eastAsia="Times New Roman" w:hAnsi="Candara" w:cs="Times New Roman"/>
          <w:color w:val="000000"/>
          <w:sz w:val="24"/>
          <w:szCs w:val="24"/>
        </w:rPr>
      </w:pPr>
    </w:p>
    <w:p w14:paraId="478B5077" w14:textId="1644523A" w:rsidR="00753A64" w:rsidRPr="00753A64" w:rsidRDefault="00753A64" w:rsidP="007A3070">
      <w:pPr>
        <w:tabs>
          <w:tab w:val="left" w:pos="2622"/>
          <w:tab w:val="left" w:pos="3723"/>
          <w:tab w:val="left" w:pos="4784"/>
          <w:tab w:val="left" w:pos="5740"/>
          <w:tab w:val="left" w:pos="6681"/>
          <w:tab w:val="left" w:pos="7622"/>
          <w:tab w:val="left" w:pos="8563"/>
          <w:tab w:val="left" w:pos="9504"/>
        </w:tabs>
        <w:spacing w:after="0" w:line="240" w:lineRule="auto"/>
        <w:ind w:left="74"/>
        <w:jc w:val="both"/>
        <w:rPr>
          <w:rFonts w:ascii="Candara" w:eastAsia="Times New Roman" w:hAnsi="Candara" w:cs="Times New Roman"/>
          <w:sz w:val="24"/>
          <w:szCs w:val="24"/>
        </w:rPr>
      </w:pPr>
      <w:r w:rsidRPr="00753A64">
        <w:rPr>
          <w:rFonts w:ascii="Candara" w:eastAsia="Times New Roman" w:hAnsi="Candara" w:cs="Times New Roman"/>
          <w:b/>
          <w:bCs/>
          <w:color w:val="000000"/>
          <w:sz w:val="24"/>
          <w:szCs w:val="24"/>
        </w:rPr>
        <w:t xml:space="preserve">Tabela </w:t>
      </w:r>
      <w:r w:rsidR="008D6D91">
        <w:rPr>
          <w:rFonts w:ascii="Candara" w:eastAsia="Times New Roman" w:hAnsi="Candara" w:cs="Times New Roman"/>
          <w:b/>
          <w:bCs/>
          <w:color w:val="000000"/>
          <w:sz w:val="24"/>
          <w:szCs w:val="24"/>
        </w:rPr>
        <w:t>5</w:t>
      </w:r>
      <w:r w:rsidRPr="00753A64">
        <w:rPr>
          <w:rFonts w:ascii="Candara" w:eastAsia="Times New Roman" w:hAnsi="Candara" w:cs="Times New Roman"/>
          <w:color w:val="000000"/>
          <w:sz w:val="24"/>
          <w:szCs w:val="24"/>
        </w:rPr>
        <w:t xml:space="preserve"> – Barômetro da Sustentabilidade: sistema Humano, Ambiental e Final (Fase Colher)</w:t>
      </w:r>
    </w:p>
    <w:tbl>
      <w:tblPr>
        <w:tblStyle w:val="Tabelacomgrade"/>
        <w:tblW w:w="833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06"/>
        <w:gridCol w:w="1132"/>
        <w:gridCol w:w="1101"/>
        <w:gridCol w:w="734"/>
        <w:gridCol w:w="779"/>
        <w:gridCol w:w="922"/>
        <w:gridCol w:w="646"/>
        <w:gridCol w:w="963"/>
        <w:gridCol w:w="748"/>
      </w:tblGrid>
      <w:tr w:rsidR="00753A64" w:rsidRPr="00753A64" w14:paraId="114893C9" w14:textId="77777777" w:rsidTr="00315358">
        <w:tc>
          <w:tcPr>
            <w:tcW w:w="1418" w:type="dxa"/>
            <w:tcBorders>
              <w:top w:val="single" w:sz="4" w:space="0" w:color="auto"/>
              <w:bottom w:val="single" w:sz="4" w:space="0" w:color="auto"/>
            </w:tcBorders>
          </w:tcPr>
          <w:p w14:paraId="469AB328" w14:textId="77777777" w:rsidR="00753A64" w:rsidRPr="00753A64" w:rsidRDefault="00753A64" w:rsidP="00315358">
            <w:pPr>
              <w:rPr>
                <w:rFonts w:ascii="Candara" w:eastAsia="Times New Roman" w:hAnsi="Candara" w:cs="Times New Roman"/>
                <w:sz w:val="20"/>
                <w:szCs w:val="20"/>
                <w:lang w:eastAsia="pt-BR"/>
              </w:rPr>
            </w:pPr>
          </w:p>
        </w:tc>
        <w:tc>
          <w:tcPr>
            <w:tcW w:w="1125" w:type="dxa"/>
            <w:tcBorders>
              <w:top w:val="single" w:sz="4" w:space="0" w:color="auto"/>
              <w:bottom w:val="single" w:sz="4" w:space="0" w:color="auto"/>
            </w:tcBorders>
          </w:tcPr>
          <w:p w14:paraId="37D7DBC6" w14:textId="77777777" w:rsidR="00753A64" w:rsidRPr="00753A64" w:rsidRDefault="00753A64" w:rsidP="00315358">
            <w:pPr>
              <w:rPr>
                <w:rFonts w:ascii="Candara" w:eastAsia="Times New Roman" w:hAnsi="Candara" w:cs="Times New Roman"/>
                <w:b/>
                <w:bCs/>
                <w:sz w:val="18"/>
                <w:szCs w:val="18"/>
                <w:lang w:eastAsia="pt-BR"/>
              </w:rPr>
            </w:pPr>
            <w:r w:rsidRPr="00753A64">
              <w:rPr>
                <w:rFonts w:ascii="Candara" w:eastAsia="Times New Roman" w:hAnsi="Candara" w:cs="Times New Roman"/>
                <w:b/>
                <w:bCs/>
                <w:sz w:val="18"/>
                <w:szCs w:val="18"/>
                <w:lang w:eastAsia="pt-BR"/>
              </w:rPr>
              <w:t>Aquidauana</w:t>
            </w:r>
          </w:p>
        </w:tc>
        <w:tc>
          <w:tcPr>
            <w:tcW w:w="1050" w:type="dxa"/>
            <w:tcBorders>
              <w:top w:val="single" w:sz="4" w:space="0" w:color="auto"/>
              <w:bottom w:val="single" w:sz="4" w:space="0" w:color="auto"/>
            </w:tcBorders>
          </w:tcPr>
          <w:p w14:paraId="6F171763" w14:textId="77777777" w:rsidR="00753A64" w:rsidRPr="00753A64" w:rsidRDefault="00753A64" w:rsidP="00315358">
            <w:pPr>
              <w:rPr>
                <w:rFonts w:ascii="Candara" w:eastAsia="Times New Roman" w:hAnsi="Candara" w:cs="Times New Roman"/>
                <w:b/>
                <w:bCs/>
                <w:sz w:val="18"/>
                <w:szCs w:val="18"/>
                <w:lang w:eastAsia="pt-BR"/>
              </w:rPr>
            </w:pPr>
            <w:r w:rsidRPr="00753A64">
              <w:rPr>
                <w:rFonts w:ascii="Candara" w:eastAsia="Times New Roman" w:hAnsi="Candara" w:cs="Times New Roman"/>
                <w:b/>
                <w:bCs/>
                <w:sz w:val="18"/>
                <w:szCs w:val="18"/>
                <w:lang w:eastAsia="pt-BR"/>
              </w:rPr>
              <w:t>Bodoquena</w:t>
            </w:r>
          </w:p>
        </w:tc>
        <w:tc>
          <w:tcPr>
            <w:tcW w:w="705" w:type="dxa"/>
            <w:tcBorders>
              <w:top w:val="single" w:sz="4" w:space="0" w:color="auto"/>
              <w:bottom w:val="single" w:sz="4" w:space="0" w:color="auto"/>
            </w:tcBorders>
          </w:tcPr>
          <w:p w14:paraId="63E936B6" w14:textId="77777777" w:rsidR="00753A64" w:rsidRPr="00753A64" w:rsidRDefault="00753A64" w:rsidP="00315358">
            <w:pPr>
              <w:rPr>
                <w:rFonts w:ascii="Candara" w:eastAsia="Times New Roman" w:hAnsi="Candara" w:cs="Times New Roman"/>
                <w:b/>
                <w:bCs/>
                <w:sz w:val="18"/>
                <w:szCs w:val="18"/>
                <w:lang w:eastAsia="pt-BR"/>
              </w:rPr>
            </w:pPr>
            <w:r w:rsidRPr="00753A64">
              <w:rPr>
                <w:rFonts w:ascii="Candara" w:eastAsia="Times New Roman" w:hAnsi="Candara" w:cs="Times New Roman"/>
                <w:b/>
                <w:bCs/>
                <w:sz w:val="18"/>
                <w:szCs w:val="18"/>
                <w:lang w:eastAsia="pt-BR"/>
              </w:rPr>
              <w:t>Bonito</w:t>
            </w:r>
          </w:p>
        </w:tc>
        <w:tc>
          <w:tcPr>
            <w:tcW w:w="780" w:type="dxa"/>
            <w:tcBorders>
              <w:top w:val="single" w:sz="4" w:space="0" w:color="auto"/>
              <w:bottom w:val="single" w:sz="4" w:space="0" w:color="auto"/>
            </w:tcBorders>
          </w:tcPr>
          <w:p w14:paraId="04E4C6CD" w14:textId="77777777" w:rsidR="00753A64" w:rsidRPr="00753A64" w:rsidRDefault="00753A64" w:rsidP="00315358">
            <w:pPr>
              <w:rPr>
                <w:rFonts w:ascii="Candara" w:eastAsia="Times New Roman" w:hAnsi="Candara" w:cs="Times New Roman"/>
                <w:b/>
                <w:bCs/>
                <w:sz w:val="18"/>
                <w:szCs w:val="18"/>
                <w:lang w:eastAsia="pt-BR"/>
              </w:rPr>
            </w:pPr>
            <w:r w:rsidRPr="00753A64">
              <w:rPr>
                <w:rFonts w:ascii="Candara" w:eastAsia="Times New Roman" w:hAnsi="Candara" w:cs="Times New Roman"/>
                <w:b/>
                <w:bCs/>
                <w:sz w:val="18"/>
                <w:szCs w:val="18"/>
                <w:lang w:eastAsia="pt-BR"/>
              </w:rPr>
              <w:t>Campo Grande</w:t>
            </w:r>
          </w:p>
        </w:tc>
        <w:tc>
          <w:tcPr>
            <w:tcW w:w="923" w:type="dxa"/>
            <w:tcBorders>
              <w:top w:val="single" w:sz="4" w:space="0" w:color="auto"/>
              <w:bottom w:val="single" w:sz="4" w:space="0" w:color="auto"/>
            </w:tcBorders>
          </w:tcPr>
          <w:p w14:paraId="57AB626A" w14:textId="77777777" w:rsidR="00753A64" w:rsidRPr="00753A64" w:rsidRDefault="00753A64" w:rsidP="00315358">
            <w:pPr>
              <w:rPr>
                <w:rFonts w:ascii="Candara" w:eastAsia="Times New Roman" w:hAnsi="Candara" w:cs="Times New Roman"/>
                <w:b/>
                <w:bCs/>
                <w:sz w:val="18"/>
                <w:szCs w:val="18"/>
                <w:lang w:eastAsia="pt-BR"/>
              </w:rPr>
            </w:pPr>
            <w:r w:rsidRPr="00753A64">
              <w:rPr>
                <w:rFonts w:ascii="Candara" w:eastAsia="Times New Roman" w:hAnsi="Candara" w:cs="Times New Roman"/>
                <w:b/>
                <w:bCs/>
                <w:sz w:val="18"/>
                <w:szCs w:val="18"/>
                <w:lang w:eastAsia="pt-BR"/>
              </w:rPr>
              <w:t>Corumbá</w:t>
            </w:r>
          </w:p>
        </w:tc>
        <w:tc>
          <w:tcPr>
            <w:tcW w:w="643" w:type="dxa"/>
            <w:tcBorders>
              <w:top w:val="single" w:sz="4" w:space="0" w:color="auto"/>
              <w:bottom w:val="single" w:sz="4" w:space="0" w:color="auto"/>
            </w:tcBorders>
          </w:tcPr>
          <w:p w14:paraId="64EB6255" w14:textId="77777777" w:rsidR="00753A64" w:rsidRPr="00753A64" w:rsidRDefault="00753A64" w:rsidP="00315358">
            <w:pPr>
              <w:rPr>
                <w:rFonts w:ascii="Candara" w:eastAsia="Times New Roman" w:hAnsi="Candara" w:cs="Times New Roman"/>
                <w:b/>
                <w:bCs/>
                <w:sz w:val="18"/>
                <w:szCs w:val="18"/>
                <w:lang w:eastAsia="pt-BR"/>
              </w:rPr>
            </w:pPr>
            <w:r w:rsidRPr="00753A64">
              <w:rPr>
                <w:rFonts w:ascii="Candara" w:eastAsia="Times New Roman" w:hAnsi="Candara" w:cs="Times New Roman"/>
                <w:b/>
                <w:bCs/>
                <w:sz w:val="18"/>
                <w:szCs w:val="18"/>
                <w:lang w:eastAsia="pt-BR"/>
              </w:rPr>
              <w:t>Costa Rica</w:t>
            </w:r>
          </w:p>
        </w:tc>
        <w:tc>
          <w:tcPr>
            <w:tcW w:w="935" w:type="dxa"/>
            <w:tcBorders>
              <w:top w:val="single" w:sz="4" w:space="0" w:color="auto"/>
              <w:bottom w:val="single" w:sz="4" w:space="0" w:color="auto"/>
            </w:tcBorders>
          </w:tcPr>
          <w:p w14:paraId="35285150" w14:textId="77777777" w:rsidR="00753A64" w:rsidRPr="00753A64" w:rsidRDefault="00753A64" w:rsidP="00315358">
            <w:pPr>
              <w:rPr>
                <w:rFonts w:ascii="Candara" w:eastAsia="Times New Roman" w:hAnsi="Candara" w:cs="Times New Roman"/>
                <w:b/>
                <w:bCs/>
                <w:sz w:val="18"/>
                <w:szCs w:val="18"/>
                <w:lang w:eastAsia="pt-BR"/>
              </w:rPr>
            </w:pPr>
            <w:r w:rsidRPr="00753A64">
              <w:rPr>
                <w:rFonts w:ascii="Candara" w:eastAsia="Times New Roman" w:hAnsi="Candara" w:cs="Times New Roman"/>
                <w:b/>
                <w:bCs/>
                <w:sz w:val="18"/>
                <w:szCs w:val="18"/>
                <w:lang w:eastAsia="pt-BR"/>
              </w:rPr>
              <w:t>Dourados</w:t>
            </w:r>
          </w:p>
        </w:tc>
        <w:tc>
          <w:tcPr>
            <w:tcW w:w="752" w:type="dxa"/>
            <w:tcBorders>
              <w:top w:val="single" w:sz="4" w:space="0" w:color="auto"/>
              <w:bottom w:val="single" w:sz="4" w:space="0" w:color="auto"/>
            </w:tcBorders>
          </w:tcPr>
          <w:p w14:paraId="66C43C42" w14:textId="77777777" w:rsidR="00753A64" w:rsidRPr="00753A64" w:rsidRDefault="00753A64" w:rsidP="00315358">
            <w:pPr>
              <w:rPr>
                <w:rFonts w:ascii="Candara" w:eastAsia="Times New Roman" w:hAnsi="Candara" w:cs="Times New Roman"/>
                <w:b/>
                <w:bCs/>
                <w:sz w:val="18"/>
                <w:szCs w:val="18"/>
                <w:lang w:eastAsia="pt-BR"/>
              </w:rPr>
            </w:pPr>
            <w:r w:rsidRPr="00753A64">
              <w:rPr>
                <w:rFonts w:ascii="Candara" w:eastAsia="Times New Roman" w:hAnsi="Candara" w:cs="Times New Roman"/>
                <w:b/>
                <w:bCs/>
                <w:sz w:val="18"/>
                <w:szCs w:val="18"/>
                <w:lang w:eastAsia="pt-BR"/>
              </w:rPr>
              <w:t>Jardim</w:t>
            </w:r>
          </w:p>
        </w:tc>
      </w:tr>
      <w:tr w:rsidR="00753A64" w:rsidRPr="008D6D91" w14:paraId="6D9312C7" w14:textId="77777777" w:rsidTr="00315358">
        <w:tc>
          <w:tcPr>
            <w:tcW w:w="1418" w:type="dxa"/>
            <w:tcBorders>
              <w:top w:val="single" w:sz="4" w:space="0" w:color="auto"/>
            </w:tcBorders>
          </w:tcPr>
          <w:p w14:paraId="285A3766" w14:textId="77777777" w:rsidR="00753A64" w:rsidRPr="00506EF6" w:rsidRDefault="00753A64" w:rsidP="00315358">
            <w:pPr>
              <w:rPr>
                <w:rFonts w:ascii="Candara" w:eastAsia="Times New Roman" w:hAnsi="Candara" w:cs="Times New Roman"/>
                <w:b/>
                <w:bCs/>
                <w:sz w:val="18"/>
                <w:szCs w:val="18"/>
                <w:lang w:eastAsia="pt-BR"/>
              </w:rPr>
            </w:pPr>
            <w:r w:rsidRPr="00506EF6">
              <w:rPr>
                <w:rFonts w:ascii="Candara" w:eastAsia="Times New Roman" w:hAnsi="Candara" w:cs="Times New Roman"/>
                <w:b/>
                <w:bCs/>
                <w:color w:val="000000"/>
                <w:sz w:val="18"/>
                <w:szCs w:val="18"/>
                <w:lang w:eastAsia="pt-BR"/>
              </w:rPr>
              <w:t>Sistema Humano</w:t>
            </w:r>
          </w:p>
        </w:tc>
        <w:tc>
          <w:tcPr>
            <w:tcW w:w="1125" w:type="dxa"/>
            <w:tcBorders>
              <w:top w:val="single" w:sz="4" w:space="0" w:color="auto"/>
            </w:tcBorders>
          </w:tcPr>
          <w:p w14:paraId="280C126E"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64,3</w:t>
            </w:r>
          </w:p>
        </w:tc>
        <w:tc>
          <w:tcPr>
            <w:tcW w:w="1050" w:type="dxa"/>
            <w:tcBorders>
              <w:top w:val="single" w:sz="4" w:space="0" w:color="auto"/>
            </w:tcBorders>
          </w:tcPr>
          <w:p w14:paraId="722BDFA6"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69,1</w:t>
            </w:r>
          </w:p>
        </w:tc>
        <w:tc>
          <w:tcPr>
            <w:tcW w:w="705" w:type="dxa"/>
            <w:tcBorders>
              <w:top w:val="single" w:sz="4" w:space="0" w:color="auto"/>
            </w:tcBorders>
          </w:tcPr>
          <w:p w14:paraId="182FCD68"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71,5</w:t>
            </w:r>
          </w:p>
        </w:tc>
        <w:tc>
          <w:tcPr>
            <w:tcW w:w="780" w:type="dxa"/>
            <w:tcBorders>
              <w:top w:val="single" w:sz="4" w:space="0" w:color="auto"/>
            </w:tcBorders>
          </w:tcPr>
          <w:p w14:paraId="7CE7CA0C"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81,9</w:t>
            </w:r>
          </w:p>
        </w:tc>
        <w:tc>
          <w:tcPr>
            <w:tcW w:w="923" w:type="dxa"/>
            <w:tcBorders>
              <w:top w:val="single" w:sz="4" w:space="0" w:color="auto"/>
            </w:tcBorders>
          </w:tcPr>
          <w:p w14:paraId="633F2232"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55,8</w:t>
            </w:r>
          </w:p>
        </w:tc>
        <w:tc>
          <w:tcPr>
            <w:tcW w:w="643" w:type="dxa"/>
            <w:tcBorders>
              <w:top w:val="single" w:sz="4" w:space="0" w:color="auto"/>
            </w:tcBorders>
          </w:tcPr>
          <w:p w14:paraId="080FD17A"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77,0</w:t>
            </w:r>
          </w:p>
        </w:tc>
        <w:tc>
          <w:tcPr>
            <w:tcW w:w="935" w:type="dxa"/>
            <w:tcBorders>
              <w:top w:val="single" w:sz="4" w:space="0" w:color="auto"/>
            </w:tcBorders>
          </w:tcPr>
          <w:p w14:paraId="61E3EBB7"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80,0</w:t>
            </w:r>
          </w:p>
        </w:tc>
        <w:tc>
          <w:tcPr>
            <w:tcW w:w="752" w:type="dxa"/>
            <w:tcBorders>
              <w:top w:val="single" w:sz="4" w:space="0" w:color="auto"/>
            </w:tcBorders>
          </w:tcPr>
          <w:p w14:paraId="7FD6C6BC"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60,9</w:t>
            </w:r>
          </w:p>
        </w:tc>
      </w:tr>
      <w:tr w:rsidR="00753A64" w:rsidRPr="008D6D91" w14:paraId="7ED4BF80" w14:textId="77777777" w:rsidTr="00315358">
        <w:tc>
          <w:tcPr>
            <w:tcW w:w="1418" w:type="dxa"/>
            <w:tcBorders>
              <w:bottom w:val="single" w:sz="4" w:space="0" w:color="auto"/>
            </w:tcBorders>
          </w:tcPr>
          <w:p w14:paraId="3E445F7E" w14:textId="77777777" w:rsidR="00753A64" w:rsidRPr="00506EF6" w:rsidRDefault="00753A64" w:rsidP="00315358">
            <w:pPr>
              <w:rPr>
                <w:rFonts w:ascii="Candara" w:eastAsia="Times New Roman" w:hAnsi="Candara" w:cs="Times New Roman"/>
                <w:b/>
                <w:bCs/>
                <w:sz w:val="18"/>
                <w:szCs w:val="18"/>
                <w:lang w:eastAsia="pt-BR"/>
              </w:rPr>
            </w:pPr>
            <w:r w:rsidRPr="00506EF6">
              <w:rPr>
                <w:rFonts w:ascii="Candara" w:eastAsia="Times New Roman" w:hAnsi="Candara" w:cs="Times New Roman"/>
                <w:b/>
                <w:bCs/>
                <w:color w:val="000000"/>
                <w:sz w:val="18"/>
                <w:szCs w:val="18"/>
                <w:lang w:eastAsia="pt-BR"/>
              </w:rPr>
              <w:t>Sistema Ambiental</w:t>
            </w:r>
          </w:p>
        </w:tc>
        <w:tc>
          <w:tcPr>
            <w:tcW w:w="1125" w:type="dxa"/>
            <w:tcBorders>
              <w:bottom w:val="single" w:sz="4" w:space="0" w:color="auto"/>
            </w:tcBorders>
          </w:tcPr>
          <w:p w14:paraId="601040B5"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47,2</w:t>
            </w:r>
          </w:p>
        </w:tc>
        <w:tc>
          <w:tcPr>
            <w:tcW w:w="1050" w:type="dxa"/>
            <w:tcBorders>
              <w:bottom w:val="single" w:sz="4" w:space="0" w:color="auto"/>
            </w:tcBorders>
          </w:tcPr>
          <w:p w14:paraId="6A8F5B15"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46,1</w:t>
            </w:r>
          </w:p>
        </w:tc>
        <w:tc>
          <w:tcPr>
            <w:tcW w:w="705" w:type="dxa"/>
            <w:tcBorders>
              <w:bottom w:val="single" w:sz="4" w:space="0" w:color="auto"/>
            </w:tcBorders>
          </w:tcPr>
          <w:p w14:paraId="18A63416"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49,7</w:t>
            </w:r>
          </w:p>
        </w:tc>
        <w:tc>
          <w:tcPr>
            <w:tcW w:w="780" w:type="dxa"/>
            <w:tcBorders>
              <w:bottom w:val="single" w:sz="4" w:space="0" w:color="auto"/>
            </w:tcBorders>
          </w:tcPr>
          <w:p w14:paraId="3B28E258"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70,2</w:t>
            </w:r>
          </w:p>
        </w:tc>
        <w:tc>
          <w:tcPr>
            <w:tcW w:w="923" w:type="dxa"/>
            <w:tcBorders>
              <w:bottom w:val="single" w:sz="4" w:space="0" w:color="auto"/>
            </w:tcBorders>
          </w:tcPr>
          <w:p w14:paraId="2A802635"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46,8</w:t>
            </w:r>
          </w:p>
        </w:tc>
        <w:tc>
          <w:tcPr>
            <w:tcW w:w="643" w:type="dxa"/>
            <w:tcBorders>
              <w:bottom w:val="single" w:sz="4" w:space="0" w:color="auto"/>
            </w:tcBorders>
          </w:tcPr>
          <w:p w14:paraId="114689BC"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53,9</w:t>
            </w:r>
          </w:p>
        </w:tc>
        <w:tc>
          <w:tcPr>
            <w:tcW w:w="935" w:type="dxa"/>
            <w:tcBorders>
              <w:bottom w:val="single" w:sz="4" w:space="0" w:color="auto"/>
            </w:tcBorders>
          </w:tcPr>
          <w:p w14:paraId="5A1EB9E7"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54,8</w:t>
            </w:r>
          </w:p>
        </w:tc>
        <w:tc>
          <w:tcPr>
            <w:tcW w:w="752" w:type="dxa"/>
            <w:tcBorders>
              <w:bottom w:val="single" w:sz="4" w:space="0" w:color="auto"/>
            </w:tcBorders>
          </w:tcPr>
          <w:p w14:paraId="67CEAD21"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46,1</w:t>
            </w:r>
          </w:p>
        </w:tc>
      </w:tr>
      <w:tr w:rsidR="00753A64" w:rsidRPr="008D6D91" w14:paraId="16C2B015" w14:textId="77777777" w:rsidTr="00315358">
        <w:tc>
          <w:tcPr>
            <w:tcW w:w="1418" w:type="dxa"/>
            <w:tcBorders>
              <w:top w:val="single" w:sz="4" w:space="0" w:color="auto"/>
              <w:bottom w:val="single" w:sz="4" w:space="0" w:color="auto"/>
            </w:tcBorders>
          </w:tcPr>
          <w:p w14:paraId="42C37CA6" w14:textId="77777777" w:rsidR="00753A64" w:rsidRPr="00506EF6" w:rsidRDefault="00753A64" w:rsidP="00315358">
            <w:pPr>
              <w:rPr>
                <w:rFonts w:ascii="Candara" w:eastAsia="Times New Roman" w:hAnsi="Candara" w:cs="Times New Roman"/>
                <w:b/>
                <w:bCs/>
                <w:sz w:val="18"/>
                <w:szCs w:val="18"/>
                <w:lang w:eastAsia="pt-BR"/>
              </w:rPr>
            </w:pPr>
            <w:r w:rsidRPr="00506EF6">
              <w:rPr>
                <w:rFonts w:ascii="Candara" w:eastAsia="Times New Roman" w:hAnsi="Candara" w:cs="Times New Roman"/>
                <w:b/>
                <w:bCs/>
                <w:color w:val="000000"/>
                <w:sz w:val="18"/>
                <w:szCs w:val="18"/>
                <w:lang w:eastAsia="pt-BR"/>
              </w:rPr>
              <w:t>Barômetro Final</w:t>
            </w:r>
          </w:p>
        </w:tc>
        <w:tc>
          <w:tcPr>
            <w:tcW w:w="1125" w:type="dxa"/>
            <w:tcBorders>
              <w:top w:val="single" w:sz="4" w:space="0" w:color="auto"/>
              <w:bottom w:val="single" w:sz="4" w:space="0" w:color="auto"/>
            </w:tcBorders>
          </w:tcPr>
          <w:p w14:paraId="6091BC8D"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55,8</w:t>
            </w:r>
          </w:p>
        </w:tc>
        <w:tc>
          <w:tcPr>
            <w:tcW w:w="1050" w:type="dxa"/>
            <w:tcBorders>
              <w:top w:val="single" w:sz="4" w:space="0" w:color="auto"/>
              <w:bottom w:val="single" w:sz="4" w:space="0" w:color="auto"/>
            </w:tcBorders>
          </w:tcPr>
          <w:p w14:paraId="51FB5BAB"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57,6</w:t>
            </w:r>
          </w:p>
        </w:tc>
        <w:tc>
          <w:tcPr>
            <w:tcW w:w="705" w:type="dxa"/>
            <w:tcBorders>
              <w:top w:val="single" w:sz="4" w:space="0" w:color="auto"/>
              <w:bottom w:val="single" w:sz="4" w:space="0" w:color="auto"/>
            </w:tcBorders>
          </w:tcPr>
          <w:p w14:paraId="32F87EEC"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60,6</w:t>
            </w:r>
          </w:p>
        </w:tc>
        <w:tc>
          <w:tcPr>
            <w:tcW w:w="780" w:type="dxa"/>
            <w:tcBorders>
              <w:top w:val="single" w:sz="4" w:space="0" w:color="auto"/>
              <w:bottom w:val="single" w:sz="4" w:space="0" w:color="auto"/>
            </w:tcBorders>
          </w:tcPr>
          <w:p w14:paraId="0229E85F"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76,1</w:t>
            </w:r>
          </w:p>
        </w:tc>
        <w:tc>
          <w:tcPr>
            <w:tcW w:w="923" w:type="dxa"/>
            <w:tcBorders>
              <w:top w:val="single" w:sz="4" w:space="0" w:color="auto"/>
              <w:bottom w:val="single" w:sz="4" w:space="0" w:color="auto"/>
            </w:tcBorders>
          </w:tcPr>
          <w:p w14:paraId="1CC446AD"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51,3</w:t>
            </w:r>
          </w:p>
        </w:tc>
        <w:tc>
          <w:tcPr>
            <w:tcW w:w="643" w:type="dxa"/>
            <w:tcBorders>
              <w:top w:val="single" w:sz="4" w:space="0" w:color="auto"/>
              <w:bottom w:val="single" w:sz="4" w:space="0" w:color="auto"/>
            </w:tcBorders>
          </w:tcPr>
          <w:p w14:paraId="30D81D3D"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65,5</w:t>
            </w:r>
          </w:p>
        </w:tc>
        <w:tc>
          <w:tcPr>
            <w:tcW w:w="935" w:type="dxa"/>
            <w:tcBorders>
              <w:top w:val="single" w:sz="4" w:space="0" w:color="auto"/>
              <w:bottom w:val="single" w:sz="4" w:space="0" w:color="auto"/>
            </w:tcBorders>
          </w:tcPr>
          <w:p w14:paraId="6DE67517"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67,4</w:t>
            </w:r>
          </w:p>
        </w:tc>
        <w:tc>
          <w:tcPr>
            <w:tcW w:w="752" w:type="dxa"/>
            <w:tcBorders>
              <w:top w:val="single" w:sz="4" w:space="0" w:color="auto"/>
              <w:bottom w:val="single" w:sz="4" w:space="0" w:color="auto"/>
            </w:tcBorders>
          </w:tcPr>
          <w:p w14:paraId="3D26DB95" w14:textId="77777777" w:rsidR="00753A64" w:rsidRPr="00506EF6" w:rsidRDefault="00753A64" w:rsidP="00315358">
            <w:pPr>
              <w:jc w:val="center"/>
              <w:rPr>
                <w:rFonts w:ascii="Candara" w:eastAsia="Times New Roman" w:hAnsi="Candara" w:cs="Times New Roman"/>
                <w:sz w:val="18"/>
                <w:szCs w:val="18"/>
                <w:lang w:eastAsia="pt-BR"/>
              </w:rPr>
            </w:pPr>
            <w:r w:rsidRPr="00506EF6">
              <w:rPr>
                <w:rFonts w:ascii="Candara" w:eastAsia="Times New Roman" w:hAnsi="Candara" w:cs="Times New Roman"/>
                <w:color w:val="000000"/>
                <w:sz w:val="18"/>
                <w:szCs w:val="18"/>
                <w:lang w:eastAsia="pt-BR"/>
              </w:rPr>
              <w:t>53,5</w:t>
            </w:r>
          </w:p>
        </w:tc>
      </w:tr>
    </w:tbl>
    <w:p w14:paraId="45E9DE02" w14:textId="77777777" w:rsidR="00753A64" w:rsidRPr="00753A64" w:rsidRDefault="00753A64" w:rsidP="00753A64">
      <w:pPr>
        <w:spacing w:after="0" w:line="240" w:lineRule="auto"/>
        <w:rPr>
          <w:rFonts w:ascii="Candara" w:eastAsia="Times New Roman" w:hAnsi="Candara" w:cs="Times New Roman"/>
          <w:sz w:val="20"/>
          <w:szCs w:val="20"/>
        </w:rPr>
      </w:pPr>
      <w:r w:rsidRPr="00753A64">
        <w:rPr>
          <w:rFonts w:ascii="Candara" w:eastAsia="Times New Roman" w:hAnsi="Candara" w:cs="Times New Roman"/>
          <w:sz w:val="20"/>
          <w:szCs w:val="20"/>
        </w:rPr>
        <w:t>Fonte: elaborado pelos autores</w:t>
      </w:r>
    </w:p>
    <w:p w14:paraId="37F6DE66" w14:textId="77777777" w:rsidR="00753A64" w:rsidRPr="00753A64" w:rsidRDefault="00753A64" w:rsidP="00753A64">
      <w:pPr>
        <w:spacing w:after="0" w:line="360" w:lineRule="auto"/>
        <w:rPr>
          <w:rFonts w:ascii="Candara" w:eastAsia="Times New Roman" w:hAnsi="Candara" w:cs="Times New Roman"/>
          <w:sz w:val="24"/>
          <w:szCs w:val="24"/>
        </w:rPr>
      </w:pPr>
    </w:p>
    <w:p w14:paraId="14BEC992" w14:textId="77777777" w:rsidR="00753A64" w:rsidRPr="00753A64" w:rsidRDefault="00753A64" w:rsidP="00753A64">
      <w:pPr>
        <w:spacing w:after="0" w:line="360" w:lineRule="auto"/>
        <w:ind w:firstLine="851"/>
        <w:jc w:val="both"/>
        <w:rPr>
          <w:rFonts w:ascii="Candara" w:eastAsia="Times New Roman" w:hAnsi="Candara" w:cs="Times New Roman"/>
          <w:sz w:val="24"/>
          <w:szCs w:val="24"/>
        </w:rPr>
      </w:pPr>
      <w:bookmarkStart w:id="1" w:name="_Hlk144848145"/>
      <w:r w:rsidRPr="00753A64">
        <w:rPr>
          <w:rFonts w:ascii="Candara" w:eastAsia="Times New Roman" w:hAnsi="Candara" w:cs="Times New Roman"/>
          <w:sz w:val="24"/>
          <w:szCs w:val="24"/>
        </w:rPr>
        <w:t>Pelos dados do Sistema Humano, é claro que, com a exceção de Corumbá, os demais municípios estão situados na faixa de definição como “Adequado” (quase sustentável) ou, no caso de Campo Grande, no patamar “Ótimo” (Sustentável). No entanto, quando é examinado os dados de Sistema Ambiental, observa-se que metade dos municípios recebeu a classificação “Médio”, enquanto os demais, foram fundamentados na faixa “Adequado” (quase sustentável).</w:t>
      </w:r>
    </w:p>
    <w:p w14:paraId="7647A9B2" w14:textId="77777777" w:rsidR="00753A64" w:rsidRPr="00753A64" w:rsidRDefault="00753A64" w:rsidP="00753A64">
      <w:pPr>
        <w:spacing w:after="0" w:line="360" w:lineRule="auto"/>
        <w:jc w:val="both"/>
        <w:rPr>
          <w:rFonts w:ascii="Candara" w:eastAsia="Times New Roman" w:hAnsi="Candara" w:cs="Times New Roman"/>
          <w:sz w:val="24"/>
          <w:szCs w:val="24"/>
        </w:rPr>
      </w:pPr>
      <w:r w:rsidRPr="00753A64">
        <w:rPr>
          <w:rFonts w:ascii="Candara" w:eastAsia="Times New Roman" w:hAnsi="Candara" w:cs="Times New Roman"/>
          <w:sz w:val="24"/>
          <w:szCs w:val="24"/>
        </w:rPr>
        <w:lastRenderedPageBreak/>
        <w:tab/>
        <w:t xml:space="preserve">Na média final do Barômetro da Sustentabilidade, quatro municípios (Bonito, Costa Rica, Dourados e Campo Grande), ficaram na faixa considerada como “Adequado” (quase sustentável). No entanto, para a elaboração da Figura 3, é necessária a combinação dos Sistemas Ambiental e Humano. </w:t>
      </w:r>
      <w:bookmarkEnd w:id="1"/>
    </w:p>
    <w:p w14:paraId="7F324C6A" w14:textId="77777777" w:rsidR="007A3070" w:rsidRPr="00753A64" w:rsidRDefault="007A3070" w:rsidP="00753A64">
      <w:pPr>
        <w:spacing w:after="0" w:line="360" w:lineRule="auto"/>
        <w:rPr>
          <w:rFonts w:ascii="Candara" w:eastAsia="Times New Roman" w:hAnsi="Candara" w:cs="Times New Roman"/>
          <w:sz w:val="24"/>
          <w:szCs w:val="24"/>
        </w:rPr>
      </w:pPr>
    </w:p>
    <w:p w14:paraId="3947E20C" w14:textId="77777777" w:rsidR="00753A64" w:rsidRPr="00753A64" w:rsidRDefault="00753A64" w:rsidP="007A3070">
      <w:pPr>
        <w:spacing w:after="0" w:line="240" w:lineRule="auto"/>
        <w:rPr>
          <w:rFonts w:ascii="Candara" w:eastAsia="Times New Roman" w:hAnsi="Candara" w:cs="Times New Roman"/>
          <w:sz w:val="24"/>
          <w:szCs w:val="24"/>
        </w:rPr>
      </w:pPr>
      <w:r w:rsidRPr="00753A64">
        <w:rPr>
          <w:rFonts w:ascii="Candara" w:eastAsia="Times New Roman" w:hAnsi="Candara" w:cs="Times New Roman"/>
          <w:b/>
          <w:bCs/>
          <w:sz w:val="24"/>
          <w:szCs w:val="24"/>
        </w:rPr>
        <w:t xml:space="preserve">Figura 3 </w:t>
      </w:r>
      <w:r w:rsidRPr="00753A64">
        <w:rPr>
          <w:rFonts w:ascii="Candara" w:eastAsia="Times New Roman" w:hAnsi="Candara" w:cs="Times New Roman"/>
          <w:sz w:val="24"/>
          <w:szCs w:val="24"/>
        </w:rPr>
        <w:t>- Barômetro da Sustentabilidade dos municípios da Fase Colher.</w:t>
      </w:r>
    </w:p>
    <w:p w14:paraId="15B7C6B8" w14:textId="77777777" w:rsidR="00753A64" w:rsidRPr="00753A64" w:rsidRDefault="00753A64" w:rsidP="00753A64">
      <w:pPr>
        <w:spacing w:after="0" w:line="240" w:lineRule="auto"/>
        <w:jc w:val="center"/>
        <w:rPr>
          <w:rFonts w:ascii="Candara" w:eastAsia="Times New Roman" w:hAnsi="Candara" w:cs="Times New Roman"/>
          <w:sz w:val="20"/>
          <w:szCs w:val="20"/>
        </w:rPr>
      </w:pPr>
      <w:r w:rsidRPr="00753A64">
        <w:rPr>
          <w:rFonts w:ascii="Candara" w:eastAsia="Times New Roman" w:hAnsi="Candara" w:cs="Times New Roman"/>
          <w:noProof/>
          <w:sz w:val="20"/>
          <w:szCs w:val="20"/>
        </w:rPr>
        <w:drawing>
          <wp:inline distT="0" distB="0" distL="0" distR="0" wp14:anchorId="4A40700F" wp14:editId="15A7ABEE">
            <wp:extent cx="3962400" cy="3623490"/>
            <wp:effectExtent l="0" t="0" r="0" b="0"/>
            <wp:docPr id="1267665955"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65955" name="Imagem 1" descr="Gráfico&#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9272" cy="3648063"/>
                    </a:xfrm>
                    <a:prstGeom prst="rect">
                      <a:avLst/>
                    </a:prstGeom>
                    <a:noFill/>
                    <a:ln>
                      <a:noFill/>
                    </a:ln>
                  </pic:spPr>
                </pic:pic>
              </a:graphicData>
            </a:graphic>
          </wp:inline>
        </w:drawing>
      </w:r>
    </w:p>
    <w:p w14:paraId="464F4AF3" w14:textId="77777777" w:rsidR="00753A64" w:rsidRPr="00753A64" w:rsidRDefault="00753A64" w:rsidP="00753A64">
      <w:pPr>
        <w:spacing w:after="0" w:line="240" w:lineRule="auto"/>
        <w:rPr>
          <w:rFonts w:ascii="Candara" w:eastAsia="Times New Roman" w:hAnsi="Candara" w:cs="Times New Roman"/>
          <w:sz w:val="20"/>
          <w:szCs w:val="20"/>
        </w:rPr>
      </w:pPr>
      <w:r w:rsidRPr="00753A64">
        <w:rPr>
          <w:rFonts w:ascii="Candara" w:eastAsia="Times New Roman" w:hAnsi="Candara" w:cs="Times New Roman"/>
          <w:sz w:val="20"/>
          <w:szCs w:val="20"/>
        </w:rPr>
        <w:t>Fonte: elaborado pelos autores.</w:t>
      </w:r>
    </w:p>
    <w:p w14:paraId="6AFB1867" w14:textId="77777777" w:rsidR="00753A64" w:rsidRPr="00753A64" w:rsidRDefault="00753A64" w:rsidP="00753A64">
      <w:pPr>
        <w:spacing w:after="0" w:line="360" w:lineRule="auto"/>
        <w:rPr>
          <w:rFonts w:ascii="Candara" w:eastAsia="Times New Roman" w:hAnsi="Candara" w:cs="Times New Roman"/>
          <w:sz w:val="24"/>
          <w:szCs w:val="24"/>
        </w:rPr>
      </w:pPr>
    </w:p>
    <w:p w14:paraId="5F3F5482" w14:textId="3DE4163D" w:rsidR="00753A64" w:rsidRPr="00753A64" w:rsidRDefault="00753A64" w:rsidP="00753A64">
      <w:pPr>
        <w:spacing w:after="120" w:line="360" w:lineRule="auto"/>
        <w:jc w:val="both"/>
        <w:rPr>
          <w:rFonts w:ascii="Candara" w:eastAsia="Candara" w:hAnsi="Candara" w:cs="Candara"/>
          <w:color w:val="000000"/>
          <w:sz w:val="28"/>
          <w:szCs w:val="28"/>
        </w:rPr>
      </w:pPr>
      <w:r w:rsidRPr="00753A64">
        <w:rPr>
          <w:rFonts w:ascii="Candara" w:eastAsia="Times New Roman" w:hAnsi="Candara" w:cs="Times New Roman"/>
          <w:sz w:val="24"/>
          <w:szCs w:val="24"/>
        </w:rPr>
        <w:tab/>
        <w:t xml:space="preserve">Constata-se na Figura 3 que, combinando os Sistemas Humano (quadrante horizontal) </w:t>
      </w:r>
      <w:proofErr w:type="gramStart"/>
      <w:r w:rsidRPr="00753A64">
        <w:rPr>
          <w:rFonts w:ascii="Candara" w:eastAsia="Times New Roman" w:hAnsi="Candara" w:cs="Times New Roman"/>
          <w:sz w:val="24"/>
          <w:szCs w:val="24"/>
        </w:rPr>
        <w:t>e Ambiental</w:t>
      </w:r>
      <w:proofErr w:type="gramEnd"/>
      <w:r w:rsidRPr="00753A64">
        <w:rPr>
          <w:rFonts w:ascii="Candara" w:eastAsia="Times New Roman" w:hAnsi="Candara" w:cs="Times New Roman"/>
          <w:sz w:val="24"/>
          <w:szCs w:val="24"/>
        </w:rPr>
        <w:t xml:space="preserve"> (quadrante vertical), apenas Campo Grande ficou posicionada na faixa “Adequado” (quase sustentável). Os demais municípios foram </w:t>
      </w:r>
      <w:r w:rsidRPr="00753A64">
        <w:rPr>
          <w:rFonts w:ascii="Candara" w:eastAsia="Times New Roman" w:hAnsi="Candara" w:cs="Times New Roman"/>
          <w:sz w:val="24"/>
          <w:szCs w:val="24"/>
        </w:rPr>
        <w:lastRenderedPageBreak/>
        <w:t>influenciados negativamente pelo Sistema Ambiental, que resultou na retração dos pontos para a faixa de Média Sustentabilidade.</w:t>
      </w:r>
    </w:p>
    <w:p w14:paraId="2F9577F7" w14:textId="77777777" w:rsidR="00753A64" w:rsidRPr="002859DB" w:rsidRDefault="00753A64" w:rsidP="00AB34C0">
      <w:pPr>
        <w:spacing w:after="0" w:line="360" w:lineRule="auto"/>
        <w:jc w:val="both"/>
        <w:rPr>
          <w:rFonts w:ascii="Candara" w:eastAsia="Candara" w:hAnsi="Candara" w:cs="Candara"/>
          <w:color w:val="000000"/>
          <w:sz w:val="24"/>
          <w:szCs w:val="24"/>
        </w:rPr>
      </w:pPr>
    </w:p>
    <w:p w14:paraId="449A3AEF" w14:textId="7AA0795D" w:rsidR="00753A64" w:rsidRDefault="00753A64">
      <w:pPr>
        <w:spacing w:after="12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 xml:space="preserve">6 Considerações Finais </w:t>
      </w:r>
    </w:p>
    <w:p w14:paraId="6054D571" w14:textId="77777777" w:rsidR="00753A64" w:rsidRPr="002859DB" w:rsidRDefault="00753A64" w:rsidP="00F369CC">
      <w:pPr>
        <w:spacing w:after="120" w:line="240" w:lineRule="auto"/>
        <w:jc w:val="both"/>
        <w:rPr>
          <w:rFonts w:ascii="Candara" w:eastAsia="Candara" w:hAnsi="Candara" w:cs="Candara"/>
          <w:color w:val="000000"/>
          <w:sz w:val="24"/>
          <w:szCs w:val="24"/>
        </w:rPr>
      </w:pPr>
    </w:p>
    <w:p w14:paraId="006981FD" w14:textId="77777777" w:rsidR="00753A64" w:rsidRPr="00753A64" w:rsidRDefault="00753A64" w:rsidP="00753A64">
      <w:pPr>
        <w:spacing w:after="0" w:line="360" w:lineRule="auto"/>
        <w:ind w:firstLine="850"/>
        <w:jc w:val="both"/>
        <w:rPr>
          <w:rFonts w:ascii="Candara" w:hAnsi="Candara" w:cs="Times New Roman"/>
          <w:sz w:val="24"/>
          <w:szCs w:val="24"/>
        </w:rPr>
      </w:pPr>
      <w:r w:rsidRPr="00753A64">
        <w:rPr>
          <w:rFonts w:ascii="Candara" w:eastAsia="Times New Roman" w:hAnsi="Candara" w:cs="Times New Roman"/>
          <w:spacing w:val="-4"/>
          <w:sz w:val="24"/>
          <w:szCs w:val="24"/>
        </w:rPr>
        <w:t xml:space="preserve">O estudo teve o </w:t>
      </w:r>
      <w:r w:rsidRPr="00753A64">
        <w:rPr>
          <w:rFonts w:ascii="Candara" w:hAnsi="Candara" w:cs="Times New Roman"/>
          <w:spacing w:val="-4"/>
          <w:sz w:val="24"/>
          <w:szCs w:val="24"/>
        </w:rPr>
        <w:t xml:space="preserve">objetivo de identificar como estão os municípios do estágio Colher (Aquidauana, Bodoquena, Bonito, Campo Grande, Corumbá, Costa Rica, Dourados e Jardim), no aspecto da sustentabilidade, a partir da análise realizada pelo Barômetro da Sustentabilidade (BS). </w:t>
      </w:r>
    </w:p>
    <w:p w14:paraId="6AAC67A7" w14:textId="77777777" w:rsidR="00753A64" w:rsidRPr="00753A64" w:rsidRDefault="00753A64" w:rsidP="00753A64">
      <w:pPr>
        <w:spacing w:after="0" w:line="360" w:lineRule="auto"/>
        <w:ind w:firstLine="851"/>
        <w:jc w:val="both"/>
        <w:rPr>
          <w:rFonts w:ascii="Candara" w:eastAsia="Times New Roman" w:hAnsi="Candara" w:cs="Times New Roman"/>
          <w:spacing w:val="-4"/>
          <w:sz w:val="24"/>
          <w:szCs w:val="24"/>
        </w:rPr>
      </w:pPr>
      <w:r w:rsidRPr="00753A64">
        <w:rPr>
          <w:rFonts w:ascii="Candara" w:eastAsia="Times New Roman" w:hAnsi="Candara" w:cs="Times New Roman"/>
          <w:spacing w:val="-4"/>
          <w:sz w:val="24"/>
          <w:szCs w:val="24"/>
        </w:rPr>
        <w:t>De modo geral, pelos dados do Sistema Humano, com a exceção de Corumbá, os municípios estão situados na faixa de definição como “Adequado” (quase sustentável), porém, Campo Grande (a capital do estado) se encontra no patamar “Ótimo” (Sustentável). Da perspectiva dos dados de Sistema Ambiental, o cenário já muda, pois metade dos municípios recebeu a classificação “Médio”, e a outra metade ficaram na faixa “Adequado” (quase sustentável). Na média final, quatro municípios se destacaram na faixa “Adequado”, sendo Bonito, Costa Rica, Dourados e Campo Grande.</w:t>
      </w:r>
    </w:p>
    <w:p w14:paraId="731159F8" w14:textId="4F5F589B" w:rsidR="00753A64" w:rsidRPr="002859DB" w:rsidRDefault="00753A64" w:rsidP="00753A64">
      <w:pPr>
        <w:spacing w:after="0" w:line="360" w:lineRule="auto"/>
        <w:jc w:val="both"/>
        <w:rPr>
          <w:rFonts w:ascii="Candara" w:eastAsia="Times New Roman" w:hAnsi="Candara" w:cs="Times New Roman"/>
          <w:spacing w:val="-4"/>
          <w:sz w:val="24"/>
          <w:szCs w:val="24"/>
        </w:rPr>
      </w:pPr>
      <w:r w:rsidRPr="00753A64">
        <w:rPr>
          <w:rFonts w:ascii="Candara" w:eastAsia="Times New Roman" w:hAnsi="Candara" w:cs="Times New Roman"/>
          <w:sz w:val="24"/>
          <w:szCs w:val="24"/>
        </w:rPr>
        <w:tab/>
      </w:r>
      <w:r w:rsidRPr="002859DB">
        <w:rPr>
          <w:rFonts w:ascii="Candara" w:eastAsia="Times New Roman" w:hAnsi="Candara" w:cs="Times New Roman"/>
          <w:spacing w:val="-4"/>
          <w:sz w:val="24"/>
          <w:szCs w:val="24"/>
        </w:rPr>
        <w:t xml:space="preserve">Porém, </w:t>
      </w:r>
      <w:r w:rsidR="00141FF1">
        <w:rPr>
          <w:rFonts w:ascii="Candara" w:eastAsia="Times New Roman" w:hAnsi="Candara" w:cs="Times New Roman"/>
          <w:spacing w:val="-4"/>
          <w:sz w:val="24"/>
          <w:szCs w:val="24"/>
        </w:rPr>
        <w:t xml:space="preserve">na </w:t>
      </w:r>
      <w:r w:rsidRPr="002859DB">
        <w:rPr>
          <w:rFonts w:ascii="Candara" w:eastAsia="Times New Roman" w:hAnsi="Candara" w:cs="Times New Roman"/>
          <w:spacing w:val="-4"/>
          <w:sz w:val="24"/>
          <w:szCs w:val="24"/>
        </w:rPr>
        <w:t>combinação do Sistema Ambiental e Humano</w:t>
      </w:r>
      <w:r w:rsidR="00141FF1">
        <w:rPr>
          <w:rFonts w:ascii="Candara" w:eastAsia="Times New Roman" w:hAnsi="Candara" w:cs="Times New Roman"/>
          <w:spacing w:val="-4"/>
          <w:sz w:val="24"/>
          <w:szCs w:val="24"/>
        </w:rPr>
        <w:t xml:space="preserve">, a </w:t>
      </w:r>
      <w:r w:rsidRPr="002859DB">
        <w:rPr>
          <w:rFonts w:ascii="Candara" w:eastAsia="Times New Roman" w:hAnsi="Candara" w:cs="Times New Roman"/>
          <w:spacing w:val="-4"/>
          <w:sz w:val="24"/>
          <w:szCs w:val="24"/>
        </w:rPr>
        <w:t xml:space="preserve">partir das análises do Barômetro da Sustentabilidade, apresentou-se um cenário que é possível concluir que Campo Grande é o município que se destaca, posicionando-se na faixa “Adequada”. </w:t>
      </w:r>
    </w:p>
    <w:p w14:paraId="7BB56152" w14:textId="42DFCF5F" w:rsidR="00753A64" w:rsidRPr="00753A64" w:rsidRDefault="00753A64" w:rsidP="00753A64">
      <w:pPr>
        <w:spacing w:after="0" w:line="360" w:lineRule="auto"/>
        <w:ind w:firstLine="708"/>
        <w:jc w:val="both"/>
        <w:rPr>
          <w:rFonts w:ascii="Candara" w:eastAsia="Times New Roman" w:hAnsi="Candara" w:cs="Times New Roman"/>
          <w:sz w:val="24"/>
          <w:szCs w:val="24"/>
        </w:rPr>
      </w:pPr>
      <w:r w:rsidRPr="00753A64">
        <w:rPr>
          <w:rFonts w:ascii="Candara" w:eastAsia="Times New Roman" w:hAnsi="Candara" w:cs="Times New Roman"/>
          <w:sz w:val="24"/>
          <w:szCs w:val="24"/>
        </w:rPr>
        <w:t xml:space="preserve">Por outro lado, os demais municípios encontram-se na faixa “Média Sustentabilidade”. Entretanto, é importante ressaltar que Corumbá apresenta uma situação desafiadora, com indicadores baixos, como o Humano (índices de IFDM e esgotamento sanitário), Econômicos (baixo percentual de população ocupada e alto percentual de população com renda de até meio salário mínimo), e Ambientais </w:t>
      </w:r>
      <w:r w:rsidRPr="00753A64">
        <w:rPr>
          <w:rFonts w:ascii="Candara" w:eastAsia="Times New Roman" w:hAnsi="Candara" w:cs="Times New Roman"/>
          <w:sz w:val="24"/>
          <w:szCs w:val="24"/>
        </w:rPr>
        <w:lastRenderedPageBreak/>
        <w:t>(menores percentuais de estabelecimentos rurais com água; que recebe orientação técnica, e com energia elétrica)</w:t>
      </w:r>
      <w:r w:rsidR="00B71D6C">
        <w:rPr>
          <w:rFonts w:ascii="Candara" w:eastAsia="Times New Roman" w:hAnsi="Candara" w:cs="Times New Roman"/>
          <w:sz w:val="24"/>
          <w:szCs w:val="24"/>
        </w:rPr>
        <w:t xml:space="preserve">, </w:t>
      </w:r>
      <w:r w:rsidRPr="00753A64">
        <w:rPr>
          <w:rFonts w:ascii="Candara" w:eastAsia="Times New Roman" w:hAnsi="Candara" w:cs="Times New Roman"/>
          <w:sz w:val="24"/>
          <w:szCs w:val="24"/>
        </w:rPr>
        <w:t>fatores baixos</w:t>
      </w:r>
      <w:r w:rsidR="00B71D6C">
        <w:rPr>
          <w:rFonts w:ascii="Candara" w:eastAsia="Times New Roman" w:hAnsi="Candara" w:cs="Times New Roman"/>
          <w:sz w:val="24"/>
          <w:szCs w:val="24"/>
        </w:rPr>
        <w:t xml:space="preserve"> que</w:t>
      </w:r>
      <w:r w:rsidRPr="00753A64">
        <w:rPr>
          <w:rFonts w:ascii="Candara" w:eastAsia="Times New Roman" w:hAnsi="Candara" w:cs="Times New Roman"/>
          <w:sz w:val="24"/>
          <w:szCs w:val="24"/>
        </w:rPr>
        <w:t xml:space="preserve"> posicionaram o município no ponto mais baixo do gráfico do Barômetro da Sustentabilidade.</w:t>
      </w:r>
    </w:p>
    <w:p w14:paraId="78638C15" w14:textId="77777777" w:rsidR="00753A64" w:rsidRPr="00753A64" w:rsidRDefault="00753A64" w:rsidP="00753A64">
      <w:pPr>
        <w:autoSpaceDE w:val="0"/>
        <w:autoSpaceDN w:val="0"/>
        <w:adjustRightInd w:val="0"/>
        <w:spacing w:after="0" w:line="360" w:lineRule="auto"/>
        <w:ind w:firstLine="708"/>
        <w:jc w:val="both"/>
        <w:rPr>
          <w:rFonts w:ascii="Candara" w:hAnsi="Candara" w:cs="Times New Roman"/>
          <w:spacing w:val="-4"/>
          <w:sz w:val="24"/>
          <w:szCs w:val="24"/>
        </w:rPr>
      </w:pPr>
      <w:r w:rsidRPr="00753A64">
        <w:rPr>
          <w:rFonts w:ascii="Candara" w:eastAsia="Times New Roman" w:hAnsi="Candara" w:cs="Times New Roman"/>
          <w:color w:val="000000" w:themeColor="text1"/>
          <w:spacing w:val="-4"/>
          <w:sz w:val="24"/>
          <w:szCs w:val="24"/>
        </w:rPr>
        <w:t xml:space="preserve">Contudo, essa pesquisa atingiu o resultado do seu objetivo e tem por pretensão de não limitar o estudo sobre o tema, indicando a sua continuidade, que demanda uma investigação mais detalhada dos indicadores reportados, até para compreender o baixo posicionamento de alguns municípios no aspecto da sustentabilidade. </w:t>
      </w:r>
      <w:bookmarkStart w:id="2" w:name="_Hlk144854128"/>
      <w:r w:rsidRPr="00753A64">
        <w:rPr>
          <w:rFonts w:ascii="Candara" w:hAnsi="Candara" w:cs="Times New Roman"/>
          <w:spacing w:val="-4"/>
          <w:sz w:val="24"/>
          <w:szCs w:val="24"/>
        </w:rPr>
        <w:t>Essa situação evidencia a necessidade de reformular as políticas de apoio ao desenvolvimento, com o objetivo de melhorar os indicadores que se encontram em condições críticas.</w:t>
      </w:r>
    </w:p>
    <w:bookmarkEnd w:id="2"/>
    <w:p w14:paraId="799BE8BE" w14:textId="77777777" w:rsidR="00753A64" w:rsidRDefault="00753A64">
      <w:pPr>
        <w:spacing w:after="120" w:line="360" w:lineRule="auto"/>
        <w:jc w:val="both"/>
        <w:rPr>
          <w:rFonts w:ascii="Candara" w:eastAsia="Candara" w:hAnsi="Candara" w:cs="Candara"/>
          <w:color w:val="000000"/>
          <w:sz w:val="28"/>
          <w:szCs w:val="28"/>
        </w:rPr>
      </w:pPr>
    </w:p>
    <w:p w14:paraId="15F1528B" w14:textId="77777777" w:rsidR="005B483D" w:rsidRDefault="00CE7EE5">
      <w:pPr>
        <w:jc w:val="both"/>
        <w:rPr>
          <w:rFonts w:ascii="Candara" w:eastAsia="Candara" w:hAnsi="Candara" w:cs="Candara"/>
          <w:color w:val="000000"/>
          <w:sz w:val="28"/>
          <w:szCs w:val="28"/>
        </w:rPr>
      </w:pPr>
      <w:r>
        <w:rPr>
          <w:rFonts w:ascii="Candara" w:eastAsia="Candara" w:hAnsi="Candara" w:cs="Candara"/>
          <w:color w:val="000000"/>
          <w:sz w:val="28"/>
          <w:szCs w:val="28"/>
        </w:rPr>
        <w:t>Referências</w:t>
      </w:r>
    </w:p>
    <w:p w14:paraId="56A130ED" w14:textId="77777777" w:rsidR="00753A64" w:rsidRPr="00753A64" w:rsidRDefault="00753A64" w:rsidP="00AB34C0">
      <w:pPr>
        <w:autoSpaceDE w:val="0"/>
        <w:autoSpaceDN w:val="0"/>
        <w:adjustRightInd w:val="0"/>
        <w:spacing w:after="0" w:line="240" w:lineRule="auto"/>
        <w:jc w:val="both"/>
        <w:rPr>
          <w:rFonts w:ascii="Candara" w:hAnsi="Candara" w:cs="Times New Roman"/>
          <w:sz w:val="24"/>
          <w:szCs w:val="24"/>
        </w:rPr>
      </w:pPr>
      <w:r w:rsidRPr="00753A64">
        <w:rPr>
          <w:rFonts w:ascii="Candara" w:hAnsi="Candara" w:cs="Times New Roman"/>
          <w:sz w:val="24"/>
          <w:szCs w:val="24"/>
        </w:rPr>
        <w:t xml:space="preserve">ACERENZA, M. Á. </w:t>
      </w:r>
      <w:r w:rsidRPr="00753A64">
        <w:rPr>
          <w:rFonts w:ascii="Candara" w:hAnsi="Candara" w:cs="Times New Roman"/>
          <w:i/>
          <w:iCs/>
          <w:sz w:val="24"/>
          <w:szCs w:val="24"/>
        </w:rPr>
        <w:t xml:space="preserve">Administración </w:t>
      </w:r>
      <w:proofErr w:type="spellStart"/>
      <w:r w:rsidRPr="00753A64">
        <w:rPr>
          <w:rFonts w:ascii="Candara" w:hAnsi="Candara" w:cs="Times New Roman"/>
          <w:i/>
          <w:iCs/>
          <w:sz w:val="24"/>
          <w:szCs w:val="24"/>
        </w:rPr>
        <w:t>del</w:t>
      </w:r>
      <w:proofErr w:type="spellEnd"/>
      <w:r w:rsidRPr="00753A64">
        <w:rPr>
          <w:rFonts w:ascii="Candara" w:hAnsi="Candara" w:cs="Times New Roman"/>
          <w:i/>
          <w:iCs/>
          <w:sz w:val="24"/>
          <w:szCs w:val="24"/>
        </w:rPr>
        <w:t xml:space="preserve"> turismo: </w:t>
      </w:r>
      <w:proofErr w:type="spellStart"/>
      <w:r w:rsidRPr="00753A64">
        <w:rPr>
          <w:rFonts w:ascii="Candara" w:hAnsi="Candara" w:cs="Times New Roman"/>
          <w:i/>
          <w:iCs/>
          <w:sz w:val="24"/>
          <w:szCs w:val="24"/>
        </w:rPr>
        <w:t>conceptualización</w:t>
      </w:r>
      <w:proofErr w:type="spellEnd"/>
      <w:r w:rsidRPr="00753A64">
        <w:rPr>
          <w:rFonts w:ascii="Candara" w:hAnsi="Candara" w:cs="Times New Roman"/>
          <w:i/>
          <w:iCs/>
          <w:sz w:val="24"/>
          <w:szCs w:val="24"/>
        </w:rPr>
        <w:t xml:space="preserve"> y </w:t>
      </w:r>
      <w:proofErr w:type="spellStart"/>
      <w:r w:rsidRPr="00753A64">
        <w:rPr>
          <w:rFonts w:ascii="Candara" w:hAnsi="Candara" w:cs="Times New Roman"/>
          <w:i/>
          <w:iCs/>
          <w:sz w:val="24"/>
          <w:szCs w:val="24"/>
        </w:rPr>
        <w:t>organización</w:t>
      </w:r>
      <w:proofErr w:type="spellEnd"/>
      <w:r w:rsidRPr="00753A64">
        <w:rPr>
          <w:rFonts w:ascii="Candara" w:hAnsi="Candara" w:cs="Times New Roman"/>
          <w:i/>
          <w:iCs/>
          <w:sz w:val="24"/>
          <w:szCs w:val="24"/>
        </w:rPr>
        <w:t>.</w:t>
      </w:r>
      <w:r w:rsidRPr="00753A64">
        <w:rPr>
          <w:rFonts w:ascii="Candara" w:hAnsi="Candara" w:cs="Times New Roman"/>
          <w:b/>
          <w:bCs/>
          <w:sz w:val="24"/>
          <w:szCs w:val="24"/>
        </w:rPr>
        <w:t xml:space="preserve"> </w:t>
      </w:r>
      <w:r w:rsidRPr="00753A64">
        <w:rPr>
          <w:rFonts w:ascii="Candara" w:hAnsi="Candara" w:cs="Times New Roman"/>
          <w:sz w:val="24"/>
          <w:szCs w:val="24"/>
        </w:rPr>
        <w:t xml:space="preserve">4. ed. México: </w:t>
      </w:r>
      <w:proofErr w:type="spellStart"/>
      <w:r w:rsidRPr="00753A64">
        <w:rPr>
          <w:rFonts w:ascii="Candara" w:hAnsi="Candara" w:cs="Times New Roman"/>
          <w:sz w:val="24"/>
          <w:szCs w:val="24"/>
        </w:rPr>
        <w:t>Trillas</w:t>
      </w:r>
      <w:proofErr w:type="spellEnd"/>
      <w:r w:rsidRPr="00753A64">
        <w:rPr>
          <w:rFonts w:ascii="Candara" w:hAnsi="Candara" w:cs="Times New Roman"/>
          <w:sz w:val="24"/>
          <w:szCs w:val="24"/>
        </w:rPr>
        <w:t>. 1991.</w:t>
      </w:r>
    </w:p>
    <w:p w14:paraId="00DEE684" w14:textId="77777777" w:rsidR="00753A64" w:rsidRPr="00753A64" w:rsidRDefault="00753A64" w:rsidP="00AB34C0">
      <w:pPr>
        <w:autoSpaceDE w:val="0"/>
        <w:autoSpaceDN w:val="0"/>
        <w:adjustRightInd w:val="0"/>
        <w:spacing w:after="0" w:line="240" w:lineRule="auto"/>
        <w:jc w:val="both"/>
        <w:rPr>
          <w:rFonts w:ascii="Candara" w:hAnsi="Candara" w:cs="Times New Roman"/>
          <w:sz w:val="24"/>
          <w:szCs w:val="24"/>
        </w:rPr>
      </w:pPr>
    </w:p>
    <w:p w14:paraId="023E1772"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 xml:space="preserve">AMORIM, A. DE S.; ARAÚJO, M. F. F.; CÂNDIDO, G. A. Uso do Barômetro da Sustentabilidade para avaliação de um município localizado em região semiárida do Nordeste </w:t>
      </w:r>
      <w:proofErr w:type="gramStart"/>
      <w:r w:rsidRPr="00753A64">
        <w:rPr>
          <w:rFonts w:ascii="Candara" w:hAnsi="Candara" w:cs="Times New Roman"/>
          <w:sz w:val="24"/>
          <w:szCs w:val="24"/>
        </w:rPr>
        <w:t>Brasileiro</w:t>
      </w:r>
      <w:proofErr w:type="gramEnd"/>
      <w:r w:rsidRPr="00753A64">
        <w:rPr>
          <w:rFonts w:ascii="Candara" w:hAnsi="Candara" w:cs="Times New Roman"/>
          <w:sz w:val="24"/>
          <w:szCs w:val="24"/>
        </w:rPr>
        <w:t xml:space="preserve">. </w:t>
      </w:r>
      <w:r w:rsidRPr="00753A64">
        <w:rPr>
          <w:rFonts w:ascii="Candara" w:hAnsi="Candara" w:cs="Times New Roman"/>
          <w:i/>
          <w:iCs/>
          <w:sz w:val="24"/>
          <w:szCs w:val="24"/>
        </w:rPr>
        <w:t>Revista Desenvolvimento em Questão</w:t>
      </w:r>
      <w:r w:rsidRPr="00753A64">
        <w:rPr>
          <w:rFonts w:ascii="Candara" w:hAnsi="Candara" w:cs="Times New Roman"/>
          <w:sz w:val="24"/>
          <w:szCs w:val="24"/>
        </w:rPr>
        <w:t>. Nº 25. jan./mar. Ano 12. p. 189-217. 2014.</w:t>
      </w:r>
    </w:p>
    <w:p w14:paraId="23161A74" w14:textId="77777777" w:rsidR="00753A64" w:rsidRPr="00753A64" w:rsidRDefault="00753A64" w:rsidP="00AB34C0">
      <w:pPr>
        <w:spacing w:after="0" w:line="240" w:lineRule="auto"/>
        <w:jc w:val="both"/>
        <w:rPr>
          <w:rFonts w:ascii="Candara" w:hAnsi="Candara" w:cs="Times New Roman"/>
          <w:sz w:val="24"/>
          <w:szCs w:val="24"/>
        </w:rPr>
      </w:pPr>
    </w:p>
    <w:p w14:paraId="22018F4C"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 xml:space="preserve">BELLEN, H. M. V. </w:t>
      </w:r>
      <w:r w:rsidRPr="00753A64">
        <w:rPr>
          <w:rFonts w:ascii="Candara" w:hAnsi="Candara" w:cs="Times New Roman"/>
          <w:i/>
          <w:iCs/>
          <w:sz w:val="24"/>
          <w:szCs w:val="24"/>
        </w:rPr>
        <w:t>Indicadores de sustentabilidade: um levantamento dos principais sistemas de avaliação</w:t>
      </w:r>
      <w:r w:rsidRPr="00753A64">
        <w:rPr>
          <w:rFonts w:ascii="Candara" w:hAnsi="Candara" w:cs="Times New Roman"/>
          <w:sz w:val="24"/>
          <w:szCs w:val="24"/>
        </w:rPr>
        <w:t xml:space="preserve">. Cadernos EBAPE.BR, vol. II – Número 1 – </w:t>
      </w:r>
      <w:proofErr w:type="gramStart"/>
      <w:r w:rsidRPr="00753A64">
        <w:rPr>
          <w:rFonts w:ascii="Candara" w:hAnsi="Candara" w:cs="Times New Roman"/>
          <w:sz w:val="24"/>
          <w:szCs w:val="24"/>
        </w:rPr>
        <w:t>Março</w:t>
      </w:r>
      <w:proofErr w:type="gramEnd"/>
      <w:r w:rsidRPr="00753A64">
        <w:rPr>
          <w:rFonts w:ascii="Candara" w:hAnsi="Candara" w:cs="Times New Roman"/>
          <w:sz w:val="24"/>
          <w:szCs w:val="24"/>
        </w:rPr>
        <w:t>. 2004.</w:t>
      </w:r>
    </w:p>
    <w:p w14:paraId="30E315D0" w14:textId="77777777" w:rsidR="00753A64" w:rsidRPr="00753A64" w:rsidRDefault="00753A64" w:rsidP="00AB34C0">
      <w:pPr>
        <w:spacing w:after="0" w:line="240" w:lineRule="auto"/>
        <w:jc w:val="both"/>
        <w:rPr>
          <w:rFonts w:ascii="Candara" w:hAnsi="Candara" w:cs="Times New Roman"/>
          <w:sz w:val="24"/>
          <w:szCs w:val="24"/>
        </w:rPr>
      </w:pPr>
    </w:p>
    <w:p w14:paraId="12C89B6D" w14:textId="77777777" w:rsidR="00753A64" w:rsidRPr="00753A64" w:rsidRDefault="00753A64" w:rsidP="00AB34C0">
      <w:pPr>
        <w:autoSpaceDE w:val="0"/>
        <w:autoSpaceDN w:val="0"/>
        <w:adjustRightInd w:val="0"/>
        <w:spacing w:after="0" w:line="240" w:lineRule="auto"/>
        <w:jc w:val="both"/>
        <w:rPr>
          <w:rFonts w:ascii="Candara" w:hAnsi="Candara" w:cs="Times New Roman"/>
          <w:sz w:val="24"/>
          <w:szCs w:val="24"/>
        </w:rPr>
      </w:pPr>
      <w:r w:rsidRPr="00753A64">
        <w:rPr>
          <w:rFonts w:ascii="Candara" w:hAnsi="Candara" w:cs="Times New Roman"/>
          <w:sz w:val="24"/>
          <w:szCs w:val="24"/>
        </w:rPr>
        <w:t xml:space="preserve">____________. </w:t>
      </w:r>
      <w:r w:rsidRPr="00753A64">
        <w:rPr>
          <w:rFonts w:ascii="Candara" w:hAnsi="Candara" w:cs="Times New Roman"/>
          <w:i/>
          <w:iCs/>
          <w:sz w:val="24"/>
          <w:szCs w:val="24"/>
        </w:rPr>
        <w:t>Indicadores de Sustentabilidade</w:t>
      </w:r>
      <w:r w:rsidRPr="00753A64">
        <w:rPr>
          <w:rFonts w:ascii="Candara" w:hAnsi="Candara" w:cs="Times New Roman"/>
          <w:sz w:val="24"/>
          <w:szCs w:val="24"/>
        </w:rPr>
        <w:t>: uma análise comparativa. Rio de Janeiro: Editora FGV. 2005.</w:t>
      </w:r>
    </w:p>
    <w:p w14:paraId="34FF7209" w14:textId="77777777" w:rsidR="00753A64" w:rsidRPr="00753A64" w:rsidRDefault="00753A64" w:rsidP="00AB34C0">
      <w:pPr>
        <w:spacing w:after="0" w:line="240" w:lineRule="auto"/>
        <w:jc w:val="both"/>
        <w:rPr>
          <w:rFonts w:ascii="Candara" w:hAnsi="Candara" w:cs="Times New Roman"/>
          <w:sz w:val="24"/>
          <w:szCs w:val="24"/>
        </w:rPr>
      </w:pPr>
    </w:p>
    <w:p w14:paraId="46C6A5C3" w14:textId="77777777" w:rsidR="00753A64" w:rsidRPr="00753A64" w:rsidRDefault="00753A64" w:rsidP="00AB34C0">
      <w:pPr>
        <w:autoSpaceDE w:val="0"/>
        <w:autoSpaceDN w:val="0"/>
        <w:adjustRightInd w:val="0"/>
        <w:spacing w:after="0" w:line="240" w:lineRule="auto"/>
        <w:jc w:val="both"/>
        <w:rPr>
          <w:rFonts w:ascii="Candara" w:hAnsi="Candara" w:cs="Times New Roman"/>
          <w:sz w:val="24"/>
          <w:szCs w:val="24"/>
        </w:rPr>
      </w:pPr>
      <w:r w:rsidRPr="00753A64">
        <w:rPr>
          <w:rFonts w:ascii="Candara" w:hAnsi="Candara" w:cs="Times New Roman"/>
          <w:sz w:val="24"/>
          <w:szCs w:val="24"/>
        </w:rPr>
        <w:t xml:space="preserve">BENI, M. C. </w:t>
      </w:r>
      <w:r w:rsidRPr="00753A64">
        <w:rPr>
          <w:rFonts w:ascii="Candara" w:hAnsi="Candara" w:cs="Times New Roman"/>
          <w:i/>
          <w:iCs/>
          <w:sz w:val="24"/>
          <w:szCs w:val="24"/>
        </w:rPr>
        <w:t>Análise estrutural do turismo</w:t>
      </w:r>
      <w:r w:rsidRPr="00753A64">
        <w:rPr>
          <w:rFonts w:ascii="Candara" w:hAnsi="Candara" w:cs="Times New Roman"/>
          <w:sz w:val="24"/>
          <w:szCs w:val="24"/>
        </w:rPr>
        <w:t>. 5. ed. atual. São Paulo: Editora Senac: São Paulo. 2001.</w:t>
      </w:r>
    </w:p>
    <w:p w14:paraId="4DD20DE8" w14:textId="77777777" w:rsidR="00753A64" w:rsidRPr="00753A64" w:rsidRDefault="00753A64" w:rsidP="00AB34C0">
      <w:pPr>
        <w:spacing w:after="0" w:line="240" w:lineRule="auto"/>
        <w:jc w:val="both"/>
        <w:rPr>
          <w:rFonts w:ascii="Candara" w:eastAsia="Times New Roman" w:hAnsi="Candara" w:cs="Times New Roman"/>
          <w:sz w:val="24"/>
          <w:szCs w:val="24"/>
        </w:rPr>
      </w:pPr>
    </w:p>
    <w:p w14:paraId="0E6C5A32"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lastRenderedPageBreak/>
        <w:t xml:space="preserve">CETRULO, T. B.; MOLINA, N. S.; MALHEIROS, T. F. Indicadores de sustentabilidade: proposta de um barômetro de sustentabilidade estadual. </w:t>
      </w:r>
      <w:r w:rsidRPr="00753A64">
        <w:rPr>
          <w:rFonts w:ascii="Candara" w:hAnsi="Candara" w:cs="Times New Roman"/>
          <w:i/>
          <w:iCs/>
          <w:sz w:val="24"/>
          <w:szCs w:val="24"/>
        </w:rPr>
        <w:t>Revista Brasileira de Ciências Ambientais.</w:t>
      </w:r>
      <w:r w:rsidRPr="00753A64">
        <w:rPr>
          <w:rFonts w:ascii="Candara" w:hAnsi="Candara" w:cs="Times New Roman"/>
          <w:b/>
          <w:bCs/>
          <w:sz w:val="24"/>
          <w:szCs w:val="24"/>
        </w:rPr>
        <w:t xml:space="preserve"> </w:t>
      </w:r>
      <w:r w:rsidRPr="00753A64">
        <w:rPr>
          <w:rFonts w:ascii="Candara" w:hAnsi="Candara" w:cs="Times New Roman"/>
          <w:sz w:val="24"/>
          <w:szCs w:val="24"/>
        </w:rPr>
        <w:t xml:space="preserve"> nº 30, </w:t>
      </w:r>
      <w:proofErr w:type="gramStart"/>
      <w:r w:rsidRPr="00753A64">
        <w:rPr>
          <w:rFonts w:ascii="Candara" w:hAnsi="Candara" w:cs="Times New Roman"/>
          <w:sz w:val="24"/>
          <w:szCs w:val="24"/>
        </w:rPr>
        <w:t>Dez.</w:t>
      </w:r>
      <w:proofErr w:type="gramEnd"/>
      <w:r w:rsidRPr="00753A64">
        <w:rPr>
          <w:rFonts w:ascii="Candara" w:hAnsi="Candara" w:cs="Times New Roman"/>
          <w:sz w:val="24"/>
          <w:szCs w:val="24"/>
        </w:rPr>
        <w:t xml:space="preserve"> ISSN Impresso 1808-4524 / ISSN Eletrônico: 2176-9478. 2013. </w:t>
      </w:r>
    </w:p>
    <w:p w14:paraId="6DCCECA1" w14:textId="77777777" w:rsidR="00753A64" w:rsidRPr="00753A64" w:rsidRDefault="00753A64" w:rsidP="00AB34C0">
      <w:pPr>
        <w:spacing w:after="0" w:line="240" w:lineRule="auto"/>
        <w:jc w:val="both"/>
        <w:rPr>
          <w:rFonts w:ascii="Candara" w:hAnsi="Candara" w:cs="Times New Roman"/>
          <w:sz w:val="24"/>
          <w:szCs w:val="24"/>
        </w:rPr>
      </w:pPr>
    </w:p>
    <w:p w14:paraId="699ECCBB" w14:textId="77777777" w:rsidR="00753A64" w:rsidRPr="00753A64" w:rsidRDefault="00753A64" w:rsidP="00AB34C0">
      <w:pPr>
        <w:autoSpaceDE w:val="0"/>
        <w:autoSpaceDN w:val="0"/>
        <w:adjustRightInd w:val="0"/>
        <w:spacing w:after="0" w:line="240" w:lineRule="auto"/>
        <w:jc w:val="both"/>
        <w:rPr>
          <w:rFonts w:ascii="Candara" w:hAnsi="Candara" w:cs="Times New Roman"/>
          <w:sz w:val="24"/>
          <w:szCs w:val="24"/>
        </w:rPr>
      </w:pPr>
      <w:r w:rsidRPr="00753A64">
        <w:rPr>
          <w:rFonts w:ascii="Candara" w:hAnsi="Candara" w:cs="Times New Roman"/>
          <w:sz w:val="24"/>
          <w:szCs w:val="24"/>
        </w:rPr>
        <w:t xml:space="preserve">CHAPARRO, J. B. As políticas públicas para o turismo e o desenvolvimento endógeno em Corumbá-MS. 125 f, </w:t>
      </w:r>
      <w:r w:rsidRPr="00753A64">
        <w:rPr>
          <w:rFonts w:ascii="Candara" w:hAnsi="Candara" w:cs="Times New Roman"/>
          <w:i/>
          <w:iCs/>
          <w:sz w:val="24"/>
          <w:szCs w:val="24"/>
        </w:rPr>
        <w:t>Dissertação</w:t>
      </w:r>
      <w:r w:rsidRPr="00753A64">
        <w:rPr>
          <w:rFonts w:ascii="Candara" w:hAnsi="Candara" w:cs="Times New Roman"/>
          <w:sz w:val="24"/>
          <w:szCs w:val="24"/>
        </w:rPr>
        <w:t xml:space="preserve"> (Mestrado) – Desenvolvimento Regional e Sistemas Produtivos– Universidade Estadual de Mato Grosso do Sul, Ponta Porã, MS: UEMS. 2017.</w:t>
      </w:r>
    </w:p>
    <w:p w14:paraId="0C20FFAC" w14:textId="77777777" w:rsidR="00753A64" w:rsidRPr="00753A64" w:rsidRDefault="00753A64" w:rsidP="00AB34C0">
      <w:pPr>
        <w:spacing w:after="0" w:line="240" w:lineRule="auto"/>
        <w:jc w:val="both"/>
        <w:rPr>
          <w:rFonts w:ascii="Candara" w:hAnsi="Candara" w:cs="Times New Roman"/>
          <w:sz w:val="24"/>
          <w:szCs w:val="24"/>
        </w:rPr>
      </w:pPr>
    </w:p>
    <w:p w14:paraId="68FD25E0"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 xml:space="preserve">COMISSÃO MUNDIAL DE MEIO AMBIENTE E DESENVOLVIMENTO. </w:t>
      </w:r>
      <w:r w:rsidRPr="00753A64">
        <w:rPr>
          <w:rFonts w:ascii="Candara" w:hAnsi="Candara" w:cs="Times New Roman"/>
          <w:i/>
          <w:iCs/>
          <w:sz w:val="24"/>
          <w:szCs w:val="24"/>
        </w:rPr>
        <w:t>Nosso Futuro Comum</w:t>
      </w:r>
      <w:r w:rsidRPr="00753A64">
        <w:rPr>
          <w:rFonts w:ascii="Candara" w:hAnsi="Candara" w:cs="Times New Roman"/>
          <w:sz w:val="24"/>
          <w:szCs w:val="24"/>
        </w:rPr>
        <w:t>. 2ª ed. Editora: Fundação Getúlio Vargas. Rio de Janeiro. 1991.</w:t>
      </w:r>
    </w:p>
    <w:p w14:paraId="52A2EBA6" w14:textId="77777777" w:rsidR="00753A64" w:rsidRPr="00753A64" w:rsidRDefault="00753A64" w:rsidP="00AB34C0">
      <w:pPr>
        <w:spacing w:after="0" w:line="240" w:lineRule="auto"/>
        <w:jc w:val="both"/>
        <w:rPr>
          <w:rFonts w:ascii="Candara" w:hAnsi="Candara" w:cs="Times New Roman"/>
          <w:sz w:val="24"/>
          <w:szCs w:val="24"/>
        </w:rPr>
      </w:pPr>
    </w:p>
    <w:p w14:paraId="4F372103" w14:textId="1309E7A0" w:rsidR="00753A64" w:rsidRPr="00753A64" w:rsidRDefault="00753A64" w:rsidP="00AB34C0">
      <w:pPr>
        <w:autoSpaceDE w:val="0"/>
        <w:autoSpaceDN w:val="0"/>
        <w:adjustRightInd w:val="0"/>
        <w:spacing w:after="0" w:line="240" w:lineRule="auto"/>
        <w:jc w:val="both"/>
        <w:rPr>
          <w:rFonts w:ascii="Candara" w:hAnsi="Candara" w:cs="Times New Roman"/>
          <w:sz w:val="24"/>
          <w:szCs w:val="24"/>
        </w:rPr>
      </w:pPr>
      <w:r w:rsidRPr="00753A64">
        <w:rPr>
          <w:rFonts w:ascii="Candara" w:hAnsi="Candara" w:cs="Times New Roman"/>
          <w:sz w:val="24"/>
          <w:szCs w:val="24"/>
        </w:rPr>
        <w:t>COOPER, C.</w:t>
      </w:r>
      <w:r>
        <w:rPr>
          <w:rFonts w:ascii="Candara" w:hAnsi="Candara" w:cs="Times New Roman"/>
          <w:sz w:val="24"/>
          <w:szCs w:val="24"/>
        </w:rPr>
        <w:t>;</w:t>
      </w:r>
      <w:r w:rsidRPr="00753A64">
        <w:rPr>
          <w:rFonts w:ascii="Candara" w:hAnsi="Candara" w:cs="Times New Roman"/>
          <w:sz w:val="24"/>
          <w:szCs w:val="24"/>
        </w:rPr>
        <w:t xml:space="preserve"> FLETCHER</w:t>
      </w:r>
      <w:r>
        <w:rPr>
          <w:rFonts w:ascii="Candara" w:hAnsi="Candara" w:cs="Times New Roman"/>
          <w:sz w:val="24"/>
          <w:szCs w:val="24"/>
        </w:rPr>
        <w:t>;</w:t>
      </w:r>
      <w:r w:rsidRPr="00753A64">
        <w:rPr>
          <w:rFonts w:ascii="Candara" w:hAnsi="Candara" w:cs="Times New Roman"/>
          <w:sz w:val="24"/>
          <w:szCs w:val="24"/>
        </w:rPr>
        <w:t xml:space="preserve"> J., FYALL, A.</w:t>
      </w:r>
      <w:r>
        <w:rPr>
          <w:rFonts w:ascii="Candara" w:hAnsi="Candara" w:cs="Times New Roman"/>
          <w:sz w:val="24"/>
          <w:szCs w:val="24"/>
        </w:rPr>
        <w:t>;</w:t>
      </w:r>
      <w:r w:rsidRPr="00753A64">
        <w:rPr>
          <w:rFonts w:ascii="Candara" w:hAnsi="Candara" w:cs="Times New Roman"/>
          <w:sz w:val="24"/>
          <w:szCs w:val="24"/>
        </w:rPr>
        <w:t xml:space="preserve"> GILBERT, D.</w:t>
      </w:r>
      <w:r>
        <w:rPr>
          <w:rFonts w:ascii="Candara" w:hAnsi="Candara" w:cs="Times New Roman"/>
          <w:sz w:val="24"/>
          <w:szCs w:val="24"/>
        </w:rPr>
        <w:t>;</w:t>
      </w:r>
      <w:r w:rsidRPr="00753A64">
        <w:rPr>
          <w:rFonts w:ascii="Candara" w:hAnsi="Candara" w:cs="Times New Roman"/>
          <w:sz w:val="24"/>
          <w:szCs w:val="24"/>
        </w:rPr>
        <w:t xml:space="preserve"> WANHILL, S. </w:t>
      </w:r>
      <w:r w:rsidRPr="00753A64">
        <w:rPr>
          <w:rFonts w:ascii="Candara" w:hAnsi="Candara" w:cs="Times New Roman"/>
          <w:i/>
          <w:iCs/>
          <w:sz w:val="24"/>
          <w:szCs w:val="24"/>
        </w:rPr>
        <w:t>Turismo, princípios e práticas.</w:t>
      </w:r>
      <w:r w:rsidRPr="00753A64">
        <w:rPr>
          <w:rFonts w:ascii="Candara" w:hAnsi="Candara" w:cs="Times New Roman"/>
          <w:b/>
          <w:bCs/>
          <w:sz w:val="24"/>
          <w:szCs w:val="24"/>
        </w:rPr>
        <w:t xml:space="preserve"> </w:t>
      </w:r>
      <w:r w:rsidRPr="00753A64">
        <w:rPr>
          <w:rFonts w:ascii="Candara" w:hAnsi="Candara" w:cs="Times New Roman"/>
          <w:sz w:val="24"/>
          <w:szCs w:val="24"/>
        </w:rPr>
        <w:t>Trad. Roberto Cataldo Costa. 2ª ed. Porto Alegre: Bookman. 2001.</w:t>
      </w:r>
    </w:p>
    <w:p w14:paraId="10FA448A" w14:textId="77777777" w:rsidR="00753A64" w:rsidRPr="00753A64" w:rsidRDefault="00753A64" w:rsidP="00AB34C0">
      <w:pPr>
        <w:autoSpaceDE w:val="0"/>
        <w:autoSpaceDN w:val="0"/>
        <w:adjustRightInd w:val="0"/>
        <w:spacing w:after="0" w:line="240" w:lineRule="auto"/>
        <w:jc w:val="both"/>
        <w:rPr>
          <w:rFonts w:ascii="Candara" w:hAnsi="Candara" w:cs="Times New Roman"/>
          <w:sz w:val="24"/>
          <w:szCs w:val="24"/>
        </w:rPr>
      </w:pPr>
    </w:p>
    <w:p w14:paraId="6C240A71" w14:textId="5E9539EC" w:rsidR="00753A64" w:rsidRPr="00753A64" w:rsidRDefault="00753A64" w:rsidP="00AB34C0">
      <w:pPr>
        <w:spacing w:after="0" w:line="240" w:lineRule="auto"/>
        <w:jc w:val="both"/>
        <w:rPr>
          <w:rFonts w:ascii="Candara" w:eastAsia="Times New Roman" w:hAnsi="Candara" w:cs="Times New Roman"/>
          <w:sz w:val="24"/>
          <w:szCs w:val="24"/>
        </w:rPr>
      </w:pPr>
      <w:r w:rsidRPr="00753A64">
        <w:rPr>
          <w:rFonts w:ascii="Candara" w:eastAsia="Times New Roman" w:hAnsi="Candara" w:cs="Times New Roman"/>
          <w:sz w:val="24"/>
          <w:szCs w:val="24"/>
        </w:rPr>
        <w:t>FEIL, A. A.</w:t>
      </w:r>
      <w:r>
        <w:rPr>
          <w:rFonts w:ascii="Candara" w:eastAsia="Times New Roman" w:hAnsi="Candara" w:cs="Times New Roman"/>
          <w:sz w:val="24"/>
          <w:szCs w:val="24"/>
        </w:rPr>
        <w:t>;</w:t>
      </w:r>
      <w:r w:rsidRPr="00753A64">
        <w:rPr>
          <w:rFonts w:ascii="Candara" w:eastAsia="Times New Roman" w:hAnsi="Candara" w:cs="Times New Roman"/>
          <w:sz w:val="24"/>
          <w:szCs w:val="24"/>
        </w:rPr>
        <w:t xml:space="preserve"> SCHREIBER, D. </w:t>
      </w:r>
      <w:r w:rsidRPr="00753A64">
        <w:rPr>
          <w:rFonts w:ascii="Candara" w:eastAsia="Times New Roman" w:hAnsi="Candara" w:cs="Times New Roman"/>
          <w:bCs/>
          <w:i/>
          <w:iCs/>
          <w:sz w:val="24"/>
          <w:szCs w:val="24"/>
        </w:rPr>
        <w:t>Sustentabilidade e desenvolvimento sustentável: desvendando as sobreposições e alcances de seus significados.</w:t>
      </w:r>
      <w:r w:rsidRPr="00753A64">
        <w:rPr>
          <w:rFonts w:ascii="Candara" w:eastAsia="Times New Roman" w:hAnsi="Candara" w:cs="Times New Roman"/>
          <w:b/>
          <w:sz w:val="24"/>
          <w:szCs w:val="24"/>
        </w:rPr>
        <w:t xml:space="preserve"> </w:t>
      </w:r>
      <w:r w:rsidRPr="00753A64">
        <w:rPr>
          <w:rFonts w:ascii="Candara" w:eastAsia="Times New Roman" w:hAnsi="Candara" w:cs="Times New Roman"/>
          <w:sz w:val="24"/>
          <w:szCs w:val="24"/>
        </w:rPr>
        <w:t xml:space="preserve">Cad. EBAPE.BR, v. 14, nº 3, Artigo 7, Rio de Janeiro, </w:t>
      </w:r>
      <w:proofErr w:type="gramStart"/>
      <w:r w:rsidRPr="00753A64">
        <w:rPr>
          <w:rFonts w:ascii="Candara" w:eastAsia="Times New Roman" w:hAnsi="Candara" w:cs="Times New Roman"/>
          <w:sz w:val="24"/>
          <w:szCs w:val="24"/>
        </w:rPr>
        <w:t>Jul.</w:t>
      </w:r>
      <w:proofErr w:type="gramEnd"/>
      <w:r w:rsidRPr="00753A64">
        <w:rPr>
          <w:rFonts w:ascii="Candara" w:eastAsia="Times New Roman" w:hAnsi="Candara" w:cs="Times New Roman"/>
          <w:sz w:val="24"/>
          <w:szCs w:val="24"/>
        </w:rPr>
        <w:t>/Set. p. 667-681. 2017.</w:t>
      </w:r>
    </w:p>
    <w:p w14:paraId="3DB1869D" w14:textId="77777777" w:rsidR="00753A64" w:rsidRPr="00753A64" w:rsidRDefault="00753A64" w:rsidP="00AB34C0">
      <w:pPr>
        <w:spacing w:after="0" w:line="240" w:lineRule="auto"/>
        <w:jc w:val="both"/>
        <w:rPr>
          <w:rFonts w:ascii="Candara" w:eastAsia="Times New Roman" w:hAnsi="Candara" w:cs="Times New Roman"/>
          <w:sz w:val="24"/>
          <w:szCs w:val="24"/>
        </w:rPr>
      </w:pPr>
    </w:p>
    <w:p w14:paraId="5E860EB9"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 xml:space="preserve">FUNDAÇÃO DE TURISMO DE MATO GROSSO DO SUL. FUNDTUR. </w:t>
      </w:r>
      <w:r w:rsidRPr="00753A64">
        <w:rPr>
          <w:rFonts w:ascii="Candara" w:hAnsi="Candara" w:cs="Times New Roman"/>
          <w:i/>
          <w:iCs/>
          <w:sz w:val="24"/>
          <w:szCs w:val="24"/>
        </w:rPr>
        <w:t>Mapa da Classificação Turística de Mato Grosso do Sul</w:t>
      </w:r>
      <w:r w:rsidRPr="00753A64">
        <w:rPr>
          <w:rFonts w:ascii="Candara" w:hAnsi="Candara" w:cs="Times New Roman"/>
          <w:sz w:val="24"/>
          <w:szCs w:val="24"/>
        </w:rPr>
        <w:t>. Disponível em: &lt;https://www.pinms.ms.gov.br/portal/apps/MapSeries/index.html?appid=50e54859a69d4b93835ae91204156f87&gt;. Acesso em: 01 set. 2023.</w:t>
      </w:r>
    </w:p>
    <w:p w14:paraId="57EFB94E" w14:textId="77777777" w:rsidR="00753A64" w:rsidRPr="00753A64" w:rsidRDefault="00753A64" w:rsidP="00AB34C0">
      <w:pPr>
        <w:spacing w:after="0" w:line="240" w:lineRule="auto"/>
        <w:jc w:val="both"/>
        <w:rPr>
          <w:rFonts w:ascii="Candara" w:eastAsia="Times New Roman" w:hAnsi="Candara" w:cs="Times New Roman"/>
          <w:sz w:val="24"/>
          <w:szCs w:val="24"/>
        </w:rPr>
      </w:pPr>
    </w:p>
    <w:p w14:paraId="22A4C6F8" w14:textId="2B791130" w:rsidR="00753A64" w:rsidRPr="00753A64" w:rsidRDefault="00753A64" w:rsidP="00AB34C0">
      <w:pPr>
        <w:pStyle w:val="Ttulo1"/>
        <w:spacing w:before="0" w:after="0" w:line="240" w:lineRule="auto"/>
        <w:jc w:val="both"/>
        <w:rPr>
          <w:rFonts w:ascii="Candara" w:hAnsi="Candara"/>
          <w:b w:val="0"/>
          <w:bCs/>
          <w:sz w:val="24"/>
          <w:szCs w:val="24"/>
        </w:rPr>
      </w:pPr>
      <w:r w:rsidRPr="00753A64">
        <w:rPr>
          <w:rFonts w:ascii="Candara" w:hAnsi="Candara"/>
          <w:b w:val="0"/>
          <w:sz w:val="24"/>
          <w:szCs w:val="24"/>
        </w:rPr>
        <w:t xml:space="preserve">GOVERNO DE MATO GROSSO DO SUL. </w:t>
      </w:r>
      <w:r w:rsidRPr="00753A64">
        <w:rPr>
          <w:rFonts w:ascii="Candara" w:hAnsi="Candara"/>
          <w:b w:val="0"/>
          <w:bCs/>
          <w:i/>
          <w:iCs/>
          <w:sz w:val="24"/>
          <w:szCs w:val="24"/>
        </w:rPr>
        <w:t>Economia de MS teve a maior taxa de crescimento do país em 2020, ano de pandemia, aponta IBGE</w:t>
      </w:r>
      <w:r w:rsidRPr="00753A64">
        <w:rPr>
          <w:rFonts w:ascii="Candara" w:hAnsi="Candara"/>
          <w:b w:val="0"/>
          <w:sz w:val="24"/>
          <w:szCs w:val="24"/>
        </w:rPr>
        <w:t xml:space="preserve">. Publicado em 17 nov. 2022. Disponível em: &lt;https://www.epe.segov.ms.gov.br/economia-de-ms-teve-a-maior-taxa-de-crescimento-do-pais-em-2020-ano-de-pandemia-aponta-ibge/. Acesso em: 01 set. 2023. </w:t>
      </w:r>
    </w:p>
    <w:p w14:paraId="2671E592" w14:textId="77777777" w:rsidR="00753A64" w:rsidRPr="00753A64" w:rsidRDefault="00753A64" w:rsidP="00AB34C0">
      <w:pPr>
        <w:pStyle w:val="Ttulo1"/>
        <w:spacing w:before="0" w:after="0" w:line="240" w:lineRule="auto"/>
        <w:jc w:val="both"/>
        <w:rPr>
          <w:rFonts w:ascii="Candara" w:hAnsi="Candara"/>
          <w:b w:val="0"/>
          <w:bCs/>
          <w:sz w:val="24"/>
          <w:szCs w:val="24"/>
        </w:rPr>
      </w:pPr>
    </w:p>
    <w:p w14:paraId="7A80E4D5"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 xml:space="preserve">HACHMANN, F.; RIPPEL, R. Sustentabilidade e desenvolvimento em uma área de fronteira: uma aplicação do Barômetro da Sustentabilidade no Oeste do Paraná. </w:t>
      </w:r>
      <w:r w:rsidRPr="00753A64">
        <w:rPr>
          <w:rFonts w:ascii="Candara" w:hAnsi="Candara" w:cs="Times New Roman"/>
          <w:i/>
          <w:iCs/>
          <w:sz w:val="24"/>
          <w:szCs w:val="24"/>
        </w:rPr>
        <w:t>Revista Brasileira de Desenvolvimento Regional</w:t>
      </w:r>
      <w:r w:rsidRPr="00753A64">
        <w:rPr>
          <w:rFonts w:ascii="Candara" w:hAnsi="Candara" w:cs="Times New Roman"/>
          <w:b/>
          <w:bCs/>
          <w:sz w:val="24"/>
          <w:szCs w:val="24"/>
        </w:rPr>
        <w:t>.</w:t>
      </w:r>
      <w:r w:rsidRPr="00753A64">
        <w:rPr>
          <w:rFonts w:ascii="Candara" w:hAnsi="Candara" w:cs="Times New Roman"/>
          <w:sz w:val="24"/>
          <w:szCs w:val="24"/>
        </w:rPr>
        <w:t xml:space="preserve"> ISSN 2317-5443, DOI: 10.7867/2317-5443.2015v3n1p127-156. 2015. 2015.</w:t>
      </w:r>
    </w:p>
    <w:p w14:paraId="3DD7B491" w14:textId="77777777" w:rsidR="00753A64" w:rsidRPr="00753A64" w:rsidRDefault="00753A64" w:rsidP="00AB34C0">
      <w:pPr>
        <w:spacing w:after="0" w:line="240" w:lineRule="auto"/>
        <w:jc w:val="both"/>
        <w:rPr>
          <w:rFonts w:ascii="Candara" w:eastAsia="Times New Roman" w:hAnsi="Candara" w:cs="Times New Roman"/>
          <w:sz w:val="24"/>
          <w:szCs w:val="24"/>
        </w:rPr>
      </w:pPr>
    </w:p>
    <w:p w14:paraId="1736FBD1"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lastRenderedPageBreak/>
        <w:t xml:space="preserve">IBGE – INSTITUTO BRASILEIRO DE GEOGRAFIA E ESTATÍSTICA.  </w:t>
      </w:r>
      <w:r w:rsidRPr="00753A64">
        <w:rPr>
          <w:rStyle w:val="Forte"/>
          <w:rFonts w:ascii="Candara" w:hAnsi="Candara" w:cs="Times New Roman"/>
          <w:b w:val="0"/>
          <w:bCs w:val="0"/>
          <w:i/>
          <w:iCs/>
          <w:sz w:val="24"/>
          <w:szCs w:val="24"/>
        </w:rPr>
        <w:t>Censo Agropecuário</w:t>
      </w:r>
      <w:r w:rsidRPr="00753A64">
        <w:rPr>
          <w:rStyle w:val="Forte"/>
          <w:rFonts w:ascii="Candara" w:hAnsi="Candara" w:cs="Times New Roman"/>
          <w:sz w:val="24"/>
          <w:szCs w:val="24"/>
        </w:rPr>
        <w:t xml:space="preserve"> </w:t>
      </w:r>
      <w:r w:rsidRPr="00753A64">
        <w:rPr>
          <w:rStyle w:val="Forte"/>
          <w:rFonts w:ascii="Candara" w:hAnsi="Candara" w:cs="Times New Roman"/>
          <w:b w:val="0"/>
          <w:bCs w:val="0"/>
          <w:i/>
          <w:iCs/>
          <w:sz w:val="24"/>
          <w:szCs w:val="24"/>
        </w:rPr>
        <w:t>2017</w:t>
      </w:r>
      <w:r w:rsidRPr="00753A64">
        <w:rPr>
          <w:rFonts w:ascii="Candara" w:hAnsi="Candara" w:cs="Times New Roman"/>
          <w:sz w:val="24"/>
          <w:szCs w:val="24"/>
        </w:rPr>
        <w:t xml:space="preserve">. Disponível em: &lt;https://censoagro2017.ibge.gov.br/&gt;. 2017. </w:t>
      </w:r>
    </w:p>
    <w:p w14:paraId="33672BF0" w14:textId="77777777" w:rsidR="00753A64" w:rsidRPr="00753A64" w:rsidRDefault="00753A64" w:rsidP="00AB34C0">
      <w:pPr>
        <w:spacing w:after="0" w:line="240" w:lineRule="auto"/>
        <w:jc w:val="both"/>
        <w:rPr>
          <w:rFonts w:ascii="Candara" w:hAnsi="Candara" w:cs="Times New Roman"/>
          <w:sz w:val="24"/>
          <w:szCs w:val="24"/>
        </w:rPr>
      </w:pPr>
    </w:p>
    <w:p w14:paraId="180D53B5"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 xml:space="preserve">IBGE – INSTITUTO BRASILEIRO DE GEOGRAFIA E ESTATÍSTICA. </w:t>
      </w:r>
      <w:r w:rsidRPr="00753A64">
        <w:rPr>
          <w:rStyle w:val="Forte"/>
          <w:rFonts w:ascii="Candara" w:hAnsi="Candara" w:cs="Times New Roman"/>
          <w:b w:val="0"/>
          <w:bCs w:val="0"/>
          <w:i/>
          <w:iCs/>
          <w:sz w:val="24"/>
          <w:szCs w:val="24"/>
        </w:rPr>
        <w:t>Censo Demográfico</w:t>
      </w:r>
      <w:r w:rsidRPr="00753A64">
        <w:rPr>
          <w:rFonts w:ascii="Candara" w:hAnsi="Candara" w:cs="Times New Roman"/>
          <w:sz w:val="24"/>
          <w:szCs w:val="24"/>
        </w:rPr>
        <w:t>. Disponível em: &lt;https://censo2022.ibge.gov.br/&gt;.  2022.</w:t>
      </w:r>
    </w:p>
    <w:p w14:paraId="5250FF19" w14:textId="77777777" w:rsidR="00753A64" w:rsidRPr="00753A64" w:rsidRDefault="00753A64" w:rsidP="00753A64">
      <w:pPr>
        <w:spacing w:after="0" w:line="240" w:lineRule="auto"/>
        <w:rPr>
          <w:rFonts w:ascii="Candara" w:hAnsi="Candara" w:cs="Times New Roman"/>
          <w:sz w:val="24"/>
          <w:szCs w:val="24"/>
        </w:rPr>
      </w:pPr>
    </w:p>
    <w:p w14:paraId="085752B4"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IBGE – INSTITUTO BRASILEIRO DE GEOGRAFIA E ESTATÍSTICA</w:t>
      </w:r>
      <w:r w:rsidRPr="00753A64">
        <w:rPr>
          <w:rFonts w:ascii="Candara" w:hAnsi="Candara" w:cs="Times New Roman"/>
          <w:i/>
          <w:iCs/>
          <w:sz w:val="24"/>
          <w:szCs w:val="24"/>
        </w:rPr>
        <w:t>. IBGE Cidades.</w:t>
      </w:r>
      <w:r w:rsidRPr="00753A64">
        <w:rPr>
          <w:rFonts w:ascii="Candara" w:hAnsi="Candara" w:cs="Times New Roman"/>
          <w:sz w:val="24"/>
          <w:szCs w:val="24"/>
        </w:rPr>
        <w:t xml:space="preserve"> Disponível em: &lt;https://cidades.ibge.gov.br/&gt;.  2022.</w:t>
      </w:r>
    </w:p>
    <w:p w14:paraId="190C7718" w14:textId="77777777" w:rsidR="00753A64" w:rsidRPr="00753A64" w:rsidRDefault="00753A64" w:rsidP="00AB34C0">
      <w:pPr>
        <w:spacing w:after="0" w:line="240" w:lineRule="auto"/>
        <w:jc w:val="both"/>
        <w:rPr>
          <w:rFonts w:ascii="Candara" w:hAnsi="Candara" w:cs="Times New Roman"/>
          <w:sz w:val="24"/>
          <w:szCs w:val="24"/>
        </w:rPr>
      </w:pPr>
    </w:p>
    <w:p w14:paraId="0E4193F0" w14:textId="77777777" w:rsidR="00753A64" w:rsidRPr="00753A64" w:rsidRDefault="00753A64" w:rsidP="00AB34C0">
      <w:pPr>
        <w:spacing w:after="0" w:line="240" w:lineRule="auto"/>
        <w:jc w:val="both"/>
        <w:rPr>
          <w:rFonts w:ascii="Candara" w:eastAsia="Times New Roman" w:hAnsi="Candara" w:cs="Times New Roman"/>
          <w:sz w:val="24"/>
          <w:szCs w:val="24"/>
        </w:rPr>
      </w:pPr>
      <w:r w:rsidRPr="00753A64">
        <w:rPr>
          <w:rFonts w:ascii="Candara" w:hAnsi="Candara" w:cs="Times New Roman"/>
          <w:sz w:val="24"/>
          <w:szCs w:val="24"/>
        </w:rPr>
        <w:t xml:space="preserve">IBGE – INSTITUTO BRASILEIRO DE GEOGRAFIA E ESTATÍSTICA. </w:t>
      </w:r>
      <w:r w:rsidRPr="00753A64">
        <w:rPr>
          <w:rFonts w:ascii="Candara" w:hAnsi="Candara" w:cs="Times New Roman"/>
          <w:i/>
          <w:iCs/>
          <w:sz w:val="24"/>
          <w:szCs w:val="24"/>
        </w:rPr>
        <w:t>IBGE Cidades</w:t>
      </w:r>
      <w:r w:rsidRPr="00753A64">
        <w:rPr>
          <w:rFonts w:ascii="Candara" w:eastAsia="Times New Roman" w:hAnsi="Candara" w:cs="Times New Roman"/>
          <w:i/>
          <w:iCs/>
          <w:sz w:val="24"/>
          <w:szCs w:val="24"/>
        </w:rPr>
        <w:t xml:space="preserve"> e Estados</w:t>
      </w:r>
      <w:r w:rsidRPr="00753A64">
        <w:rPr>
          <w:rFonts w:ascii="Candara" w:eastAsia="Times New Roman" w:hAnsi="Candara" w:cs="Times New Roman"/>
          <w:sz w:val="24"/>
          <w:szCs w:val="24"/>
        </w:rPr>
        <w:t>. Disponível em: &lt;https://www.ibge.gov.br/</w:t>
      </w:r>
      <w:proofErr w:type="spellStart"/>
      <w:r w:rsidRPr="00753A64">
        <w:rPr>
          <w:rFonts w:ascii="Candara" w:eastAsia="Times New Roman" w:hAnsi="Candara" w:cs="Times New Roman"/>
          <w:sz w:val="24"/>
          <w:szCs w:val="24"/>
        </w:rPr>
        <w:t>cidades-e-estados</w:t>
      </w:r>
      <w:proofErr w:type="spellEnd"/>
      <w:r w:rsidRPr="00753A64">
        <w:rPr>
          <w:rFonts w:ascii="Candara" w:eastAsia="Times New Roman" w:hAnsi="Candara" w:cs="Times New Roman"/>
          <w:sz w:val="24"/>
          <w:szCs w:val="24"/>
        </w:rPr>
        <w:t>/ms.html&gt;. 2022.</w:t>
      </w:r>
    </w:p>
    <w:p w14:paraId="04D504DB" w14:textId="77777777" w:rsidR="00753A64" w:rsidRPr="00753A64" w:rsidRDefault="00753A64" w:rsidP="00AB34C0">
      <w:pPr>
        <w:spacing w:after="0" w:line="240" w:lineRule="auto"/>
        <w:jc w:val="both"/>
        <w:rPr>
          <w:rFonts w:ascii="Candara" w:hAnsi="Candara" w:cs="Times New Roman"/>
          <w:sz w:val="24"/>
          <w:szCs w:val="24"/>
        </w:rPr>
      </w:pPr>
    </w:p>
    <w:p w14:paraId="7B27EE8B"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 xml:space="preserve">IBGE - INSTITUTO BRASILEIRO DE GEOGRAFIA E ESTATÍSTICA. </w:t>
      </w:r>
      <w:r w:rsidRPr="00753A64">
        <w:rPr>
          <w:rFonts w:ascii="Candara" w:hAnsi="Candara" w:cs="Times New Roman"/>
          <w:i/>
          <w:iCs/>
          <w:sz w:val="24"/>
          <w:szCs w:val="24"/>
        </w:rPr>
        <w:t>SIDRA</w:t>
      </w:r>
      <w:r w:rsidRPr="00753A64">
        <w:rPr>
          <w:rFonts w:ascii="Candara" w:hAnsi="Candara" w:cs="Times New Roman"/>
          <w:sz w:val="24"/>
          <w:szCs w:val="24"/>
        </w:rPr>
        <w:t>. Disponível em: &lt;https://sidra.ibge.gov.br/pesquisa/</w:t>
      </w:r>
      <w:proofErr w:type="spellStart"/>
      <w:r w:rsidRPr="00753A64">
        <w:rPr>
          <w:rFonts w:ascii="Candara" w:hAnsi="Candara" w:cs="Times New Roman"/>
          <w:sz w:val="24"/>
          <w:szCs w:val="24"/>
        </w:rPr>
        <w:t>pnadca</w:t>
      </w:r>
      <w:proofErr w:type="spellEnd"/>
      <w:r w:rsidRPr="00753A64">
        <w:rPr>
          <w:rFonts w:ascii="Candara" w:hAnsi="Candara" w:cs="Times New Roman"/>
          <w:sz w:val="24"/>
          <w:szCs w:val="24"/>
        </w:rPr>
        <w:t>/tabelas&gt;. 2023.</w:t>
      </w:r>
    </w:p>
    <w:p w14:paraId="45F7320C" w14:textId="77777777" w:rsidR="00753A64" w:rsidRPr="00753A64" w:rsidRDefault="00753A64" w:rsidP="00AB34C0">
      <w:pPr>
        <w:spacing w:after="0" w:line="240" w:lineRule="auto"/>
        <w:jc w:val="both"/>
        <w:rPr>
          <w:rFonts w:ascii="Candara" w:hAnsi="Candara" w:cs="Times New Roman"/>
          <w:sz w:val="24"/>
          <w:szCs w:val="24"/>
        </w:rPr>
      </w:pPr>
    </w:p>
    <w:p w14:paraId="3747D166" w14:textId="77777777" w:rsidR="00753A64" w:rsidRPr="00753A64" w:rsidRDefault="00753A64" w:rsidP="00AB34C0">
      <w:pPr>
        <w:widowControl w:val="0"/>
        <w:pBdr>
          <w:top w:val="nil"/>
          <w:left w:val="nil"/>
          <w:bottom w:val="nil"/>
          <w:right w:val="nil"/>
          <w:between w:val="nil"/>
        </w:pBdr>
        <w:spacing w:after="0" w:line="240" w:lineRule="auto"/>
        <w:jc w:val="both"/>
        <w:rPr>
          <w:rFonts w:ascii="Candara" w:eastAsia="Georgia" w:hAnsi="Candara" w:cs="Times New Roman"/>
          <w:sz w:val="24"/>
          <w:szCs w:val="24"/>
        </w:rPr>
      </w:pPr>
      <w:r w:rsidRPr="00753A64">
        <w:rPr>
          <w:rFonts w:ascii="Candara" w:eastAsia="Georgia" w:hAnsi="Candara" w:cs="Times New Roman"/>
          <w:sz w:val="24"/>
          <w:szCs w:val="24"/>
        </w:rPr>
        <w:t>ÍNDICE FIRJAN DE DESENVOLVIMENTO MUNICIPAL – IFDM. Rio de Janeiro: Firjan. Disponível em: &lt;https://www.firjan.com.br/&gt;. 2018.</w:t>
      </w:r>
    </w:p>
    <w:p w14:paraId="59390421" w14:textId="77777777" w:rsidR="00753A64" w:rsidRPr="00753A64" w:rsidRDefault="00753A64" w:rsidP="00AB34C0">
      <w:pPr>
        <w:spacing w:after="0" w:line="240" w:lineRule="auto"/>
        <w:jc w:val="both"/>
        <w:rPr>
          <w:rFonts w:ascii="Candara" w:eastAsia="Times New Roman" w:hAnsi="Candara" w:cs="Times New Roman"/>
          <w:sz w:val="24"/>
          <w:szCs w:val="24"/>
        </w:rPr>
      </w:pPr>
    </w:p>
    <w:p w14:paraId="7B604A2A" w14:textId="422E0F7F" w:rsidR="00753A64" w:rsidRPr="00753A64" w:rsidRDefault="00753A64" w:rsidP="00AB34C0">
      <w:pPr>
        <w:spacing w:after="0" w:line="240" w:lineRule="auto"/>
        <w:jc w:val="both"/>
        <w:rPr>
          <w:rFonts w:ascii="Candara" w:hAnsi="Candara" w:cs="Times New Roman"/>
          <w:sz w:val="24"/>
          <w:szCs w:val="24"/>
        </w:rPr>
      </w:pPr>
      <w:r w:rsidRPr="00753A64">
        <w:rPr>
          <w:rFonts w:ascii="Candara" w:eastAsia="Times New Roman" w:hAnsi="Candara" w:cs="Times New Roman"/>
          <w:sz w:val="24"/>
          <w:szCs w:val="24"/>
        </w:rPr>
        <w:t>IRVING, M. A.</w:t>
      </w:r>
      <w:r>
        <w:rPr>
          <w:rFonts w:ascii="Candara" w:eastAsia="Times New Roman" w:hAnsi="Candara" w:cs="Times New Roman"/>
          <w:sz w:val="24"/>
          <w:szCs w:val="24"/>
        </w:rPr>
        <w:t>;</w:t>
      </w:r>
      <w:r w:rsidRPr="00753A64">
        <w:rPr>
          <w:rFonts w:ascii="Candara" w:eastAsia="Times New Roman" w:hAnsi="Candara" w:cs="Times New Roman"/>
          <w:sz w:val="24"/>
          <w:szCs w:val="24"/>
        </w:rPr>
        <w:t xml:space="preserve"> </w:t>
      </w:r>
      <w:r w:rsidRPr="00753A64">
        <w:rPr>
          <w:rFonts w:ascii="Candara" w:hAnsi="Candara" w:cs="Times New Roman"/>
          <w:sz w:val="24"/>
          <w:szCs w:val="24"/>
        </w:rPr>
        <w:t>BURSZTYN, I.</w:t>
      </w:r>
      <w:r>
        <w:rPr>
          <w:rFonts w:ascii="Candara" w:hAnsi="Candara" w:cs="Times New Roman"/>
          <w:sz w:val="24"/>
          <w:szCs w:val="24"/>
        </w:rPr>
        <w:t>;</w:t>
      </w:r>
      <w:r w:rsidRPr="00753A64">
        <w:rPr>
          <w:rFonts w:ascii="Candara" w:hAnsi="Candara" w:cs="Times New Roman"/>
          <w:sz w:val="24"/>
          <w:szCs w:val="24"/>
        </w:rPr>
        <w:t xml:space="preserve"> SANCHO, A. P.</w:t>
      </w:r>
      <w:r>
        <w:rPr>
          <w:rFonts w:ascii="Candara" w:hAnsi="Candara" w:cs="Times New Roman"/>
          <w:sz w:val="24"/>
          <w:szCs w:val="24"/>
        </w:rPr>
        <w:t>;</w:t>
      </w:r>
      <w:r w:rsidRPr="00753A64">
        <w:rPr>
          <w:rFonts w:ascii="Candara" w:hAnsi="Candara" w:cs="Times New Roman"/>
          <w:sz w:val="24"/>
          <w:szCs w:val="24"/>
        </w:rPr>
        <w:t xml:space="preserve"> MELO, G. M. Revisitando significados em sustentabilidade no planejamento turístico. </w:t>
      </w:r>
      <w:r w:rsidRPr="00753A64">
        <w:rPr>
          <w:rFonts w:ascii="Candara" w:hAnsi="Candara" w:cs="Times New Roman"/>
          <w:i/>
          <w:iCs/>
          <w:sz w:val="24"/>
          <w:szCs w:val="24"/>
        </w:rPr>
        <w:t>Caderno Virtual de Turismo</w:t>
      </w:r>
      <w:r w:rsidRPr="00753A64">
        <w:rPr>
          <w:rFonts w:ascii="Candara" w:hAnsi="Candara" w:cs="Times New Roman"/>
          <w:sz w:val="24"/>
          <w:szCs w:val="24"/>
        </w:rPr>
        <w:t>, vol. 5, núm. 4, pp. 1-7. Universidade Federal do Rio de Janeiro Rio de Janeiro. 2005.</w:t>
      </w:r>
    </w:p>
    <w:p w14:paraId="380A27D7" w14:textId="77777777" w:rsidR="00753A64" w:rsidRPr="00753A64" w:rsidRDefault="00753A64" w:rsidP="00AB34C0">
      <w:pPr>
        <w:spacing w:after="0" w:line="240" w:lineRule="auto"/>
        <w:jc w:val="both"/>
        <w:rPr>
          <w:rFonts w:ascii="Candara" w:hAnsi="Candara" w:cs="Times New Roman"/>
          <w:sz w:val="24"/>
          <w:szCs w:val="24"/>
        </w:rPr>
      </w:pPr>
    </w:p>
    <w:p w14:paraId="01948D1B" w14:textId="686F77C7" w:rsidR="00753A64" w:rsidRPr="003E32C1" w:rsidRDefault="00753A64" w:rsidP="00AB34C0">
      <w:pPr>
        <w:spacing w:after="0" w:line="240" w:lineRule="auto"/>
        <w:jc w:val="both"/>
        <w:rPr>
          <w:rFonts w:ascii="Candara" w:eastAsia="Times New Roman" w:hAnsi="Candara" w:cs="Times New Roman"/>
          <w:sz w:val="24"/>
          <w:szCs w:val="24"/>
        </w:rPr>
      </w:pPr>
      <w:r w:rsidRPr="00753A64">
        <w:rPr>
          <w:rFonts w:ascii="Candara" w:hAnsi="Candara" w:cs="Times New Roman"/>
          <w:sz w:val="24"/>
          <w:szCs w:val="24"/>
        </w:rPr>
        <w:t xml:space="preserve">LACERDA; C. S. </w:t>
      </w:r>
      <w:r w:rsidRPr="00753A64">
        <w:rPr>
          <w:rFonts w:ascii="Candara" w:hAnsi="Candara" w:cs="Times New Roman"/>
          <w:i/>
          <w:iCs/>
          <w:sz w:val="24"/>
          <w:szCs w:val="24"/>
        </w:rPr>
        <w:t>Sistema de indicadores de sustentabilidade para atividade turística: uma proposta metodológica participativa aplicada no município do Conde</w:t>
      </w:r>
      <w:r w:rsidRPr="00753A64">
        <w:rPr>
          <w:rFonts w:ascii="Candara" w:hAnsi="Candara" w:cs="Times New Roman"/>
          <w:sz w:val="24"/>
          <w:szCs w:val="24"/>
        </w:rPr>
        <w:t>/PB. Dissertação</w:t>
      </w:r>
      <w:r w:rsidRPr="00753A64">
        <w:rPr>
          <w:rFonts w:ascii="Candara" w:hAnsi="Candara" w:cs="Times New Roman"/>
          <w:b/>
          <w:bCs/>
          <w:sz w:val="24"/>
          <w:szCs w:val="24"/>
        </w:rPr>
        <w:t xml:space="preserve"> </w:t>
      </w:r>
      <w:r w:rsidRPr="00753A64">
        <w:rPr>
          <w:rFonts w:ascii="Candara" w:hAnsi="Candara" w:cs="Times New Roman"/>
          <w:sz w:val="24"/>
          <w:szCs w:val="24"/>
        </w:rPr>
        <w:t>(Mestrado em Recursos Naturais) UFCG, Campina Grande. 2011.</w:t>
      </w:r>
    </w:p>
    <w:p w14:paraId="3AF5ED32" w14:textId="27C1025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LOHMANN, G.</w:t>
      </w:r>
      <w:r>
        <w:rPr>
          <w:rFonts w:ascii="Candara" w:hAnsi="Candara" w:cs="Times New Roman"/>
          <w:sz w:val="24"/>
          <w:szCs w:val="24"/>
        </w:rPr>
        <w:t>;</w:t>
      </w:r>
      <w:r w:rsidRPr="00753A64">
        <w:rPr>
          <w:rFonts w:ascii="Candara" w:hAnsi="Candara" w:cs="Times New Roman"/>
          <w:sz w:val="24"/>
          <w:szCs w:val="24"/>
        </w:rPr>
        <w:t xml:space="preserve"> DREDGE, D. </w:t>
      </w:r>
      <w:proofErr w:type="spellStart"/>
      <w:r w:rsidRPr="00753A64">
        <w:rPr>
          <w:rFonts w:ascii="Candara" w:hAnsi="Candara" w:cs="Times New Roman"/>
          <w:i/>
          <w:iCs/>
          <w:sz w:val="24"/>
          <w:szCs w:val="24"/>
        </w:rPr>
        <w:t>Tourism</w:t>
      </w:r>
      <w:proofErr w:type="spellEnd"/>
      <w:r w:rsidRPr="00753A64">
        <w:rPr>
          <w:rFonts w:ascii="Candara" w:hAnsi="Candara" w:cs="Times New Roman"/>
          <w:i/>
          <w:iCs/>
          <w:sz w:val="24"/>
          <w:szCs w:val="24"/>
        </w:rPr>
        <w:t xml:space="preserve"> in </w:t>
      </w:r>
      <w:proofErr w:type="spellStart"/>
      <w:r w:rsidRPr="00753A64">
        <w:rPr>
          <w:rFonts w:ascii="Candara" w:hAnsi="Candara" w:cs="Times New Roman"/>
          <w:i/>
          <w:iCs/>
          <w:sz w:val="24"/>
          <w:szCs w:val="24"/>
        </w:rPr>
        <w:t>Brazil</w:t>
      </w:r>
      <w:proofErr w:type="spellEnd"/>
      <w:r w:rsidRPr="00753A64">
        <w:rPr>
          <w:rFonts w:ascii="Candara" w:hAnsi="Candara" w:cs="Times New Roman"/>
          <w:sz w:val="24"/>
          <w:szCs w:val="24"/>
        </w:rPr>
        <w:t xml:space="preserve">: </w:t>
      </w:r>
      <w:proofErr w:type="spellStart"/>
      <w:r w:rsidRPr="00753A64">
        <w:rPr>
          <w:rFonts w:ascii="Candara" w:hAnsi="Candara" w:cs="Times New Roman"/>
          <w:sz w:val="24"/>
          <w:szCs w:val="24"/>
        </w:rPr>
        <w:t>Environment</w:t>
      </w:r>
      <w:proofErr w:type="spellEnd"/>
      <w:r w:rsidRPr="00753A64">
        <w:rPr>
          <w:rFonts w:ascii="Candara" w:hAnsi="Candara" w:cs="Times New Roman"/>
          <w:sz w:val="24"/>
          <w:szCs w:val="24"/>
        </w:rPr>
        <w:t xml:space="preserve">, Management </w:t>
      </w:r>
      <w:proofErr w:type="spellStart"/>
      <w:r w:rsidRPr="00753A64">
        <w:rPr>
          <w:rFonts w:ascii="Candara" w:hAnsi="Candara" w:cs="Times New Roman"/>
          <w:sz w:val="24"/>
          <w:szCs w:val="24"/>
        </w:rPr>
        <w:t>and</w:t>
      </w:r>
      <w:proofErr w:type="spellEnd"/>
      <w:r w:rsidRPr="00753A64">
        <w:rPr>
          <w:rFonts w:ascii="Candara" w:hAnsi="Candara" w:cs="Times New Roman"/>
          <w:sz w:val="24"/>
          <w:szCs w:val="24"/>
        </w:rPr>
        <w:t xml:space="preserve"> </w:t>
      </w:r>
      <w:proofErr w:type="spellStart"/>
      <w:r w:rsidRPr="00753A64">
        <w:rPr>
          <w:rFonts w:ascii="Candara" w:hAnsi="Candara" w:cs="Times New Roman"/>
          <w:sz w:val="24"/>
          <w:szCs w:val="24"/>
        </w:rPr>
        <w:t>Segments</w:t>
      </w:r>
      <w:proofErr w:type="spellEnd"/>
      <w:r w:rsidRPr="00753A64">
        <w:rPr>
          <w:rFonts w:ascii="Candara" w:hAnsi="Candara" w:cs="Times New Roman"/>
          <w:sz w:val="24"/>
          <w:szCs w:val="24"/>
        </w:rPr>
        <w:t xml:space="preserve">. </w:t>
      </w:r>
      <w:proofErr w:type="spellStart"/>
      <w:r w:rsidRPr="00753A64">
        <w:rPr>
          <w:rFonts w:ascii="Candara" w:hAnsi="Candara" w:cs="Times New Roman"/>
          <w:sz w:val="24"/>
          <w:szCs w:val="24"/>
        </w:rPr>
        <w:t>Routledge</w:t>
      </w:r>
      <w:proofErr w:type="spellEnd"/>
      <w:r w:rsidRPr="00753A64">
        <w:rPr>
          <w:rFonts w:ascii="Candara" w:hAnsi="Candara" w:cs="Times New Roman"/>
          <w:sz w:val="24"/>
          <w:szCs w:val="24"/>
        </w:rPr>
        <w:t>: Londres e Nova Iorque. 2012.</w:t>
      </w:r>
    </w:p>
    <w:p w14:paraId="07996D56" w14:textId="77777777" w:rsidR="00753A64" w:rsidRPr="00753A64" w:rsidRDefault="00753A64" w:rsidP="00AB34C0">
      <w:pPr>
        <w:spacing w:after="0" w:line="240" w:lineRule="auto"/>
        <w:jc w:val="both"/>
        <w:rPr>
          <w:rFonts w:ascii="Candara" w:eastAsia="Times New Roman" w:hAnsi="Candara" w:cs="Times New Roman"/>
          <w:sz w:val="24"/>
          <w:szCs w:val="24"/>
        </w:rPr>
      </w:pPr>
    </w:p>
    <w:p w14:paraId="240436D7" w14:textId="77777777" w:rsidR="00753A64" w:rsidRPr="007E2F9B" w:rsidRDefault="00753A64" w:rsidP="00AB34C0">
      <w:pPr>
        <w:spacing w:after="0" w:line="240" w:lineRule="auto"/>
        <w:jc w:val="both"/>
        <w:rPr>
          <w:rFonts w:ascii="Candara" w:eastAsia="Times New Roman" w:hAnsi="Candara" w:cs="Times New Roman"/>
          <w:sz w:val="24"/>
          <w:szCs w:val="24"/>
          <w:lang w:val="it-IT"/>
        </w:rPr>
      </w:pPr>
      <w:r w:rsidRPr="00753A64">
        <w:rPr>
          <w:rFonts w:ascii="Candara" w:hAnsi="Candara" w:cs="Times New Roman"/>
          <w:sz w:val="24"/>
          <w:szCs w:val="24"/>
        </w:rPr>
        <w:t xml:space="preserve">LOHMANN, G. et al. O Futuro do turismo no Brasil a partir da análise crítica do período 2000-2019. </w:t>
      </w:r>
      <w:r w:rsidRPr="007E2F9B">
        <w:rPr>
          <w:rFonts w:ascii="Candara" w:hAnsi="Candara" w:cs="Times New Roman"/>
          <w:i/>
          <w:iCs/>
          <w:sz w:val="24"/>
          <w:szCs w:val="24"/>
          <w:lang w:val="it-IT"/>
        </w:rPr>
        <w:t>RBTUR</w:t>
      </w:r>
      <w:r w:rsidRPr="007E2F9B">
        <w:rPr>
          <w:rFonts w:ascii="Candara" w:hAnsi="Candara" w:cs="Times New Roman"/>
          <w:sz w:val="24"/>
          <w:szCs w:val="24"/>
          <w:lang w:val="it-IT"/>
        </w:rPr>
        <w:t>, São Paulo, 16, e-2456. 2022.</w:t>
      </w:r>
    </w:p>
    <w:p w14:paraId="50B88B3B" w14:textId="77777777" w:rsidR="00753A64" w:rsidRPr="007E2F9B" w:rsidRDefault="00753A64" w:rsidP="00AB34C0">
      <w:pPr>
        <w:spacing w:after="0" w:line="240" w:lineRule="auto"/>
        <w:jc w:val="both"/>
        <w:rPr>
          <w:rFonts w:ascii="Candara" w:eastAsia="Times New Roman" w:hAnsi="Candara" w:cs="Times New Roman"/>
          <w:sz w:val="24"/>
          <w:szCs w:val="24"/>
          <w:lang w:val="it-IT"/>
        </w:rPr>
      </w:pPr>
    </w:p>
    <w:p w14:paraId="52C227F4"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lang w:val="it-IT"/>
        </w:rPr>
        <w:t>PRESCOTT-ALLEN, R</w:t>
      </w:r>
      <w:r w:rsidRPr="00753A64">
        <w:rPr>
          <w:rFonts w:ascii="Candara" w:hAnsi="Candara" w:cs="Times New Roman"/>
          <w:i/>
          <w:iCs/>
          <w:sz w:val="24"/>
          <w:szCs w:val="24"/>
          <w:lang w:val="it-IT"/>
        </w:rPr>
        <w:t>. Barómetro de la sostenibilidad: medición y comunicación del bienestar y el desarrollo sostenible</w:t>
      </w:r>
      <w:r w:rsidRPr="00753A64">
        <w:rPr>
          <w:rFonts w:ascii="Candara" w:hAnsi="Candara" w:cs="Times New Roman"/>
          <w:sz w:val="24"/>
          <w:szCs w:val="24"/>
          <w:lang w:val="it-IT"/>
        </w:rPr>
        <w:t xml:space="preserve">. </w:t>
      </w:r>
      <w:r w:rsidRPr="00753A64">
        <w:rPr>
          <w:rFonts w:ascii="Candara" w:hAnsi="Candara" w:cs="Times New Roman"/>
          <w:sz w:val="24"/>
          <w:szCs w:val="24"/>
        </w:rPr>
        <w:t xml:space="preserve">UICN (Unión </w:t>
      </w:r>
      <w:proofErr w:type="spellStart"/>
      <w:r w:rsidRPr="00753A64">
        <w:rPr>
          <w:rFonts w:ascii="Candara" w:hAnsi="Candara" w:cs="Times New Roman"/>
          <w:sz w:val="24"/>
          <w:szCs w:val="24"/>
        </w:rPr>
        <w:t>lnternacional</w:t>
      </w:r>
      <w:proofErr w:type="spellEnd"/>
      <w:r w:rsidRPr="00753A64">
        <w:rPr>
          <w:rFonts w:ascii="Candara" w:hAnsi="Candara" w:cs="Times New Roman"/>
          <w:sz w:val="24"/>
          <w:szCs w:val="24"/>
        </w:rPr>
        <w:t xml:space="preserve"> para </w:t>
      </w:r>
      <w:proofErr w:type="spellStart"/>
      <w:r w:rsidRPr="00753A64">
        <w:rPr>
          <w:rFonts w:ascii="Candara" w:hAnsi="Candara" w:cs="Times New Roman"/>
          <w:sz w:val="24"/>
          <w:szCs w:val="24"/>
        </w:rPr>
        <w:t>la</w:t>
      </w:r>
      <w:proofErr w:type="spellEnd"/>
      <w:r w:rsidRPr="00753A64">
        <w:rPr>
          <w:rFonts w:ascii="Candara" w:hAnsi="Candara" w:cs="Times New Roman"/>
          <w:sz w:val="24"/>
          <w:szCs w:val="24"/>
        </w:rPr>
        <w:t xml:space="preserve"> </w:t>
      </w:r>
      <w:proofErr w:type="spellStart"/>
      <w:r w:rsidRPr="00753A64">
        <w:rPr>
          <w:rFonts w:ascii="Candara" w:hAnsi="Candara" w:cs="Times New Roman"/>
          <w:sz w:val="24"/>
          <w:szCs w:val="24"/>
        </w:rPr>
        <w:t>Conservación</w:t>
      </w:r>
      <w:proofErr w:type="spellEnd"/>
      <w:r w:rsidRPr="00753A64">
        <w:rPr>
          <w:rFonts w:ascii="Candara" w:hAnsi="Candara" w:cs="Times New Roman"/>
          <w:sz w:val="24"/>
          <w:szCs w:val="24"/>
        </w:rPr>
        <w:t xml:space="preserve"> de </w:t>
      </w:r>
      <w:proofErr w:type="spellStart"/>
      <w:r w:rsidRPr="00753A64">
        <w:rPr>
          <w:rFonts w:ascii="Candara" w:hAnsi="Candara" w:cs="Times New Roman"/>
          <w:sz w:val="24"/>
          <w:szCs w:val="24"/>
        </w:rPr>
        <w:t>la</w:t>
      </w:r>
      <w:proofErr w:type="spellEnd"/>
      <w:r w:rsidRPr="00753A64">
        <w:rPr>
          <w:rFonts w:ascii="Candara" w:hAnsi="Candara" w:cs="Times New Roman"/>
          <w:sz w:val="24"/>
          <w:szCs w:val="24"/>
        </w:rPr>
        <w:t xml:space="preserve"> </w:t>
      </w:r>
      <w:proofErr w:type="spellStart"/>
      <w:r w:rsidRPr="00753A64">
        <w:rPr>
          <w:rFonts w:ascii="Candara" w:hAnsi="Candara" w:cs="Times New Roman"/>
          <w:sz w:val="24"/>
          <w:szCs w:val="24"/>
        </w:rPr>
        <w:t>Naturaleza</w:t>
      </w:r>
      <w:proofErr w:type="spellEnd"/>
      <w:r w:rsidRPr="00753A64">
        <w:rPr>
          <w:rFonts w:ascii="Candara" w:hAnsi="Candara" w:cs="Times New Roman"/>
          <w:sz w:val="24"/>
          <w:szCs w:val="24"/>
        </w:rPr>
        <w:t xml:space="preserve"> y </w:t>
      </w:r>
      <w:proofErr w:type="spellStart"/>
      <w:r w:rsidRPr="00753A64">
        <w:rPr>
          <w:rFonts w:ascii="Candara" w:hAnsi="Candara" w:cs="Times New Roman"/>
          <w:sz w:val="24"/>
          <w:szCs w:val="24"/>
        </w:rPr>
        <w:t>los</w:t>
      </w:r>
      <w:proofErr w:type="spellEnd"/>
      <w:r w:rsidRPr="00753A64">
        <w:rPr>
          <w:rFonts w:ascii="Candara" w:hAnsi="Candara" w:cs="Times New Roman"/>
          <w:sz w:val="24"/>
          <w:szCs w:val="24"/>
        </w:rPr>
        <w:t xml:space="preserve"> Recursos </w:t>
      </w:r>
      <w:proofErr w:type="spellStart"/>
      <w:r w:rsidRPr="00753A64">
        <w:rPr>
          <w:rFonts w:ascii="Candara" w:hAnsi="Candara" w:cs="Times New Roman"/>
          <w:sz w:val="24"/>
          <w:szCs w:val="24"/>
        </w:rPr>
        <w:t>Naturales</w:t>
      </w:r>
      <w:proofErr w:type="spellEnd"/>
      <w:r w:rsidRPr="00753A64">
        <w:rPr>
          <w:rFonts w:ascii="Candara" w:hAnsi="Candara" w:cs="Times New Roman"/>
          <w:sz w:val="24"/>
          <w:szCs w:val="24"/>
        </w:rPr>
        <w:t xml:space="preserve">). </w:t>
      </w:r>
      <w:r w:rsidRPr="00753A64">
        <w:rPr>
          <w:rFonts w:ascii="Candara" w:hAnsi="Candara" w:cs="Times New Roman"/>
          <w:sz w:val="24"/>
          <w:szCs w:val="24"/>
          <w:lang w:val="it-IT"/>
        </w:rPr>
        <w:t xml:space="preserve">ISBN Sostenibilidad-Serie Herramientas y Capacitación: 2-8317-0375-1; Barómetro de la sostenibilidad: 2-8317-0377-8. </w:t>
      </w:r>
      <w:r w:rsidRPr="00753A64">
        <w:rPr>
          <w:rFonts w:ascii="Candara" w:hAnsi="Candara" w:cs="Times New Roman"/>
          <w:sz w:val="24"/>
          <w:szCs w:val="24"/>
        </w:rPr>
        <w:t>Cambridge. 30 p. 1997.</w:t>
      </w:r>
    </w:p>
    <w:p w14:paraId="7D83AD74" w14:textId="77777777" w:rsidR="00753A64" w:rsidRPr="00753A64" w:rsidRDefault="00753A64" w:rsidP="00753A64">
      <w:pPr>
        <w:spacing w:after="0" w:line="240" w:lineRule="auto"/>
        <w:rPr>
          <w:rFonts w:ascii="Candara" w:hAnsi="Candara" w:cs="Times New Roman"/>
          <w:sz w:val="24"/>
          <w:szCs w:val="24"/>
        </w:rPr>
      </w:pPr>
    </w:p>
    <w:p w14:paraId="3FA237F9"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RELAÇÃO ANUAL DE INFORMAÇÕES SOCIAIS – RAIS. Disponível em: &lt;http://pdet.mte.gov.br/</w:t>
      </w:r>
      <w:proofErr w:type="spellStart"/>
      <w:r w:rsidRPr="00753A64">
        <w:rPr>
          <w:rFonts w:ascii="Candara" w:hAnsi="Candara" w:cs="Times New Roman"/>
          <w:sz w:val="24"/>
          <w:szCs w:val="24"/>
        </w:rPr>
        <w:t>rais</w:t>
      </w:r>
      <w:proofErr w:type="spellEnd"/>
      <w:r w:rsidRPr="00753A64">
        <w:rPr>
          <w:rFonts w:ascii="Candara" w:hAnsi="Candara" w:cs="Times New Roman"/>
          <w:sz w:val="24"/>
          <w:szCs w:val="24"/>
        </w:rPr>
        <w:t>&gt;. 2023.</w:t>
      </w:r>
    </w:p>
    <w:p w14:paraId="4D4A169C" w14:textId="77777777" w:rsidR="00753A64" w:rsidRPr="00753A64" w:rsidRDefault="00753A64" w:rsidP="00AB34C0">
      <w:pPr>
        <w:spacing w:after="0" w:line="240" w:lineRule="auto"/>
        <w:jc w:val="both"/>
        <w:rPr>
          <w:rFonts w:ascii="Candara" w:hAnsi="Candara" w:cs="Times New Roman"/>
          <w:sz w:val="24"/>
          <w:szCs w:val="24"/>
        </w:rPr>
      </w:pPr>
    </w:p>
    <w:p w14:paraId="2E523FA1" w14:textId="77777777" w:rsidR="00753A64" w:rsidRP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 xml:space="preserve">SEBRAE. </w:t>
      </w:r>
      <w:r w:rsidRPr="00753A64">
        <w:rPr>
          <w:rFonts w:ascii="Candara" w:hAnsi="Candara" w:cs="Times New Roman"/>
          <w:i/>
          <w:iCs/>
          <w:sz w:val="24"/>
          <w:szCs w:val="24"/>
        </w:rPr>
        <w:t>Desenvolvimento econômico territorial Mato Grosso do Sul</w:t>
      </w:r>
      <w:r w:rsidRPr="00753A64">
        <w:rPr>
          <w:rFonts w:ascii="Candara" w:hAnsi="Candara" w:cs="Times New Roman"/>
          <w:sz w:val="24"/>
          <w:szCs w:val="24"/>
        </w:rPr>
        <w:t>. Costa Rica-Norte. Disponível em:  &lt;https://sebrae.com.br/Sebrae/Portal%20Sebrae/UFs/MS/Anexos/Mapa%20Oportunidades/Livreto_CostaRica.pdf&gt;.  2023.</w:t>
      </w:r>
    </w:p>
    <w:p w14:paraId="245FDEFA" w14:textId="77777777" w:rsidR="00753A64" w:rsidRPr="00753A64" w:rsidRDefault="00753A64" w:rsidP="00AB34C0">
      <w:pPr>
        <w:spacing w:after="0" w:line="240" w:lineRule="auto"/>
        <w:jc w:val="both"/>
        <w:rPr>
          <w:rFonts w:ascii="Candara" w:hAnsi="Candara" w:cs="Times New Roman"/>
          <w:sz w:val="24"/>
          <w:szCs w:val="24"/>
        </w:rPr>
      </w:pPr>
    </w:p>
    <w:p w14:paraId="0CF9EE59" w14:textId="77777777" w:rsidR="00753A64" w:rsidRPr="00753A64" w:rsidRDefault="00753A64" w:rsidP="00AB34C0">
      <w:pPr>
        <w:autoSpaceDE w:val="0"/>
        <w:autoSpaceDN w:val="0"/>
        <w:adjustRightInd w:val="0"/>
        <w:spacing w:after="0" w:line="240" w:lineRule="auto"/>
        <w:jc w:val="both"/>
        <w:rPr>
          <w:rFonts w:ascii="Candara" w:hAnsi="Candara" w:cs="Times New Roman"/>
          <w:sz w:val="24"/>
          <w:szCs w:val="24"/>
        </w:rPr>
      </w:pPr>
      <w:r w:rsidRPr="00753A64">
        <w:rPr>
          <w:rFonts w:ascii="Candara" w:hAnsi="Candara" w:cs="Times New Roman"/>
          <w:sz w:val="24"/>
          <w:szCs w:val="24"/>
        </w:rPr>
        <w:t xml:space="preserve">TRIGO, L. G. G. </w:t>
      </w:r>
      <w:r w:rsidRPr="00753A64">
        <w:rPr>
          <w:rFonts w:ascii="Candara" w:hAnsi="Candara" w:cs="Times New Roman"/>
          <w:i/>
          <w:iCs/>
          <w:sz w:val="24"/>
          <w:szCs w:val="24"/>
        </w:rPr>
        <w:t>A sociedade pós-industrial e o profissional em turismo.</w:t>
      </w:r>
      <w:r w:rsidRPr="00753A64">
        <w:rPr>
          <w:rFonts w:ascii="Candara" w:hAnsi="Candara" w:cs="Times New Roman"/>
          <w:sz w:val="24"/>
          <w:szCs w:val="24"/>
        </w:rPr>
        <w:t xml:space="preserve"> Campinas, SP. Papirus. 1998.</w:t>
      </w:r>
    </w:p>
    <w:p w14:paraId="6B39716B" w14:textId="77777777" w:rsidR="00753A64" w:rsidRPr="00753A64" w:rsidRDefault="00753A64" w:rsidP="00AB34C0">
      <w:pPr>
        <w:spacing w:after="0" w:line="240" w:lineRule="auto"/>
        <w:jc w:val="both"/>
        <w:rPr>
          <w:rFonts w:ascii="Candara" w:eastAsia="Times New Roman" w:hAnsi="Candara" w:cs="Times New Roman"/>
          <w:sz w:val="24"/>
          <w:szCs w:val="24"/>
        </w:rPr>
      </w:pPr>
    </w:p>
    <w:p w14:paraId="15C112B4" w14:textId="77777777" w:rsidR="00753A64" w:rsidRDefault="00753A64" w:rsidP="00AB34C0">
      <w:pPr>
        <w:spacing w:after="0" w:line="240" w:lineRule="auto"/>
        <w:jc w:val="both"/>
        <w:rPr>
          <w:rFonts w:ascii="Candara" w:hAnsi="Candara" w:cs="Times New Roman"/>
          <w:sz w:val="24"/>
          <w:szCs w:val="24"/>
        </w:rPr>
      </w:pPr>
      <w:r w:rsidRPr="00753A64">
        <w:rPr>
          <w:rFonts w:ascii="Candara" w:hAnsi="Candara" w:cs="Times New Roman"/>
          <w:sz w:val="24"/>
          <w:szCs w:val="24"/>
        </w:rPr>
        <w:t>YÁZIGI, E. A importância da paisagem. In: YÁZIGI, E. (</w:t>
      </w:r>
      <w:proofErr w:type="spellStart"/>
      <w:r w:rsidRPr="00753A64">
        <w:rPr>
          <w:rFonts w:ascii="Candara" w:hAnsi="Candara" w:cs="Times New Roman"/>
          <w:sz w:val="24"/>
          <w:szCs w:val="24"/>
        </w:rPr>
        <w:t>org</w:t>
      </w:r>
      <w:proofErr w:type="spellEnd"/>
      <w:r w:rsidRPr="00753A64">
        <w:rPr>
          <w:rFonts w:ascii="Candara" w:hAnsi="Candara" w:cs="Times New Roman"/>
          <w:sz w:val="24"/>
          <w:szCs w:val="24"/>
        </w:rPr>
        <w:t xml:space="preserve">). </w:t>
      </w:r>
      <w:r w:rsidRPr="00753A64">
        <w:rPr>
          <w:rFonts w:ascii="Candara" w:hAnsi="Candara" w:cs="Times New Roman"/>
          <w:i/>
          <w:iCs/>
          <w:sz w:val="24"/>
          <w:szCs w:val="24"/>
        </w:rPr>
        <w:t>Turismo e paisagem</w:t>
      </w:r>
      <w:r w:rsidRPr="00753A64">
        <w:rPr>
          <w:rFonts w:ascii="Candara" w:hAnsi="Candara" w:cs="Times New Roman"/>
          <w:sz w:val="24"/>
          <w:szCs w:val="24"/>
        </w:rPr>
        <w:t>. São Paulo: Contexto, p. 11-27. 2002.</w:t>
      </w:r>
    </w:p>
    <w:p w14:paraId="094D8B1A" w14:textId="77777777" w:rsidR="00753A64" w:rsidRPr="00753A64" w:rsidRDefault="00753A64" w:rsidP="00753A64">
      <w:pPr>
        <w:spacing w:after="0" w:line="240" w:lineRule="auto"/>
        <w:rPr>
          <w:rFonts w:ascii="Candara" w:hAnsi="Candara" w:cs="Times New Roman"/>
          <w:sz w:val="24"/>
          <w:szCs w:val="24"/>
        </w:rPr>
      </w:pPr>
    </w:p>
    <w:sectPr w:rsidR="00753A64" w:rsidRPr="00753A64">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FE51F" w14:textId="77777777" w:rsidR="007A2FD0" w:rsidRDefault="007A2FD0">
      <w:pPr>
        <w:spacing w:after="0" w:line="240" w:lineRule="auto"/>
      </w:pPr>
      <w:r>
        <w:separator/>
      </w:r>
    </w:p>
  </w:endnote>
  <w:endnote w:type="continuationSeparator" w:id="0">
    <w:p w14:paraId="036528E1" w14:textId="77777777" w:rsidR="007A2FD0" w:rsidRDefault="007A2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dobe garamond pro">
    <w:altName w:val="Garamon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27C92" w14:textId="77777777" w:rsidR="007A2FD0" w:rsidRDefault="007A2FD0">
      <w:pPr>
        <w:spacing w:after="0" w:line="240" w:lineRule="auto"/>
      </w:pPr>
      <w:r>
        <w:separator/>
      </w:r>
    </w:p>
  </w:footnote>
  <w:footnote w:type="continuationSeparator" w:id="0">
    <w:p w14:paraId="7D126A08" w14:textId="77777777" w:rsidR="007A2FD0" w:rsidRDefault="007A2FD0">
      <w:pPr>
        <w:spacing w:after="0" w:line="240" w:lineRule="auto"/>
      </w:pPr>
      <w:r>
        <w:continuationSeparator/>
      </w:r>
    </w:p>
  </w:footnote>
  <w:footnote w:id="1">
    <w:p w14:paraId="6AC11552" w14:textId="7EA19949" w:rsidR="005B483D" w:rsidRPr="00145028"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sidRPr="00145028">
        <w:rPr>
          <w:rFonts w:ascii="Candara" w:eastAsia="Candara" w:hAnsi="Candara" w:cs="Candara"/>
          <w:color w:val="000000"/>
          <w:sz w:val="20"/>
          <w:szCs w:val="20"/>
        </w:rPr>
        <w:t xml:space="preserve"> </w:t>
      </w:r>
      <w:r w:rsidR="00145028" w:rsidRPr="00145028">
        <w:rPr>
          <w:rFonts w:ascii="Candara" w:hAnsi="Candara"/>
          <w:sz w:val="20"/>
          <w:szCs w:val="20"/>
        </w:rPr>
        <w:t xml:space="preserve">Doutoranda em Desenvolvimento Regional e Agronegócio na Universidade Estadual do Oeste do Paraná (Unioeste), campus Toledo. </w:t>
      </w:r>
      <w:r w:rsidR="00145028" w:rsidRPr="00145028">
        <w:rPr>
          <w:rStyle w:val="c4z29wjxl"/>
          <w:rFonts w:ascii="Candara" w:hAnsi="Candara"/>
          <w:sz w:val="20"/>
          <w:szCs w:val="20"/>
        </w:rPr>
        <w:t xml:space="preserve">jorcelibc@gmail.com </w:t>
      </w:r>
    </w:p>
  </w:footnote>
  <w:footnote w:id="2">
    <w:p w14:paraId="387BFBAF" w14:textId="00CCB3D7" w:rsidR="005B483D" w:rsidRPr="00145028" w:rsidRDefault="00145028" w:rsidP="00145028">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145028">
        <w:rPr>
          <w:rFonts w:ascii="Candara" w:hAnsi="Candara"/>
          <w:sz w:val="20"/>
          <w:szCs w:val="20"/>
          <w:vertAlign w:val="superscript"/>
        </w:rPr>
        <w:footnoteRef/>
      </w:r>
      <w:r w:rsidRPr="00145028">
        <w:rPr>
          <w:rFonts w:ascii="Candara" w:eastAsia="Candara" w:hAnsi="Candara" w:cs="Candara"/>
          <w:color w:val="000000"/>
          <w:sz w:val="20"/>
          <w:szCs w:val="20"/>
        </w:rPr>
        <w:t xml:space="preserve"> </w:t>
      </w:r>
      <w:r w:rsidRPr="00145028">
        <w:rPr>
          <w:rFonts w:ascii="Candara" w:hAnsi="Candara"/>
          <w:sz w:val="20"/>
          <w:szCs w:val="20"/>
        </w:rPr>
        <w:t>Doutoranda em Desenvolvimento Regional e Agronegócio na Universidade Estadual do Oeste do Paraná (Unioeste), campus Toledo. sandra.mara78@yahoo.com.br</w:t>
      </w:r>
    </w:p>
  </w:footnote>
  <w:footnote w:id="3">
    <w:p w14:paraId="1DCB96B8" w14:textId="3F0C18F5" w:rsidR="00145028" w:rsidRDefault="00145028">
      <w:pPr>
        <w:pStyle w:val="Textodenotaderodap"/>
      </w:pPr>
      <w:r>
        <w:rPr>
          <w:rStyle w:val="Refdenotaderodap"/>
        </w:rPr>
        <w:footnoteRef/>
      </w:r>
      <w:r>
        <w:t xml:space="preserve"> Doutor em Desenvolvimento Regional pela Universidade de Santa Cruz do Sul (UNISC). Professor do Programa de Pós-Graduação em Desenvolvimento Regional e Agronegócio - mestrado e doutorado - da Universidade Estadual do Oeste do Paraná (UNIOESTE), campus Toledo. mopiffer@yahoo.com.br</w:t>
      </w:r>
    </w:p>
  </w:footnote>
  <w:footnote w:id="4">
    <w:p w14:paraId="1B55FC51" w14:textId="77777777" w:rsidR="004E35A9" w:rsidRPr="00F369CC" w:rsidRDefault="004E35A9" w:rsidP="004E35A9">
      <w:pPr>
        <w:pStyle w:val="Textodenotaderodap"/>
        <w:jc w:val="both"/>
        <w:rPr>
          <w:rFonts w:ascii="Candara" w:hAnsi="Candara" w:cs="Times New Roman"/>
        </w:rPr>
      </w:pPr>
      <w:r w:rsidRPr="00F369CC">
        <w:rPr>
          <w:rStyle w:val="Refdenotaderodap"/>
          <w:rFonts w:ascii="Candara" w:hAnsi="Candara" w:cs="Arial"/>
        </w:rPr>
        <w:footnoteRef/>
      </w:r>
      <w:r w:rsidRPr="00F369CC">
        <w:rPr>
          <w:rFonts w:ascii="Candara" w:hAnsi="Candara" w:cs="Arial"/>
        </w:rPr>
        <w:t xml:space="preserve"> </w:t>
      </w:r>
      <w:r w:rsidRPr="00F369CC">
        <w:rPr>
          <w:rFonts w:ascii="Candara" w:hAnsi="Candara" w:cs="Times New Roman"/>
        </w:rPr>
        <w:t>DIEESE: Departamento Intersindical de Estatística e Estudos Econômicos.</w:t>
      </w:r>
    </w:p>
  </w:footnote>
  <w:footnote w:id="5">
    <w:p w14:paraId="4CBD7628" w14:textId="77777777" w:rsidR="004E35A9" w:rsidRPr="00E960F7" w:rsidRDefault="004E35A9" w:rsidP="004E35A9">
      <w:pPr>
        <w:pStyle w:val="Textodenotaderodap"/>
        <w:jc w:val="both"/>
        <w:rPr>
          <w:rFonts w:ascii="adobe garamond pro" w:hAnsi="adobe garamond pro" w:cs="Arial"/>
        </w:rPr>
      </w:pPr>
      <w:r w:rsidRPr="00F369CC">
        <w:rPr>
          <w:rStyle w:val="Refdenotaderodap"/>
          <w:rFonts w:ascii="Candara" w:hAnsi="Candara" w:cs="Times New Roman"/>
        </w:rPr>
        <w:footnoteRef/>
      </w:r>
      <w:r w:rsidRPr="00F369CC">
        <w:rPr>
          <w:rFonts w:ascii="Candara" w:hAnsi="Candara" w:cs="Times New Roman"/>
        </w:rPr>
        <w:t xml:space="preserve"> </w:t>
      </w:r>
      <w:proofErr w:type="gramStart"/>
      <w:r w:rsidRPr="00F369CC">
        <w:rPr>
          <w:rFonts w:ascii="Candara" w:hAnsi="Candara" w:cs="Times New Roman"/>
        </w:rPr>
        <w:t>Salário mínimo</w:t>
      </w:r>
      <w:proofErr w:type="gramEnd"/>
      <w:r w:rsidRPr="00F369CC">
        <w:rPr>
          <w:rFonts w:ascii="Candara" w:hAnsi="Candara" w:cs="Times New Roman"/>
        </w:rPr>
        <w:t xml:space="preserve"> nacional, junho/2023: R$ 1.320,00</w:t>
      </w:r>
    </w:p>
  </w:footnote>
  <w:footnote w:id="6">
    <w:p w14:paraId="0F2C3F98" w14:textId="77777777" w:rsidR="00753A64" w:rsidRPr="00F369CC" w:rsidRDefault="00753A64" w:rsidP="00753A64">
      <w:pPr>
        <w:pStyle w:val="Textodenotaderodap"/>
        <w:jc w:val="both"/>
        <w:rPr>
          <w:rFonts w:ascii="Candara" w:hAnsi="Candara"/>
        </w:rPr>
      </w:pPr>
      <w:r w:rsidRPr="00F369CC">
        <w:rPr>
          <w:rStyle w:val="Refdenotaderodap"/>
          <w:rFonts w:ascii="Candara" w:hAnsi="Candara"/>
        </w:rPr>
        <w:footnoteRef/>
      </w:r>
      <w:r w:rsidRPr="00F369CC">
        <w:rPr>
          <w:rFonts w:ascii="Candara" w:hAnsi="Candara"/>
        </w:rPr>
        <w:t xml:space="preserve"> </w:t>
      </w:r>
      <w:r w:rsidRPr="00F369CC">
        <w:rPr>
          <w:rFonts w:ascii="Candara" w:hAnsi="Candara" w:cs="Arial"/>
        </w:rPr>
        <w:t>“</w:t>
      </w:r>
      <w:proofErr w:type="spellStart"/>
      <w:r w:rsidRPr="00F369CC">
        <w:rPr>
          <w:rFonts w:ascii="Candara" w:hAnsi="Candara" w:cs="Arial"/>
          <w:i/>
          <w:iCs/>
        </w:rPr>
        <w:t>convertir</w:t>
      </w:r>
      <w:proofErr w:type="spellEnd"/>
      <w:r w:rsidRPr="00F369CC">
        <w:rPr>
          <w:rFonts w:ascii="Candara" w:hAnsi="Candara" w:cs="Arial"/>
          <w:i/>
          <w:iCs/>
        </w:rPr>
        <w:t xml:space="preserve"> </w:t>
      </w:r>
      <w:proofErr w:type="spellStart"/>
      <w:r w:rsidRPr="00F369CC">
        <w:rPr>
          <w:rFonts w:ascii="Candara" w:hAnsi="Candara" w:cs="Arial"/>
          <w:i/>
          <w:iCs/>
        </w:rPr>
        <w:t>los</w:t>
      </w:r>
      <w:proofErr w:type="spellEnd"/>
      <w:r w:rsidRPr="00F369CC">
        <w:rPr>
          <w:rFonts w:ascii="Candara" w:hAnsi="Candara" w:cs="Arial"/>
          <w:i/>
          <w:iCs/>
        </w:rPr>
        <w:t xml:space="preserve"> registros de </w:t>
      </w:r>
      <w:proofErr w:type="spellStart"/>
      <w:r w:rsidRPr="00F369CC">
        <w:rPr>
          <w:rFonts w:ascii="Candara" w:hAnsi="Candara" w:cs="Arial"/>
          <w:i/>
          <w:iCs/>
        </w:rPr>
        <w:t>los</w:t>
      </w:r>
      <w:proofErr w:type="spellEnd"/>
      <w:r w:rsidRPr="00F369CC">
        <w:rPr>
          <w:rFonts w:ascii="Candara" w:hAnsi="Candara" w:cs="Arial"/>
          <w:i/>
          <w:iCs/>
        </w:rPr>
        <w:t xml:space="preserve"> indicadores a </w:t>
      </w:r>
      <w:proofErr w:type="spellStart"/>
      <w:r w:rsidRPr="00F369CC">
        <w:rPr>
          <w:rFonts w:ascii="Candara" w:hAnsi="Candara" w:cs="Arial"/>
          <w:i/>
          <w:iCs/>
        </w:rPr>
        <w:t>la</w:t>
      </w:r>
      <w:proofErr w:type="spellEnd"/>
      <w:r w:rsidRPr="00F369CC">
        <w:rPr>
          <w:rFonts w:ascii="Candara" w:hAnsi="Candara" w:cs="Arial"/>
          <w:i/>
          <w:iCs/>
        </w:rPr>
        <w:t xml:space="preserve"> escala </w:t>
      </w:r>
      <w:proofErr w:type="spellStart"/>
      <w:r w:rsidRPr="00F369CC">
        <w:rPr>
          <w:rFonts w:ascii="Candara" w:hAnsi="Candara" w:cs="Arial"/>
          <w:i/>
          <w:iCs/>
        </w:rPr>
        <w:t>del</w:t>
      </w:r>
      <w:proofErr w:type="spellEnd"/>
      <w:r w:rsidRPr="00F369CC">
        <w:rPr>
          <w:rFonts w:ascii="Candara" w:hAnsi="Candara" w:cs="Arial"/>
          <w:i/>
          <w:iCs/>
        </w:rPr>
        <w:t xml:space="preserve"> Barómetro implica cálculos simples. (...) Se </w:t>
      </w:r>
      <w:proofErr w:type="spellStart"/>
      <w:r w:rsidRPr="00F369CC">
        <w:rPr>
          <w:rFonts w:ascii="Candara" w:hAnsi="Candara" w:cs="Arial"/>
          <w:i/>
          <w:iCs/>
        </w:rPr>
        <w:t>prefirió</w:t>
      </w:r>
      <w:proofErr w:type="spellEnd"/>
      <w:r w:rsidRPr="00F369CC">
        <w:rPr>
          <w:rFonts w:ascii="Candara" w:hAnsi="Candara" w:cs="Arial"/>
          <w:i/>
          <w:iCs/>
        </w:rPr>
        <w:t xml:space="preserve"> facilitar </w:t>
      </w:r>
      <w:proofErr w:type="spellStart"/>
      <w:r w:rsidRPr="00F369CC">
        <w:rPr>
          <w:rFonts w:ascii="Candara" w:hAnsi="Candara" w:cs="Arial"/>
          <w:i/>
          <w:iCs/>
        </w:rPr>
        <w:t>el</w:t>
      </w:r>
      <w:proofErr w:type="spellEnd"/>
      <w:r w:rsidRPr="00F369CC">
        <w:rPr>
          <w:rFonts w:ascii="Candara" w:hAnsi="Candara" w:cs="Arial"/>
          <w:i/>
          <w:iCs/>
        </w:rPr>
        <w:t xml:space="preserve"> uso a uma amplia variedade de </w:t>
      </w:r>
      <w:proofErr w:type="spellStart"/>
      <w:r w:rsidRPr="00F369CC">
        <w:rPr>
          <w:rFonts w:ascii="Candara" w:hAnsi="Candara" w:cs="Arial"/>
          <w:i/>
          <w:iCs/>
        </w:rPr>
        <w:t>usuarios</w:t>
      </w:r>
      <w:proofErr w:type="spellEnd"/>
      <w:r w:rsidRPr="00F369CC">
        <w:rPr>
          <w:rFonts w:ascii="Candara" w:hAnsi="Candara" w:cs="Arial"/>
          <w:i/>
          <w:iCs/>
        </w:rPr>
        <w:t xml:space="preserve"> </w:t>
      </w:r>
      <w:proofErr w:type="spellStart"/>
      <w:r w:rsidRPr="00F369CC">
        <w:rPr>
          <w:rFonts w:ascii="Candara" w:hAnsi="Candara" w:cs="Arial"/>
          <w:i/>
          <w:iCs/>
        </w:rPr>
        <w:t>en</w:t>
      </w:r>
      <w:proofErr w:type="spellEnd"/>
      <w:r w:rsidRPr="00F369CC">
        <w:rPr>
          <w:rFonts w:ascii="Candara" w:hAnsi="Candara" w:cs="Arial"/>
          <w:i/>
          <w:iCs/>
        </w:rPr>
        <w:t xml:space="preserve"> lugar de </w:t>
      </w:r>
      <w:proofErr w:type="spellStart"/>
      <w:r w:rsidRPr="00F369CC">
        <w:rPr>
          <w:rFonts w:ascii="Candara" w:hAnsi="Candara" w:cs="Arial"/>
          <w:i/>
          <w:iCs/>
        </w:rPr>
        <w:t>la</w:t>
      </w:r>
      <w:proofErr w:type="spellEnd"/>
      <w:r w:rsidRPr="00F369CC">
        <w:rPr>
          <w:rFonts w:ascii="Candara" w:hAnsi="Candara" w:cs="Arial"/>
          <w:i/>
          <w:iCs/>
        </w:rPr>
        <w:t xml:space="preserve"> </w:t>
      </w:r>
      <w:proofErr w:type="spellStart"/>
      <w:r w:rsidRPr="00F369CC">
        <w:rPr>
          <w:rFonts w:ascii="Candara" w:hAnsi="Candara" w:cs="Arial"/>
          <w:i/>
          <w:iCs/>
        </w:rPr>
        <w:t>sofisticación</w:t>
      </w:r>
      <w:proofErr w:type="spellEnd"/>
      <w:r w:rsidRPr="00F369CC">
        <w:rPr>
          <w:rFonts w:ascii="Candara" w:hAnsi="Candara" w:cs="Arial"/>
          <w:i/>
          <w:iCs/>
        </w:rPr>
        <w:t xml:space="preserve"> matemática.</w:t>
      </w:r>
      <w:r w:rsidRPr="00F369CC">
        <w:rPr>
          <w:rFonts w:ascii="Candara" w:hAnsi="Candara" w:cs="Arial"/>
        </w:rPr>
        <w:t>”.</w:t>
      </w:r>
    </w:p>
  </w:footnote>
  <w:footnote w:id="7">
    <w:p w14:paraId="1E83372F" w14:textId="77777777" w:rsidR="00753A64" w:rsidRPr="00E960F7" w:rsidRDefault="00753A64" w:rsidP="00753A64">
      <w:pPr>
        <w:jc w:val="both"/>
        <w:rPr>
          <w:rFonts w:ascii="adobe garamond pro" w:eastAsia="Times New Roman" w:hAnsi="adobe garamond pro"/>
          <w:color w:val="000000"/>
          <w:spacing w:val="-5"/>
          <w:sz w:val="20"/>
          <w:szCs w:val="20"/>
        </w:rPr>
      </w:pPr>
      <w:r w:rsidRPr="00F369CC">
        <w:rPr>
          <w:rStyle w:val="Refdenotaderodap"/>
          <w:rFonts w:ascii="Candara" w:hAnsi="Candara"/>
          <w:spacing w:val="-5"/>
          <w:sz w:val="20"/>
          <w:szCs w:val="20"/>
        </w:rPr>
        <w:footnoteRef/>
      </w:r>
      <w:r w:rsidRPr="00F369CC">
        <w:rPr>
          <w:rFonts w:ascii="Candara" w:hAnsi="Candara"/>
          <w:spacing w:val="-5"/>
          <w:sz w:val="20"/>
          <w:szCs w:val="20"/>
        </w:rPr>
        <w:t xml:space="preserve"> </w:t>
      </w:r>
      <w:r w:rsidRPr="00F369CC">
        <w:rPr>
          <w:rFonts w:ascii="Candara" w:eastAsia="Times New Roman" w:hAnsi="Candara"/>
          <w:color w:val="000000"/>
          <w:spacing w:val="-5"/>
          <w:sz w:val="20"/>
          <w:szCs w:val="20"/>
        </w:rPr>
        <w:t>Classificação CNAE 2.0: Hotéis e similares; outros tipos de alojamento não especificados anteriormente; restaurantes e outros estabelecimentos de serviços de alimentação e bebidas; aluguel de equipamentos recreativos e esportivos; agências de viagens; operadores turísticos; serviços de reservas e outros serviços de turismo não especificados anteriormente; atividades de museus e de exploração, restauração artística e conservação de lugares e prédios históricos e atrações similares; parques de diversão e parques temáticos; atividades de recreação e lazer não especificadas anteriormente.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7922"/>
    <w:multiLevelType w:val="hybridMultilevel"/>
    <w:tmpl w:val="BEFAF1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27673381">
    <w:abstractNumId w:val="1"/>
  </w:num>
  <w:num w:numId="2" w16cid:durableId="586572278">
    <w:abstractNumId w:val="2"/>
  </w:num>
  <w:num w:numId="3" w16cid:durableId="1182090010">
    <w:abstractNumId w:val="3"/>
  </w:num>
  <w:num w:numId="4" w16cid:durableId="806704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5E2C"/>
    <w:rsid w:val="000F408A"/>
    <w:rsid w:val="00141FF1"/>
    <w:rsid w:val="00145028"/>
    <w:rsid w:val="00145555"/>
    <w:rsid w:val="001637AA"/>
    <w:rsid w:val="002652C1"/>
    <w:rsid w:val="002723DD"/>
    <w:rsid w:val="0027569E"/>
    <w:rsid w:val="002859DB"/>
    <w:rsid w:val="002A7B4A"/>
    <w:rsid w:val="00304A1F"/>
    <w:rsid w:val="003368C9"/>
    <w:rsid w:val="00347CDA"/>
    <w:rsid w:val="003E32C1"/>
    <w:rsid w:val="00445419"/>
    <w:rsid w:val="004E35A9"/>
    <w:rsid w:val="00506EF6"/>
    <w:rsid w:val="005420A8"/>
    <w:rsid w:val="0059778F"/>
    <w:rsid w:val="005B483D"/>
    <w:rsid w:val="00620F8A"/>
    <w:rsid w:val="006618F3"/>
    <w:rsid w:val="007128C6"/>
    <w:rsid w:val="00753A64"/>
    <w:rsid w:val="007A2FD0"/>
    <w:rsid w:val="007A3070"/>
    <w:rsid w:val="007B39E0"/>
    <w:rsid w:val="007E2F9B"/>
    <w:rsid w:val="00805112"/>
    <w:rsid w:val="00834988"/>
    <w:rsid w:val="008D6D91"/>
    <w:rsid w:val="00954AC9"/>
    <w:rsid w:val="009B718B"/>
    <w:rsid w:val="009E7AB8"/>
    <w:rsid w:val="00A44839"/>
    <w:rsid w:val="00A506FD"/>
    <w:rsid w:val="00A612C1"/>
    <w:rsid w:val="00AB34C0"/>
    <w:rsid w:val="00AD323E"/>
    <w:rsid w:val="00B370F0"/>
    <w:rsid w:val="00B51BCD"/>
    <w:rsid w:val="00B71D6C"/>
    <w:rsid w:val="00BC3323"/>
    <w:rsid w:val="00C534AB"/>
    <w:rsid w:val="00C55B38"/>
    <w:rsid w:val="00C701A8"/>
    <w:rsid w:val="00C72FD5"/>
    <w:rsid w:val="00CE7EE5"/>
    <w:rsid w:val="00CF5EE8"/>
    <w:rsid w:val="00D26CD1"/>
    <w:rsid w:val="00D356C9"/>
    <w:rsid w:val="00DE3291"/>
    <w:rsid w:val="00E42C43"/>
    <w:rsid w:val="00E63698"/>
    <w:rsid w:val="00ED20E8"/>
    <w:rsid w:val="00EF7761"/>
    <w:rsid w:val="00F369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14502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45028"/>
    <w:rPr>
      <w:sz w:val="20"/>
      <w:szCs w:val="20"/>
    </w:rPr>
  </w:style>
  <w:style w:type="character" w:styleId="Refdenotaderodap">
    <w:name w:val="footnote reference"/>
    <w:basedOn w:val="Fontepargpadro"/>
    <w:uiPriority w:val="99"/>
    <w:semiHidden/>
    <w:unhideWhenUsed/>
    <w:rsid w:val="00145028"/>
    <w:rPr>
      <w:vertAlign w:val="superscript"/>
    </w:rPr>
  </w:style>
  <w:style w:type="character" w:customStyle="1" w:styleId="c4z29wjxl">
    <w:name w:val="c4_z29wjxl"/>
    <w:basedOn w:val="Fontepargpadro"/>
    <w:rsid w:val="00145028"/>
  </w:style>
  <w:style w:type="character" w:styleId="Hyperlink">
    <w:name w:val="Hyperlink"/>
    <w:basedOn w:val="Fontepargpadro"/>
    <w:uiPriority w:val="99"/>
    <w:unhideWhenUsed/>
    <w:rsid w:val="00145028"/>
    <w:rPr>
      <w:color w:val="0000FF" w:themeColor="hyperlink"/>
      <w:u w:val="single"/>
    </w:rPr>
  </w:style>
  <w:style w:type="character" w:styleId="MenoPendente">
    <w:name w:val="Unresolved Mention"/>
    <w:basedOn w:val="Fontepargpadro"/>
    <w:uiPriority w:val="99"/>
    <w:semiHidden/>
    <w:unhideWhenUsed/>
    <w:rsid w:val="00145028"/>
    <w:rPr>
      <w:color w:val="605E5C"/>
      <w:shd w:val="clear" w:color="auto" w:fill="E1DFDD"/>
    </w:rPr>
  </w:style>
  <w:style w:type="character" w:customStyle="1" w:styleId="rynqvb">
    <w:name w:val="rynqvb"/>
    <w:basedOn w:val="Fontepargpadro"/>
    <w:rsid w:val="004E35A9"/>
  </w:style>
  <w:style w:type="character" w:customStyle="1" w:styleId="hwtze">
    <w:name w:val="hwtze"/>
    <w:basedOn w:val="Fontepargpadro"/>
    <w:rsid w:val="004E35A9"/>
  </w:style>
  <w:style w:type="paragraph" w:customStyle="1" w:styleId="Default">
    <w:name w:val="Default"/>
    <w:rsid w:val="004E35A9"/>
    <w:pPr>
      <w:autoSpaceDE w:val="0"/>
      <w:autoSpaceDN w:val="0"/>
      <w:adjustRightInd w:val="0"/>
      <w:spacing w:after="0" w:line="240" w:lineRule="auto"/>
    </w:pPr>
    <w:rPr>
      <w:rFonts w:ascii="Arial" w:eastAsiaTheme="minorHAnsi" w:hAnsi="Arial" w:cs="Arial"/>
      <w:color w:val="000000"/>
      <w:sz w:val="24"/>
      <w:szCs w:val="24"/>
      <w:lang w:eastAsia="en-US"/>
      <w14:ligatures w14:val="standardContextual"/>
    </w:rPr>
  </w:style>
  <w:style w:type="paragraph" w:styleId="NormalWeb">
    <w:name w:val="Normal (Web)"/>
    <w:basedOn w:val="Normal"/>
    <w:uiPriority w:val="99"/>
    <w:unhideWhenUsed/>
    <w:rsid w:val="004E35A9"/>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table" w:styleId="Tabelacomgrade">
    <w:name w:val="Table Grid"/>
    <w:basedOn w:val="Tabelanormal"/>
    <w:uiPriority w:val="39"/>
    <w:rsid w:val="004E35A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Sutil">
    <w:name w:val="Subtle Emphasis"/>
    <w:basedOn w:val="Fontepargpadro"/>
    <w:uiPriority w:val="19"/>
    <w:qFormat/>
    <w:rsid w:val="004E35A9"/>
    <w:rPr>
      <w:i/>
      <w:iCs/>
      <w:color w:val="404040" w:themeColor="text1" w:themeTint="BF"/>
    </w:rPr>
  </w:style>
  <w:style w:type="character" w:styleId="Forte">
    <w:name w:val="Strong"/>
    <w:basedOn w:val="Fontepargpadro"/>
    <w:uiPriority w:val="22"/>
    <w:qFormat/>
    <w:rsid w:val="00753A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44F12-C422-402B-AEA0-9A3F2898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25</Pages>
  <Words>5857</Words>
  <Characters>31633</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San Mara</cp:lastModifiedBy>
  <cp:revision>7</cp:revision>
  <dcterms:created xsi:type="dcterms:W3CDTF">2024-08-30T17:09:00Z</dcterms:created>
  <dcterms:modified xsi:type="dcterms:W3CDTF">2024-08-30T17:57:00Z</dcterms:modified>
</cp:coreProperties>
</file>