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0338" w14:textId="77777777" w:rsidR="00D26D46" w:rsidRDefault="00D26D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37ACC" w14:textId="77777777" w:rsidR="00D26D46" w:rsidRDefault="00351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 PRINCÍPIOS DE YOGYAKARTA COMO FONTE DE DIREITO INTERNACIONAL NA PROTEÇÃO DOS DIREITOS HUMANOS</w:t>
      </w:r>
    </w:p>
    <w:p w14:paraId="6BCABCD2" w14:textId="77777777" w:rsidR="00D26D46" w:rsidRDefault="00D26D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AC6E3" w14:textId="47B80E0F" w:rsidR="00D26D46" w:rsidRDefault="00D26D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CE362" w14:textId="77777777" w:rsidR="00D26D46" w:rsidRDefault="00D26D46">
      <w:pPr>
        <w:spacing w:line="360" w:lineRule="auto"/>
      </w:pPr>
    </w:p>
    <w:p w14:paraId="175BF62E" w14:textId="77777777" w:rsidR="00D26D46" w:rsidRDefault="00351C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Direitos humanos, fontes, princípios internacionais.</w:t>
      </w:r>
    </w:p>
    <w:p w14:paraId="3DFFF271" w14:textId="77777777" w:rsidR="00D26D46" w:rsidRDefault="00D26D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4A794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Historicamente, o Direito Internacional Público era projetado através de um prisma do conceito romano de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jus gentium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que, surge em 754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correspondendo à uma tradução literal do direito das pessoas que pertenciam ao mesmo clã ou a clãs aparentados. P</w:t>
      </w:r>
      <w:r>
        <w:rPr>
          <w:rFonts w:ascii="Times New Roman" w:eastAsia="Times New Roman" w:hAnsi="Times New Roman" w:cs="Times New Roman"/>
          <w:sz w:val="24"/>
          <w:szCs w:val="24"/>
        </w:rPr>
        <w:t>osteriormente, o mesmo conceito passa a ser aplicado àquelas relações entre os estrangeiros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peregrini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entre si e com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romanos. Tratava-se de um conjunto de ordenações cujos destinatários eram seres humanos, não organizações políticas (LAGHMANI, 2</w:t>
      </w:r>
      <w:r>
        <w:rPr>
          <w:rFonts w:ascii="Times New Roman" w:eastAsia="Times New Roman" w:hAnsi="Times New Roman" w:cs="Times New Roman"/>
          <w:sz w:val="24"/>
          <w:szCs w:val="24"/>
        </w:rPr>
        <w:t>003).</w:t>
      </w:r>
    </w:p>
    <w:p w14:paraId="109D9A08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sua evolução,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jus gentium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encerra consigo a exigência de um direito universal, de um direito que deveria ser, em princípio, aceito por todos os homens, deveria ser um ramo não nacional, mas aberto à diferença. Por essas razões, após a Segunda Guerra Mundial, o Direito Internaciona</w:t>
      </w:r>
      <w:r>
        <w:rPr>
          <w:rFonts w:ascii="Times New Roman" w:eastAsia="Times New Roman" w:hAnsi="Times New Roman" w:cs="Times New Roman"/>
          <w:sz w:val="24"/>
          <w:szCs w:val="24"/>
        </w:rPr>
        <w:t>l, inspirado neste conceito romano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passa a alcançar um papel global no que tange a ordenação da sociedade internacional (DEL’OMO, 2006). Exteriorizando, assim, como o ramo do Direito que rege as relações interestatais, que passam a ser intensificadas pela </w:t>
      </w:r>
      <w:r>
        <w:rPr>
          <w:rFonts w:ascii="Times New Roman" w:eastAsia="Times New Roman" w:hAnsi="Times New Roman" w:cs="Times New Roman"/>
          <w:sz w:val="24"/>
          <w:szCs w:val="24"/>
        </w:rPr>
        <w:t>globalização que induz a um processo de alocação e formação de uma nova realidade social, cujo foro de debates passa a ser no seio dos organismos globais, nos quais os temas mais recorrentes são os relacionados ao desenvolvimento da humanidade (MENEZES, 20</w:t>
      </w:r>
      <w:r>
        <w:rPr>
          <w:rFonts w:ascii="Times New Roman" w:eastAsia="Times New Roman" w:hAnsi="Times New Roman" w:cs="Times New Roman"/>
          <w:sz w:val="24"/>
          <w:szCs w:val="24"/>
        </w:rPr>
        <w:t>05).</w:t>
      </w:r>
    </w:p>
    <w:p w14:paraId="092AE067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isso, são elaboradas normas internacionais, em que as intenções dos Estados sobre determinadas matérias ganham uma tutela jurídica positivada que, uma vez em vigor, obrigam as partes a cumprirem de boa-fé as obrigações voluntariamente assumidas (</w:t>
      </w:r>
      <w:r>
        <w:rPr>
          <w:rFonts w:ascii="Times New Roman" w:eastAsia="Times New Roman" w:hAnsi="Times New Roman" w:cs="Times New Roman"/>
          <w:sz w:val="24"/>
          <w:szCs w:val="24"/>
        </w:rPr>
        <w:t>CONVENÇÃO DE VIENA, 1969, Art. 26). No ponto, o artigo 38, do Estatuto da Corte Internacional de Justiça (ECIJ), estabelece que, na solução de controvérsias que lhe forem submetidas, a Corte deverá aplicar as (i.) convenções internacionais;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o costume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internacional; e,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os princípios gerais de direito, como meios auxiliares para a determinação das regras de direito, das decisões judiciais e da doutrina. </w:t>
      </w:r>
    </w:p>
    <w:p w14:paraId="4CEF8B6F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disso, na busca </w:t>
      </w:r>
      <w:r>
        <w:rPr>
          <w:rFonts w:ascii="Times New Roman" w:eastAsia="Times New Roman" w:hAnsi="Times New Roman" w:cs="Times New Roman"/>
          <w:sz w:val="25"/>
          <w:szCs w:val="25"/>
        </w:rPr>
        <w:t>de  regular a convivência pacífica entre os seres humanos, e garantir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o respeito a seus  direitos fundamentais, o Direito  Internacional categoriza alguns grupos sociais em função do pertencimento a comunidades religiosas, étnicas ou linguísticas diversas daquelas dominantes nas quais estão inseridas (ALAMINO; VECCHIO, 2018</w:t>
      </w:r>
      <w:r>
        <w:rPr>
          <w:rFonts w:ascii="Times New Roman" w:eastAsia="Times New Roman" w:hAnsi="Times New Roman" w:cs="Times New Roman"/>
          <w:sz w:val="25"/>
          <w:szCs w:val="25"/>
        </w:rPr>
        <w:t>), essencialmente, através dos princípios gerais de direito. Nesse marco, inicia-se a estruturação da proteção de diversos grupos humanos minoritários, tais como os Princípios de Yogyakarta, que é um documento elaborado por especialistas em direito  intern</w:t>
      </w:r>
      <w:r>
        <w:rPr>
          <w:rFonts w:ascii="Times New Roman" w:eastAsia="Times New Roman" w:hAnsi="Times New Roman" w:cs="Times New Roman"/>
          <w:sz w:val="25"/>
          <w:szCs w:val="25"/>
        </w:rPr>
        <w:t>acional dos direitos humanos, de orientação sexual e de identidade de gênero, e que após longos trabalhos que envolveram organizações não governamentais e pesquisadores  de todos os continentes do globo, se reúnem na cidade indonésia que dá nome ao documen</w:t>
      </w:r>
      <w:r>
        <w:rPr>
          <w:rFonts w:ascii="Times New Roman" w:eastAsia="Times New Roman" w:hAnsi="Times New Roman" w:cs="Times New Roman"/>
          <w:sz w:val="25"/>
          <w:szCs w:val="25"/>
        </w:rPr>
        <w:t>to para elaborar e apresentar normas que aperfeiçoaram a proteção dos direitos humanos aplicados às minorias LGBTQIA+ (ALAMINO; VECCHIO, 2018).</w:t>
      </w:r>
    </w:p>
    <w:p w14:paraId="1CC50E1F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pesquisa, assim, se desenvolve a partir da análise dos princípios gerais de direito como fonte de dir</w:t>
      </w:r>
      <w:r>
        <w:rPr>
          <w:rFonts w:ascii="Times New Roman" w:eastAsia="Times New Roman" w:hAnsi="Times New Roman" w:cs="Times New Roman"/>
          <w:sz w:val="24"/>
          <w:szCs w:val="24"/>
        </w:rPr>
        <w:t>eito internacional. Para a fomentação dos dados será utilizado o método dedutivo, dividindo-se o estudo nos seguintes momentos: primeiro, analisa-se a caracterização dos princípios gerais de direito e como estes podem ser considerados fontes de direito int</w:t>
      </w:r>
      <w:r>
        <w:rPr>
          <w:rFonts w:ascii="Times New Roman" w:eastAsia="Times New Roman" w:hAnsi="Times New Roman" w:cs="Times New Roman"/>
          <w:sz w:val="24"/>
          <w:szCs w:val="24"/>
        </w:rPr>
        <w:t>ernacional; segundo, aborda-se os Princípios de Yogyakarta, que embora não sejam princípios oficiais da Organização das Nações Unidas (ONU), vem ganhando destaque na resolução de conflitos e na proteção dos direitos humanos; e, por fim, se demonstrará a im</w:t>
      </w:r>
      <w:r>
        <w:rPr>
          <w:rFonts w:ascii="Times New Roman" w:eastAsia="Times New Roman" w:hAnsi="Times New Roman" w:cs="Times New Roman"/>
          <w:sz w:val="24"/>
          <w:szCs w:val="24"/>
        </w:rPr>
        <w:t>portância da formulação de princípios, como os contidos no Yogyakarta, na salvaguarda e respeito dos direitos humanos. No mais, a pesquisa é pautada na investigação bibliográfica e documental. Sua natureza é qualitativa, considerando que o tema em estudo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fonte de dados, interpretação de fenômenos culturais e sociais, relacionados ao contexto em que se criam princípios e como estes podem servir como tutela dos direitos humanos.</w:t>
      </w:r>
    </w:p>
    <w:p w14:paraId="4EBB8B36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Dito isso, destaca-se que o artigo 38 da ECIJ não pretende constituir uma formu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peremptória e exaustiva das fontes do direito internacional, mas sim servir como um guia à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atividade dos Tribunais Internacionais na solução de conflitos (CANÇADO TRINDADE, 2017). À luz disso, os princípios gerais do direito, além de destacarem uma tens</w:t>
      </w:r>
      <w:r>
        <w:rPr>
          <w:rFonts w:ascii="Times New Roman" w:eastAsia="Times New Roman" w:hAnsi="Times New Roman" w:cs="Times New Roman"/>
          <w:sz w:val="24"/>
          <w:szCs w:val="24"/>
        </w:rPr>
        <w:t>ão entre o jusnaturalismo, no que tange os princípios universais de justiça objetiva, e o positivismo, na busca dos princípios de direito cristalizados nos ordenamentos jurídicos, nos evidenciam um liame entre o direito interno e no direito internacional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CANÇADO TRINDADE, 2017). </w:t>
      </w:r>
    </w:p>
    <w:p w14:paraId="0BD86931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contrário da discussão sobre a dificuldade de se provar os princípios gerais do direito, visto que os Tribunais Internacionais poderiam não indagar se tais princípios existem no direito interno dos Estados (CANÇADO TRINDADE, 20</w:t>
      </w:r>
      <w:r>
        <w:rPr>
          <w:rFonts w:ascii="Times New Roman" w:eastAsia="Times New Roman" w:hAnsi="Times New Roman" w:cs="Times New Roman"/>
          <w:sz w:val="24"/>
          <w:szCs w:val="24"/>
        </w:rPr>
        <w:t>17), o ECIJ busca a ponderação, para o repúdio da tese de que somente regras criadas por meio de um processo formal são válidas, e, sustenta o ponto de vista de que os sistemas jurisdicionais internos e o direito internacional contém um certo número de pri</w:t>
      </w:r>
      <w:r>
        <w:rPr>
          <w:rFonts w:ascii="Times New Roman" w:eastAsia="Times New Roman" w:hAnsi="Times New Roman" w:cs="Times New Roman"/>
          <w:sz w:val="24"/>
          <w:szCs w:val="24"/>
        </w:rPr>
        <w:t>ncípios não formulados.</w:t>
      </w:r>
    </w:p>
    <w:p w14:paraId="084836B9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seara, os denominados Princípios de Yogyakarta, foram criados, em 2007, por um grupo de distintos especialistas em Legislação Internacional dos Direitos Humanos, chamando-os de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Princípios de Yogyakarta sobre a Aplicação da 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gislação Internacional de Direitos Humanos em Relação à Orientação Sexual e Identidade de Gênero</w:t>
      </w:r>
      <w:r>
        <w:rPr>
          <w:rFonts w:ascii="Times New Roman" w:eastAsia="Times New Roman" w:hAnsi="Times New Roman" w:cs="Times New Roman"/>
          <w:sz w:val="24"/>
          <w:szCs w:val="24"/>
        </w:rPr>
        <w:t>” (O’FLAHERTY; FISCHER, 2008). Na sua essência, tratam de um amplo espectro de normas de direitos humanos e de sua aplicação a questões de orientação sexual 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gênero, afirmando a obrigação primária dos Estados de implementarem os direitos humanos. </w:t>
      </w:r>
    </w:p>
    <w:p w14:paraId="55681A58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Refletem, assim, a aplicação da legislação de direitos humanos internacionais à vida e à experiência das pessoas de orientações sexuais e identidade de gênero diver</w:t>
      </w:r>
      <w:r>
        <w:rPr>
          <w:rFonts w:ascii="Times New Roman" w:eastAsia="Times New Roman" w:hAnsi="Times New Roman" w:cs="Times New Roman"/>
          <w:sz w:val="24"/>
          <w:szCs w:val="24"/>
        </w:rPr>
        <w:t>sa e nenhum deles devem ser interpretados como restringindo os direitos e liberdades dessas pessoas. Ressalta-se que, embora não seja oficialmente adotado como um padrão internacional, tantos os órgãos da ONU, como várias cortes nacionais e muitos governos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já citam esses princípios e os converteram em um guia para definir suas políticas nesta temática.</w:t>
      </w:r>
    </w:p>
    <w:p w14:paraId="15C77238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ponto, ainda que corrente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juspositivista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desacredite no papel exercício pelos princípios gerais do direito, sem eles, não há efetivamente um sistema juríd</w:t>
      </w:r>
      <w:r>
        <w:rPr>
          <w:rFonts w:ascii="Times New Roman" w:eastAsia="Times New Roman" w:hAnsi="Times New Roman" w:cs="Times New Roman"/>
          <w:sz w:val="24"/>
          <w:szCs w:val="24"/>
        </w:rPr>
        <w:t>ico nacional ou internacional. Isso porque, os princípios, essencialmente, os Princípios de Yogyakarta, expressão à ideia de uma justiça objetiva, através de uma consciência jurídica universal, própria do jusnaturalismo, e abrem caminho a um direito intern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acional universal, que, segundo o autor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Cançado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Trindade (2017), seria o “novo”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jus gentium</w:t>
      </w:r>
      <w:r>
        <w:rPr>
          <w:rFonts w:ascii="Times New Roman" w:eastAsia="Times New Roman" w:hAnsi="Times New Roman" w:cs="Times New Roman"/>
          <w:sz w:val="24"/>
          <w:szCs w:val="24"/>
        </w:rPr>
        <w:t>, que significa o direito internacional para a humanidade.</w:t>
      </w:r>
    </w:p>
    <w:p w14:paraId="1F75966D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Lembra-se que, ainda, no Brasil, a Constituição Federal de 1988 estabelece a promoção do bem estar social,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declarando, como um de seus fundamentos a proteção à dignidade da pessoa humana, tratando da igualdade de todos perante a lei, sem distinção de qualquer natureza (HOGEMANN, 2014). Isso significa dizer que, a Carta Magna veda a discriminação por motivo de </w:t>
      </w:r>
      <w:r>
        <w:rPr>
          <w:rFonts w:ascii="Times New Roman" w:eastAsia="Times New Roman" w:hAnsi="Times New Roman" w:cs="Times New Roman"/>
          <w:sz w:val="24"/>
          <w:szCs w:val="24"/>
        </w:rPr>
        <w:t>sexo ou identidade de gênero, amparando, assim, não somente os heterossexuais como também os homossexuais, os transexuais e os travestis em relação à sua sexualidade, ambos possuindo o direito fundamental à liberdade, o qual fundamenta o direito ao livre d</w:t>
      </w:r>
      <w:r>
        <w:rPr>
          <w:rFonts w:ascii="Times New Roman" w:eastAsia="Times New Roman" w:hAnsi="Times New Roman" w:cs="Times New Roman"/>
          <w:sz w:val="24"/>
          <w:szCs w:val="24"/>
        </w:rPr>
        <w:t>esenvolvimento da personalidade e da privacidade de cada pessoa.</w:t>
      </w:r>
    </w:p>
    <w:p w14:paraId="7D18A365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título exemplificativo, o Supremo Tribunal Federal (STF), publicou neste ano (2020), a coletânea sobre “Diversidade: Jurisprudência do STF e Bibliografia Temática”, na qual utilizou-se dos </w:t>
      </w:r>
      <w:r>
        <w:rPr>
          <w:rFonts w:ascii="Times New Roman" w:eastAsia="Times New Roman" w:hAnsi="Times New Roman" w:cs="Times New Roman"/>
          <w:sz w:val="24"/>
          <w:szCs w:val="24"/>
        </w:rPr>
        <w:t>Princípios de Yogyakarta, para conceituar termos e direitos inerentes à orientação e condição sexual. Com destaque, no julgamento da Ação Direta de Inconstitucionalidade (ADI) nº 5.543, o voto do Ministro Edson Fachin, reiterou a utilização dos princípios,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fim de assegurar a doação de sangue independente de orientação sexual ou condição de gênero.</w:t>
      </w:r>
    </w:p>
    <w:p w14:paraId="354144B1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Fortalecendo, assim, que os princípios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encontram-se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inelutavelmente ligados aos próprios fundamentos do direito internacional, especialmente, na proteção dos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reitos humanos. Isso porque, os princípios são manifestação da consciência jurídica universal, como fonte material última do direito internacional. Sendo necessária, a conscientização jurídica no plano doméstico, para a sua utilização, como demonstrado na </w:t>
      </w:r>
      <w:r>
        <w:rPr>
          <w:rFonts w:ascii="Times New Roman" w:eastAsia="Times New Roman" w:hAnsi="Times New Roman" w:cs="Times New Roman"/>
          <w:sz w:val="24"/>
          <w:szCs w:val="24"/>
        </w:rPr>
        <w:t>ADI nº 5.543.</w:t>
      </w:r>
    </w:p>
    <w:p w14:paraId="23F4FC77" w14:textId="77777777" w:rsidR="00D26D46" w:rsidRDefault="00351C5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Outrossim, dada a evolução do direito internacional, as concepções básicas de humanidade passam a ter um grande papel a ser exercido, sendo os princípios gerais do direito, influenciadores não só na interpretação e aplicação das normas, mas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ambém na sua formação. Portanto, deve-se alcançar a legitimidade das normas internacionais através da expressão 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opinio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juris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comunnis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é de encontro com a realização do bem comum da comunidade internacional. </w:t>
      </w:r>
    </w:p>
    <w:p w14:paraId="0886239F" w14:textId="77777777" w:rsidR="00D26D46" w:rsidRDefault="00D26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13BB1" w14:textId="77777777" w:rsidR="00D26D46" w:rsidRDefault="00351C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ew5dhgvsomh1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14:paraId="392BC03B" w14:textId="77777777" w:rsidR="00D26D46" w:rsidRDefault="00351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ALAMINO, F.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P.; DEL VECCHIO, V. A. Os Princípios de Yogyakarta e a proteção de direitos fundamentais das minorias de orientação sexual e de identidade de gênero.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da Faculdade de Direito</w:t>
      </w:r>
      <w:r>
        <w:rPr>
          <w:rFonts w:ascii="Times New Roman" w:eastAsia="Times New Roman" w:hAnsi="Times New Roman" w:cs="Times New Roman"/>
          <w:sz w:val="24"/>
          <w:szCs w:val="24"/>
        </w:rPr>
        <w:t>, Universidade de São Paulo. 2018. Disponível em: http://www.revistas.us</w:t>
      </w:r>
      <w:r>
        <w:rPr>
          <w:rFonts w:ascii="Times New Roman" w:eastAsia="Times New Roman" w:hAnsi="Times New Roman" w:cs="Times New Roman"/>
          <w:sz w:val="24"/>
          <w:szCs w:val="24"/>
        </w:rPr>
        <w:t>p.br/rfdusp/article/view/156674. Acesso em: 13 nov. 2020.</w:t>
      </w:r>
    </w:p>
    <w:p w14:paraId="5E7A637C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AGNU, Assembleia Geral das Nações Unidas.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Convenção de Viena sobre Direito dos Tratados.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https://siabi.trt4.jus.br/biblioteca/direito/legislacao/convencoes/convencao_viena_direito_trat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ados.pdf. Acesso em: 13 nov. 2020.</w:t>
      </w:r>
    </w:p>
    <w:p w14:paraId="184773E6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60EF5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CANÇADO TRINDADE, Antônio Augusto. Princípios do Direito Internacional Contemporâneo. 2ª Ed.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http://funag.gov.br/biblioteca/downlo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ad/principios-do-direito-internacional-2017.pdf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13 nov. 2020.</w:t>
      </w:r>
    </w:p>
    <w:p w14:paraId="1CE87CA9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326F4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DEL’OLMO, Florisbal de Souza. Curso de Direito Internacional Público. Rio de Janeiro:</w:t>
      </w:r>
    </w:p>
    <w:p w14:paraId="79FA2405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ESMPU</w:t>
      </w:r>
      <w:r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0C44DBAA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BC85F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HOGEMANN, Edna Raquel. Direitos Humanos e diversidade sexual: o reconhecimento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identidade de gênero através do nome social.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SJRJ, </w:t>
      </w:r>
      <w:r>
        <w:rPr>
          <w:rFonts w:ascii="Times New Roman" w:eastAsia="Times New Roman" w:hAnsi="Times New Roman" w:cs="Times New Roman"/>
          <w:sz w:val="24"/>
          <w:szCs w:val="24"/>
        </w:rPr>
        <w:t>Rio de Janeiro, v. 21, n 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39,  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217-231, 2014. Disponível em: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http://www.jfrj.jus.br/revista-sjrj/artigo/direitos-humanos-e-diversidade-sexual-o-reconhecimento-da-identidade-de-genero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13 nov. 2020.</w:t>
      </w:r>
    </w:p>
    <w:p w14:paraId="0132C686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6A646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LAGHMANI,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Histoire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 gentium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impérial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 publicum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europaeum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Paris: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14:paraId="7855899E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D74F7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MENEZES, Wagner. Ordem global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Transnormatividade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Ijuí: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Editora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Unijuí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14:paraId="41CCDBA8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39126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>O’FLAHERTY,  Michael</w:t>
      </w:r>
      <w:proofErr w:type="gramEnd"/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FISCHER,  John.  </w:t>
      </w:r>
      <w:proofErr w:type="gramStart"/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>Sexual  orientatio</w:t>
      </w:r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gender  identity  and  International  Human Rights Law: contextualising the Yogyakarta Principles.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Law Review,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Oxford</w:t>
      </w:r>
      <w:r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14:paraId="68B445D4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7CCED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STF, Supremo Tribunal Federal.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Ação Direta de Inconstitucionalidade nº 5.543.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Voto do Rel. Min. Edson Fachin, J.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</w:p>
    <w:p w14:paraId="65AD840D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FCC66" w14:textId="77777777" w:rsidR="00D26D46" w:rsidRPr="00AB0361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STF, Supremo Tribunal Federal.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Diversidade: Jurisprudência do STF e Bibliografia Temática. 2020.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http://www.stf.jus.br/arquivo/cm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s/publicacaoPublicacaoTematica/anexo/diversidade.pdf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>Acesso em: 13 nov. 2020.</w:t>
      </w:r>
    </w:p>
    <w:p w14:paraId="0F41518E" w14:textId="77777777" w:rsidR="00D26D46" w:rsidRPr="00AB0361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E268A9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YOGYAKARTA, Principles. </w:t>
      </w:r>
      <w:r w:rsidRPr="00AB03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Yogyakarta Principles: a universal guide to human rights which affirm binding international legal standards with which all States must comply.</w:t>
      </w:r>
      <w:r w:rsidRPr="00AB03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2007.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http://yogyakartaprinciples.org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13 nov. 2020.</w:t>
      </w:r>
    </w:p>
    <w:p w14:paraId="23D5FE74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F608F" w14:textId="77777777" w:rsidR="00D26D46" w:rsidRDefault="00D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8458A" w14:textId="77777777" w:rsidR="00D26D46" w:rsidRDefault="0035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106EB7" w14:textId="77777777" w:rsidR="00D26D46" w:rsidRDefault="00D26D46">
      <w:pPr>
        <w:widowControl w:val="0"/>
        <w:spacing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6D4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24D9" w14:textId="77777777" w:rsidR="00351C5C" w:rsidRDefault="00351C5C">
      <w:pPr>
        <w:spacing w:after="0" w:line="240" w:lineRule="auto"/>
      </w:pPr>
      <w:r>
        <w:separator/>
      </w:r>
    </w:p>
  </w:endnote>
  <w:endnote w:type="continuationSeparator" w:id="0">
    <w:p w14:paraId="4105C829" w14:textId="77777777" w:rsidR="00351C5C" w:rsidRDefault="0035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AF27C" w14:textId="77777777" w:rsidR="00D26D46" w:rsidRDefault="00D26D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837C" w14:textId="77777777" w:rsidR="00351C5C" w:rsidRDefault="00351C5C">
      <w:pPr>
        <w:spacing w:after="0" w:line="240" w:lineRule="auto"/>
      </w:pPr>
      <w:r>
        <w:separator/>
      </w:r>
    </w:p>
  </w:footnote>
  <w:footnote w:type="continuationSeparator" w:id="0">
    <w:p w14:paraId="3E8D191D" w14:textId="77777777" w:rsidR="00351C5C" w:rsidRDefault="0035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12C60" w14:textId="77777777" w:rsidR="00D26D46" w:rsidRDefault="00351C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‘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0554C73" wp14:editId="2362B537">
          <wp:simplePos x="0" y="0"/>
          <wp:positionH relativeFrom="column">
            <wp:posOffset>-914396</wp:posOffset>
          </wp:positionH>
          <wp:positionV relativeFrom="paragraph">
            <wp:posOffset>-451482</wp:posOffset>
          </wp:positionV>
          <wp:extent cx="7568957" cy="1271216"/>
          <wp:effectExtent l="0" t="0" r="0" b="0"/>
          <wp:wrapSquare wrapText="bothSides" distT="0" distB="0" distL="0" distR="0"/>
          <wp:docPr id="4" name="image1.jp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Texto&#10;&#10;Descrição gerada automaticamente"/>
                  <pic:cNvPicPr preferRelativeResize="0"/>
                </pic:nvPicPr>
                <pic:blipFill>
                  <a:blip r:embed="rId1"/>
                  <a:srcRect b="88134"/>
                  <a:stretch>
                    <a:fillRect/>
                  </a:stretch>
                </pic:blipFill>
                <pic:spPr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F01D4B" w14:textId="77777777" w:rsidR="00D26D46" w:rsidRDefault="00D26D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9A0857D" w14:textId="77777777" w:rsidR="00D26D46" w:rsidRDefault="00D26D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E2DCB92" w14:textId="77777777" w:rsidR="00D26D46" w:rsidRDefault="00D26D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DE7A4F6" w14:textId="77777777" w:rsidR="00D26D46" w:rsidRDefault="00D26D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46"/>
    <w:rsid w:val="00351C5C"/>
    <w:rsid w:val="00AB0361"/>
    <w:rsid w:val="00D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DF32"/>
  <w15:docId w15:val="{299F623F-BFBB-422E-9FCD-19CA42A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9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9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928"/>
    <w:rPr>
      <w:vertAlign w:val="superscript"/>
    </w:rPr>
  </w:style>
  <w:style w:type="paragraph" w:customStyle="1" w:styleId="CorpodoTexto">
    <w:name w:val="Corpo do Texto"/>
    <w:basedOn w:val="Normal"/>
    <w:qFormat/>
    <w:rsid w:val="00632928"/>
    <w:pPr>
      <w:spacing w:after="0" w:line="360" w:lineRule="auto"/>
      <w:ind w:firstLine="709"/>
      <w:jc w:val="both"/>
    </w:pPr>
    <w:rPr>
      <w:rFonts w:ascii="Arial" w:eastAsia="Arial Unicode MS" w:hAnsi="Arial" w:cs="Times New Roman"/>
      <w:sz w:val="24"/>
    </w:rPr>
  </w:style>
  <w:style w:type="paragraph" w:customStyle="1" w:styleId="NotadeRodap">
    <w:name w:val="Nota de Rodapé"/>
    <w:basedOn w:val="Textodenotaderodap"/>
    <w:autoRedefine/>
    <w:qFormat/>
    <w:rsid w:val="00632928"/>
    <w:pPr>
      <w:spacing w:after="120"/>
      <w:ind w:left="284" w:hanging="284"/>
    </w:pPr>
    <w:rPr>
      <w:rFonts w:ascii="Arial" w:eastAsia="Arial Unicode MS" w:hAnsi="Arial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ag.gov.br/biblioteca/download/principios-do-direito-internacional-2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abi.trt4.jus.br/biblioteca/direito/legislacao/convencoes/convencao_viena_direito_tr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yogyakartaprinciple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f.jus.br/arquivo/cms/publicacaoPublicacaoTematica/anexo/diversid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rj.jus.br/revista-sjrj/artigo/direitos-humanos-e-diversidade-sexual-o-reconhecimento-da-identidade-de-gene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H5OnzXmx2Qra0dmGp1xm7SfVOg==">AMUW2mU9UOkgGPYUCDJRgx8o1ZE/8qHE15ofW5z0IIOcRRx0up2fqr6fi05c7KV8JgvRY+hAP2L7m4EGCwfPpYNm8ciQrujagWS+RSdk0dcN4dXK058iIlATx8lft5K4TB8VS8hhCgVn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Andrade de Azambuja</dc:creator>
  <cp:lastModifiedBy>angélica santos</cp:lastModifiedBy>
  <cp:revision>2</cp:revision>
  <dcterms:created xsi:type="dcterms:W3CDTF">2020-11-17T18:36:00Z</dcterms:created>
  <dcterms:modified xsi:type="dcterms:W3CDTF">2020-11-17T18:36:00Z</dcterms:modified>
</cp:coreProperties>
</file>