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EDUCAÇÃO ESCOLAR QUILOMBOLA: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ENTRE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A VIVÊNCIA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ESCOLA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E AS POLÍTICAS PÚBLICAS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Isabela Maria Andrade Guimarães Prates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PPGH - Unimontes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E-mail: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belruash@gmail.com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t-BR"/>
        </w:rPr>
        <w:t>Políticas Públicas e Gestão da Educação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Palavras-chave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Quilombolas, Educação Escolar, Políticas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Públicas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 Simples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O presente trabalho apresenta dados da pesquisa desenvolvida no Programa de Pós-Graduação em História, em nível de Mestrado, da Universidade Estadual de Montes Claros – Unimontes, o qual objetiva analisar as peculiaridades da educação escolar quilombola, com ênfase nas escolas fora dos territórios tradicionais, as ditas escolas regulares, não institucionalizadas como escolas quilombolas,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mas que recebem estudantes advindos dos quilombos.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Em específico será analisada a Escola Estadual Cristino Alves de Jesus, situada no município mineiro de São João da Lagoa.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Em observância à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Resolução CNE/CEB nº 08 de novembro de 2012, que define as Diretrizes Curriculares Nacionais para a Educação Escolar Quilombola,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analisar-se-á a dinâmica social escolar e as interpretações acerca das fragilidades do sistema educacional, que aludem às reproduções sociais, que não privilegiam grupos minoritários.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Os autores selecionados para essa pesquisa serão o sociólogo francês Pierre Bourdieu, por seus estudos sobre a reprodução das estruturas sociais nas instituições escolares francesas, bem como os conceitos de campo e capital simbólico. Para abordar o Movimento Negro Educador e o processo de construção das normatizações sobre a educação escolar quilombola utilizar-se-á as produções da pedagoga Nilma Lino Gomes. Para fortalecer a discussão sobre currículo escolar, serão abordadas as obras de Miguel Arroyo. A História Oral será utilizada como instrumento metodológico, concomitante com a análise das bibliografias pertinentes. As percepções dos sujeitos envolvidos no processo educacional serão mapeadas com a finalidade de compreender a maneira como as reproduções sociais tomam forma e de que modo o aparato legal tenta promover a reptura com tais categorizações.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Referências</w:t>
      </w:r>
    </w:p>
    <w:p>
      <w:pPr>
        <w:pStyle w:val="Rodap"/>
        <w:rPr/>
      </w:pPr>
      <w:r>
        <w:rPr/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ARROYO, Miguel G. </w:t>
      </w:r>
      <w:r>
        <w:rPr>
          <w:rFonts w:ascii="Times New Roman" w:hAnsi="Times New Roman"/>
          <w:b/>
          <w:bCs/>
          <w:sz w:val="24"/>
          <w:szCs w:val="24"/>
        </w:rPr>
        <w:t>Currículo, território em disputa.</w:t>
      </w:r>
      <w:r>
        <w:rPr>
          <w:rFonts w:ascii="Times New Roman" w:hAnsi="Times New Roman"/>
          <w:sz w:val="24"/>
          <w:szCs w:val="24"/>
        </w:rPr>
        <w:t xml:space="preserve"> 5. ed. Petrópolis, RJ: Vozes, 2013.</w:t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ARROYO, Miguel G. </w:t>
      </w:r>
      <w:r>
        <w:rPr>
          <w:rFonts w:ascii="Times New Roman" w:hAnsi="Times New Roman"/>
          <w:b/>
          <w:bCs/>
          <w:sz w:val="24"/>
          <w:szCs w:val="24"/>
        </w:rPr>
        <w:t>Outros sujeitos, outras pedagogias.</w:t>
      </w:r>
      <w:r>
        <w:rPr>
          <w:rFonts w:ascii="Times New Roman" w:hAnsi="Times New Roman"/>
          <w:sz w:val="24"/>
          <w:szCs w:val="24"/>
        </w:rPr>
        <w:t xml:space="preserve"> 2. ed. Petrópolis, </w:t>
      </w:r>
      <w:r>
        <w:rPr>
          <w:rFonts w:ascii="Times New Roman" w:hAnsi="Times New Roman"/>
          <w:sz w:val="24"/>
          <w:szCs w:val="24"/>
        </w:rPr>
        <w:t>2014.</w:t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BOURDIEU, Pierre; </w:t>
      </w:r>
      <w:r>
        <w:rPr>
          <w:rFonts w:ascii="Times New Roman" w:hAnsi="Times New Roman"/>
          <w:sz w:val="24"/>
          <w:szCs w:val="24"/>
        </w:rPr>
        <w:t xml:space="preserve">PASSERON, Jean Claude. </w:t>
      </w:r>
      <w:r>
        <w:rPr>
          <w:rFonts w:ascii="Times New Roman" w:hAnsi="Times New Roman"/>
          <w:b/>
          <w:bCs/>
          <w:sz w:val="24"/>
          <w:szCs w:val="24"/>
        </w:rPr>
        <w:t>A reprodução:</w:t>
      </w:r>
      <w:r>
        <w:rPr>
          <w:rFonts w:ascii="Times New Roman" w:hAnsi="Times New Roman"/>
          <w:sz w:val="24"/>
          <w:szCs w:val="24"/>
        </w:rPr>
        <w:t xml:space="preserve"> elementos para uma teoria do sistema de ensino. 3. ed. Rio de Janeiro: Francisco Alves, 1992.</w:t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BRASIL, Ministério da Educação. R</w:t>
      </w:r>
      <w:r>
        <w:rPr>
          <w:rFonts w:ascii="Times New Roman" w:hAnsi="Times New Roman"/>
          <w:b/>
          <w:bCs/>
          <w:sz w:val="24"/>
          <w:szCs w:val="24"/>
        </w:rPr>
        <w:t xml:space="preserve">esolução nº 8, de 20 de novembro de 2012. </w:t>
      </w:r>
      <w:r>
        <w:rPr>
          <w:rFonts w:ascii="Times New Roman" w:hAnsi="Times New Roman"/>
          <w:sz w:val="24"/>
          <w:szCs w:val="24"/>
        </w:rPr>
        <w:t>Define Diretrizes Curriculares Nacionais para a Educação Escolar Quilombola na Educação Básica. Brasília: MEC/CNE: 2012.</w:t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Roda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GOMES, Nilma Lino. </w:t>
      </w:r>
      <w:r>
        <w:rPr>
          <w:rFonts w:ascii="Times New Roman" w:hAnsi="Times New Roman"/>
          <w:b/>
          <w:bCs/>
          <w:sz w:val="24"/>
          <w:szCs w:val="24"/>
        </w:rPr>
        <w:t>Movimento negro e educação:</w:t>
      </w:r>
      <w:r>
        <w:rPr>
          <w:rFonts w:ascii="Times New Roman" w:hAnsi="Times New Roman"/>
          <w:sz w:val="24"/>
          <w:szCs w:val="24"/>
        </w:rPr>
        <w:t xml:space="preserve"> ressignificando e politizando a raça. Curitiba, v. 33, n. 120, p. 727-744, jul/set. 2012.</w:t>
      </w:r>
    </w:p>
    <w:p>
      <w:pPr>
        <w:pStyle w:val="Rodap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GOMES, Nilma Lino. </w:t>
      </w:r>
      <w:r>
        <w:rPr>
          <w:rFonts w:ascii="Times New Roman" w:hAnsi="Times New Roman"/>
          <w:b/>
          <w:bCs/>
          <w:sz w:val="24"/>
          <w:szCs w:val="24"/>
        </w:rPr>
        <w:t xml:space="preserve">O movimento negro </w:t>
      </w:r>
      <w:r>
        <w:rPr>
          <w:rFonts w:ascii="Times New Roman" w:hAnsi="Times New Roman"/>
          <w:b/>
          <w:bCs/>
          <w:sz w:val="24"/>
          <w:szCs w:val="24"/>
        </w:rPr>
        <w:t>educador:</w:t>
      </w:r>
      <w:r>
        <w:rPr>
          <w:rFonts w:ascii="Times New Roman" w:hAnsi="Times New Roman"/>
          <w:sz w:val="24"/>
          <w:szCs w:val="24"/>
        </w:rPr>
        <w:t xml:space="preserve"> saberes construídos nas lutas por emancipação. Petrópolis, RJ: Vozes, 2017.</w:t>
      </w:r>
    </w:p>
    <w:p>
      <w:pPr>
        <w:pStyle w:val="Rodap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Givânia Maria da. (Org.) </w:t>
      </w:r>
      <w:r>
        <w:rPr>
          <w:rFonts w:ascii="Times New Roman" w:hAnsi="Times New Roman"/>
          <w:b/>
          <w:bCs/>
          <w:sz w:val="24"/>
          <w:szCs w:val="24"/>
        </w:rPr>
        <w:t>Educação quilombola:</w:t>
      </w:r>
      <w:r>
        <w:rPr>
          <w:rFonts w:ascii="Times New Roman" w:hAnsi="Times New Roman"/>
          <w:sz w:val="24"/>
          <w:szCs w:val="24"/>
        </w:rPr>
        <w:t xml:space="preserve"> territorialidade, saberes e as lutas por direitos. São Paulo: Jandaíra, 2021.</w:t>
      </w:r>
    </w:p>
    <w:p>
      <w:pPr>
        <w:pStyle w:val="Rodap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Rodap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134" w:gutter="0" w:header="708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760085" cy="17411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2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link w:val="Annotationtex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link w:val="Annotationsubject"/>
    <w:qFormat/>
    <w:rPr>
      <w:b/>
      <w:bCs/>
      <w:sz w:val="20"/>
      <w:szCs w:val="20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LibreOffice/7.3.5.2$Windows_X86_64 LibreOffice_project/184fe81b8c8c30d8b5082578aee2fed2ea847c01</Application>
  <AppVersion>15.0000</AppVersion>
  <Pages>2</Pages>
  <Words>419</Words>
  <Characters>2547</Characters>
  <CharactersWithSpaces>2951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  <dc:description/>
  <dc:language>pt-BR</dc:language>
  <cp:lastModifiedBy/>
  <dcterms:modified xsi:type="dcterms:W3CDTF">2024-05-14T13:15:13Z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