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4370D" w14:textId="77777777" w:rsidR="00EE1111" w:rsidRDefault="00EE1111" w:rsidP="00EE1111">
      <w:pPr>
        <w:jc w:val="center"/>
        <w:rPr>
          <w:b/>
          <w:bCs/>
          <w:lang w:val="pt-BR"/>
        </w:rPr>
      </w:pPr>
    </w:p>
    <w:p w14:paraId="49743DD6" w14:textId="7A8FED6C" w:rsidR="001C188E" w:rsidRPr="00F14253" w:rsidRDefault="00FD0C7B" w:rsidP="00EE1111">
      <w:pPr>
        <w:jc w:val="center"/>
        <w:rPr>
          <w:b/>
          <w:bCs/>
          <w:lang w:val="pt-BR"/>
        </w:rPr>
      </w:pPr>
      <w:r w:rsidRPr="00F14253">
        <w:rPr>
          <w:b/>
          <w:bCs/>
          <w:lang w:val="pt-BR"/>
        </w:rPr>
        <w:t>CÁCERES SOB HOLOFOTES: LIDERANDO AS EMISSÕES DE GEE NO CORAÇÃO DO BRASIL</w:t>
      </w:r>
    </w:p>
    <w:p w14:paraId="0617E35B" w14:textId="235F76CF" w:rsidR="00FD0C7B" w:rsidRPr="00FD0C7B" w:rsidRDefault="00FD0C7B" w:rsidP="00EE1111">
      <w:pPr>
        <w:jc w:val="center"/>
        <w:rPr>
          <w:lang w:val="pt-BR"/>
        </w:rPr>
      </w:pPr>
      <w:r w:rsidRPr="00FD0C7B">
        <w:rPr>
          <w:lang w:val="pt-BR"/>
        </w:rPr>
        <w:t>Dinâmicas socioeconômicas regionais</w:t>
      </w:r>
    </w:p>
    <w:p w14:paraId="70165F25" w14:textId="730D0223" w:rsidR="00FD0C7B" w:rsidRPr="00FD0C7B" w:rsidRDefault="007B0A50">
      <w:pPr>
        <w:rPr>
          <w:lang w:val="pt-BR"/>
        </w:rPr>
      </w:pPr>
      <w:r>
        <w:rPr>
          <w:lang w:val="pt-BR"/>
        </w:rPr>
        <w:t>RESUMO</w:t>
      </w:r>
    </w:p>
    <w:p w14:paraId="249DD592" w14:textId="26AABF8E" w:rsidR="001C188E" w:rsidRPr="00FD0C7B" w:rsidRDefault="001C188E" w:rsidP="00FD0C7B">
      <w:pPr>
        <w:jc w:val="both"/>
        <w:rPr>
          <w:lang w:val="pt-BR"/>
        </w:rPr>
      </w:pPr>
      <w:r w:rsidRPr="00FD0C7B">
        <w:rPr>
          <w:lang w:val="pt-BR"/>
        </w:rPr>
        <w:t>Este estudo analisa a contribuição de Cáceres, uma cidade localizada nas regiões do Pantanal e Cerrado no Brasil, para as emissões de gases de efeito estufa (GEE). Apesar de sua conhecida beleza natural e biodiversidade, Cáceres destaca-se também pelas significativas emissões de GEE, comparável a grandes centros urbanos. Através de uma combinação de análise de dados do Sistema de Estimativas de Emissões e Remoções de Gases de Efeito Estufa (SEEG) e inventários de emissões locais, identificamos as principais fontes de emissões e discutimos as implicações para a política ambiental e práticas de gestão sustentável. Cáceres é o maior emissor de gases de efeito estufa proveniente da pecuária, chegando a 2.</w:t>
      </w:r>
      <w:r w:rsidR="00DC6FD6">
        <w:rPr>
          <w:lang w:val="pt-BR"/>
        </w:rPr>
        <w:t>63 Mt</w:t>
      </w:r>
      <w:r w:rsidR="00A32418" w:rsidRPr="00FD0C7B">
        <w:rPr>
          <w:lang w:val="pt-BR"/>
        </w:rPr>
        <w:t>CO</w:t>
      </w:r>
      <w:r w:rsidR="00A32418" w:rsidRPr="007B0A50">
        <w:rPr>
          <w:vertAlign w:val="subscript"/>
          <w:lang w:val="pt-BR"/>
        </w:rPr>
        <w:t>2</w:t>
      </w:r>
      <w:r w:rsidR="00A32418" w:rsidRPr="00FD0C7B">
        <w:rPr>
          <w:lang w:val="pt-BR"/>
        </w:rPr>
        <w:t xml:space="preserve"> equivalentes somente no ano de 2022</w:t>
      </w:r>
      <w:r w:rsidR="00FD0C7B">
        <w:rPr>
          <w:lang w:val="pt-BR"/>
        </w:rPr>
        <w:t>. Estes dados são de extrema importância para o planejamento territorial e para os planos de ação, principalmente o climático, a ser desenvolvido na região.</w:t>
      </w:r>
    </w:p>
    <w:p w14:paraId="775E257F" w14:textId="6E4BF6C7" w:rsidR="00A32418" w:rsidRDefault="00A32418">
      <w:pPr>
        <w:rPr>
          <w:lang w:val="pt-BR"/>
        </w:rPr>
      </w:pPr>
      <w:r w:rsidRPr="00A32418">
        <w:rPr>
          <w:b/>
          <w:bCs/>
          <w:lang w:val="pt-BR"/>
        </w:rPr>
        <w:t>Palavras-chave:</w:t>
      </w:r>
      <w:r w:rsidRPr="00A32418">
        <w:rPr>
          <w:lang w:val="pt-BR"/>
        </w:rPr>
        <w:t xml:space="preserve"> Pantanal, Cerrado, Mudanças Climáticas</w:t>
      </w:r>
      <w:r w:rsidR="00FD0C7B">
        <w:rPr>
          <w:lang w:val="pt-BR"/>
        </w:rPr>
        <w:t xml:space="preserve">, </w:t>
      </w:r>
      <w:proofErr w:type="gramStart"/>
      <w:r w:rsidR="00FD0C7B">
        <w:rPr>
          <w:lang w:val="pt-BR"/>
        </w:rPr>
        <w:t>Pecuária</w:t>
      </w:r>
      <w:proofErr w:type="gramEnd"/>
    </w:p>
    <w:p w14:paraId="72454F96" w14:textId="77777777" w:rsidR="00A32418" w:rsidRDefault="00A32418">
      <w:pPr>
        <w:rPr>
          <w:lang w:val="pt-BR"/>
        </w:rPr>
      </w:pPr>
    </w:p>
    <w:p w14:paraId="0E3B6A8E" w14:textId="4C8CB396" w:rsidR="00A32418" w:rsidRDefault="00617425">
      <w:pPr>
        <w:rPr>
          <w:lang w:val="pt-BR"/>
        </w:rPr>
      </w:pPr>
      <w:r>
        <w:rPr>
          <w:lang w:val="pt-BR"/>
        </w:rPr>
        <w:t>ASPECTOS</w:t>
      </w:r>
      <w:r w:rsidR="00A32418">
        <w:rPr>
          <w:lang w:val="pt-BR"/>
        </w:rPr>
        <w:t xml:space="preserve"> METODOLÓGICOS</w:t>
      </w:r>
    </w:p>
    <w:p w14:paraId="0C524F89" w14:textId="77777777" w:rsidR="00DC6FD6" w:rsidRDefault="00A32418" w:rsidP="00FD1DE9">
      <w:pPr>
        <w:jc w:val="both"/>
        <w:rPr>
          <w:lang w:val="pt-BR"/>
        </w:rPr>
      </w:pPr>
      <w:r w:rsidRPr="00A32418">
        <w:rPr>
          <w:lang w:val="pt-BR"/>
        </w:rPr>
        <w:t>A crescente preocupação global com as mudanças climáticas tem intensificado o foco nas emissões de gases de efeito estufa (GEE), cruciais para o entendimento e mitigação deste fenômeno. Cáceres, situada na convergência do Pantanal e Cerrado, é emblemática tanto por sua rica biodiversidade quanto por suas surpreendentemente altas emissões de GEE.</w:t>
      </w:r>
    </w:p>
    <w:p w14:paraId="7B8052FF" w14:textId="3768CF4E" w:rsidR="00DC6FD6" w:rsidRPr="00DC6FD6" w:rsidRDefault="00DC6FD6" w:rsidP="00FD1DE9">
      <w:pPr>
        <w:jc w:val="both"/>
        <w:rPr>
          <w:lang w:val="pt-BR"/>
        </w:rPr>
      </w:pPr>
      <w:r w:rsidRPr="00DC6FD6">
        <w:rPr>
          <w:lang w:val="pt-BR"/>
        </w:rPr>
        <w:t xml:space="preserve">A magnitude das emissões de GEE em regiões como Cáceres não apenas ressalta o papel significativo das atividades humanas locais, como a agricultura e a pecuária, na alteração da composição atmosférica, mas também coloca em questão a capacidade de áreas de grande biodiversidade agirem como sumidouros de carbono. À medida que estas regiões enfrentam pressões crescentes, torna-se imperativo compreender não apenas a extensão das emissões, mas também as interações complexas entre uso do solo, práticas agrícolas </w:t>
      </w:r>
      <w:r w:rsidRPr="00DC6FD6">
        <w:rPr>
          <w:lang w:val="pt-BR"/>
        </w:rPr>
        <w:lastRenderedPageBreak/>
        <w:t xml:space="preserve">e impactos climáticos. Segundo Smith </w:t>
      </w:r>
      <w:r w:rsidR="007B0A50">
        <w:rPr>
          <w:lang w:val="pt-BR"/>
        </w:rPr>
        <w:t>e colaboradores</w:t>
      </w:r>
      <w:r w:rsidRPr="00DC6FD6">
        <w:rPr>
          <w:lang w:val="pt-BR"/>
        </w:rPr>
        <w:t xml:space="preserve"> (2019), a gestão sustentável do uso do solo é crucial para mitigar as emissões de GEE, destacando a necessidade urgente de integrar práticas agrícolas sustentáveis e conservação ambiental.</w:t>
      </w:r>
    </w:p>
    <w:p w14:paraId="3407AC2E" w14:textId="04FCF47B" w:rsidR="00A32418" w:rsidRDefault="00A32418" w:rsidP="00FD1DE9">
      <w:pPr>
        <w:jc w:val="both"/>
        <w:rPr>
          <w:lang w:val="pt-BR"/>
        </w:rPr>
      </w:pPr>
      <w:r w:rsidRPr="00A32418">
        <w:rPr>
          <w:lang w:val="pt-BR"/>
        </w:rPr>
        <w:t>Este estudo visa elucidar a escala e as fontes dessas emissões, contribuindo para o desenvolvimento de estratégias locais e nacionais de mitigação.</w:t>
      </w:r>
      <w:r>
        <w:rPr>
          <w:lang w:val="pt-BR"/>
        </w:rPr>
        <w:t xml:space="preserve"> </w:t>
      </w:r>
      <w:r w:rsidRPr="00A32418">
        <w:rPr>
          <w:lang w:val="pt-BR"/>
        </w:rPr>
        <w:t>Os dados foram coletados de inventários de emissões</w:t>
      </w:r>
      <w:r>
        <w:rPr>
          <w:lang w:val="pt-BR"/>
        </w:rPr>
        <w:t xml:space="preserve"> através do Sistema de</w:t>
      </w:r>
      <w:r w:rsidRPr="00A32418">
        <w:rPr>
          <w:lang w:val="pt-BR"/>
        </w:rPr>
        <w:t xml:space="preserve"> </w:t>
      </w:r>
      <w:r w:rsidRPr="001C188E">
        <w:rPr>
          <w:lang w:val="pt-BR"/>
        </w:rPr>
        <w:t>Estimativas de Emissões e Remoções de Gases de Efeito Estufa (SEEG</w:t>
      </w:r>
      <w:r>
        <w:rPr>
          <w:lang w:val="pt-BR"/>
        </w:rPr>
        <w:t>) e</w:t>
      </w:r>
      <w:r w:rsidRPr="001C188E">
        <w:rPr>
          <w:lang w:val="pt-BR"/>
        </w:rPr>
        <w:t xml:space="preserve"> inventários de emissões locais</w:t>
      </w:r>
      <w:r>
        <w:rPr>
          <w:lang w:val="pt-BR"/>
        </w:rPr>
        <w:t xml:space="preserve"> entre os anos de 1990 e 2022</w:t>
      </w:r>
      <w:r w:rsidRPr="00A32418">
        <w:rPr>
          <w:lang w:val="pt-BR"/>
        </w:rPr>
        <w:t>. Utilizamos análise estatística para quantificar as emissões p</w:t>
      </w:r>
      <w:r>
        <w:rPr>
          <w:lang w:val="pt-BR"/>
        </w:rPr>
        <w:t>ara o</w:t>
      </w:r>
      <w:r w:rsidRPr="00A32418">
        <w:rPr>
          <w:lang w:val="pt-BR"/>
        </w:rPr>
        <w:t xml:space="preserve"> setor </w:t>
      </w:r>
      <w:r>
        <w:rPr>
          <w:lang w:val="pt-BR"/>
        </w:rPr>
        <w:t>da pecuária.</w:t>
      </w:r>
    </w:p>
    <w:p w14:paraId="61B7F92A" w14:textId="77777777" w:rsidR="00617425" w:rsidRDefault="00617425" w:rsidP="00617425">
      <w:pPr>
        <w:rPr>
          <w:lang w:val="pt-BR"/>
        </w:rPr>
      </w:pPr>
    </w:p>
    <w:p w14:paraId="2622AC26" w14:textId="6B66CC49" w:rsidR="00617425" w:rsidRDefault="00617425" w:rsidP="00617425">
      <w:pPr>
        <w:rPr>
          <w:lang w:val="pt-BR"/>
        </w:rPr>
      </w:pPr>
      <w:r>
        <w:rPr>
          <w:lang w:val="pt-BR"/>
        </w:rPr>
        <w:t>RESULTADOS E DISCUSSÕES</w:t>
      </w:r>
    </w:p>
    <w:p w14:paraId="6E288F16" w14:textId="178E61F8" w:rsidR="00EE1111" w:rsidRDefault="009F1487" w:rsidP="00EE1111">
      <w:pPr>
        <w:jc w:val="both"/>
        <w:rPr>
          <w:lang w:val="pt-BR"/>
        </w:rPr>
      </w:pPr>
      <w:r>
        <w:rPr>
          <w:lang w:val="pt-BR"/>
        </w:rPr>
        <w:t>Cáceres emite cerca de 12milhões de toneladas de CO</w:t>
      </w:r>
      <w:r w:rsidRPr="00AD1711">
        <w:rPr>
          <w:vertAlign w:val="subscript"/>
          <w:lang w:val="pt-BR"/>
        </w:rPr>
        <w:t>2</w:t>
      </w:r>
      <w:r>
        <w:rPr>
          <w:lang w:val="pt-BR"/>
        </w:rPr>
        <w:t xml:space="preserve"> equivalentes na atmosfera por ano (Figura 01), ocupando a </w:t>
      </w:r>
      <w:r w:rsidRPr="009F1487">
        <w:rPr>
          <w:lang w:val="pt-BR"/>
        </w:rPr>
        <w:t>15</w:t>
      </w:r>
      <w:r>
        <w:rPr>
          <w:lang w:val="pt-BR"/>
        </w:rPr>
        <w:t xml:space="preserve">ª </w:t>
      </w:r>
      <w:r w:rsidRPr="009F1487">
        <w:rPr>
          <w:lang w:val="pt-BR"/>
        </w:rPr>
        <w:t>posição no ranking de emissões por município</w:t>
      </w:r>
      <w:r>
        <w:rPr>
          <w:lang w:val="pt-BR"/>
        </w:rPr>
        <w:t xml:space="preserve">. Em 2022 </w:t>
      </w:r>
      <w:r w:rsidR="00FD1DE9" w:rsidRPr="00FD1DE9">
        <w:rPr>
          <w:lang w:val="pt-BR"/>
        </w:rPr>
        <w:t xml:space="preserve">Cáceres mostrou-se um dos maiores emissores de GEE no contexto das cidades brasileiras estudadas, com a pecuária sendo </w:t>
      </w:r>
      <w:r w:rsidR="00FD1DE9">
        <w:rPr>
          <w:lang w:val="pt-BR"/>
        </w:rPr>
        <w:t>uma d</w:t>
      </w:r>
      <w:r w:rsidR="00FD1DE9" w:rsidRPr="00FD1DE9">
        <w:rPr>
          <w:lang w:val="pt-BR"/>
        </w:rPr>
        <w:t>as principais fontes</w:t>
      </w:r>
      <w:r w:rsidR="00FD1DE9">
        <w:rPr>
          <w:lang w:val="pt-BR"/>
        </w:rPr>
        <w:t>, chegando a mais de 2</w:t>
      </w:r>
      <w:r w:rsidR="00DC6FD6">
        <w:rPr>
          <w:lang w:val="pt-BR"/>
        </w:rPr>
        <w:t>,63</w:t>
      </w:r>
      <w:r w:rsidR="00FD1DE9">
        <w:rPr>
          <w:lang w:val="pt-BR"/>
        </w:rPr>
        <w:t xml:space="preserve"> milhões de toneladas de CO</w:t>
      </w:r>
      <w:r w:rsidR="00FD1DE9" w:rsidRPr="00FD1DE9">
        <w:rPr>
          <w:vertAlign w:val="subscript"/>
          <w:lang w:val="pt-BR"/>
        </w:rPr>
        <w:t>2</w:t>
      </w:r>
      <w:r w:rsidR="00FD1DE9">
        <w:rPr>
          <w:lang w:val="pt-BR"/>
        </w:rPr>
        <w:t xml:space="preserve"> equivalente ao ano</w:t>
      </w:r>
      <w:r w:rsidR="00FD1DE9" w:rsidRPr="00FD1DE9">
        <w:rPr>
          <w:lang w:val="pt-BR"/>
        </w:rPr>
        <w:t xml:space="preserve">. </w:t>
      </w:r>
      <w:r w:rsidR="00EE1111">
        <w:rPr>
          <w:lang w:val="pt-BR"/>
        </w:rPr>
        <w:t>As emissões causadas pelo setor pecuário de Cáceres estão em crescimento (R² = 0.66; p &lt; 0,05; Figura 02), saindo de cerca de 1.5 MtCO</w:t>
      </w:r>
      <w:r w:rsidR="00EE1111" w:rsidRPr="00EE1111">
        <w:rPr>
          <w:vertAlign w:val="subscript"/>
          <w:lang w:val="pt-BR"/>
        </w:rPr>
        <w:t>2</w:t>
      </w:r>
      <w:r w:rsidR="00EE1111">
        <w:rPr>
          <w:lang w:val="pt-BR"/>
        </w:rPr>
        <w:t>eq em 2002 para 2.6 MtCO</w:t>
      </w:r>
      <w:r w:rsidR="00EE1111" w:rsidRPr="00EE1111">
        <w:rPr>
          <w:vertAlign w:val="subscript"/>
          <w:lang w:val="pt-BR"/>
        </w:rPr>
        <w:t>2</w:t>
      </w:r>
      <w:r w:rsidR="00EE1111">
        <w:rPr>
          <w:lang w:val="pt-BR"/>
        </w:rPr>
        <w:t xml:space="preserve">eq em 2022. </w:t>
      </w:r>
      <w:r w:rsidR="00FD1DE9">
        <w:rPr>
          <w:lang w:val="pt-BR"/>
        </w:rPr>
        <w:t>Para se comparar, o IPCC indica que cada pessoa possa ter uma emissão de Carbono equivalente anual de 2,2 toneladas. Neste caso, ao se realizar a razão da quantidade de CO</w:t>
      </w:r>
      <w:r w:rsidR="00FD1DE9" w:rsidRPr="00FD1DE9">
        <w:rPr>
          <w:vertAlign w:val="subscript"/>
          <w:lang w:val="pt-BR"/>
        </w:rPr>
        <w:t>2</w:t>
      </w:r>
      <w:r w:rsidR="00FD1DE9">
        <w:rPr>
          <w:lang w:val="pt-BR"/>
        </w:rPr>
        <w:t xml:space="preserve"> equivalente produzido somente pela pecuária de Cáceres em relação ao número de habitantes </w:t>
      </w:r>
      <w:r w:rsidR="00FD1DE9" w:rsidRPr="00FD1DE9">
        <w:rPr>
          <w:lang w:val="pt-BR"/>
        </w:rPr>
        <w:t>(89.681</w:t>
      </w:r>
      <w:r w:rsidR="00FD1DE9">
        <w:rPr>
          <w:lang w:val="pt-BR"/>
        </w:rPr>
        <w:t xml:space="preserve"> habitantes</w:t>
      </w:r>
      <w:r w:rsidR="00FD1DE9" w:rsidRPr="00FD1DE9">
        <w:rPr>
          <w:lang w:val="pt-BR"/>
        </w:rPr>
        <w:t>)</w:t>
      </w:r>
      <w:r w:rsidR="00FD1DE9">
        <w:rPr>
          <w:lang w:val="pt-BR"/>
        </w:rPr>
        <w:t xml:space="preserve">, observa-se um valor de </w:t>
      </w:r>
      <w:r>
        <w:rPr>
          <w:lang w:val="pt-BR"/>
        </w:rPr>
        <w:t>13</w:t>
      </w:r>
      <w:r w:rsidR="00FD1DE9">
        <w:rPr>
          <w:lang w:val="pt-BR"/>
        </w:rPr>
        <w:t xml:space="preserve"> vezes mais alto do que aquele preconizado para reduzir as emissões.</w:t>
      </w:r>
    </w:p>
    <w:p w14:paraId="4C798EA4" w14:textId="25064378" w:rsidR="00FD1DE9" w:rsidRDefault="00FD1DE9" w:rsidP="00FD1DE9">
      <w:pPr>
        <w:jc w:val="both"/>
        <w:rPr>
          <w:lang w:val="pt-BR"/>
        </w:rPr>
      </w:pPr>
    </w:p>
    <w:p w14:paraId="03617F6E" w14:textId="18AF61C0" w:rsidR="007259DB" w:rsidRDefault="007259DB" w:rsidP="00FD1DE9">
      <w:pPr>
        <w:jc w:val="both"/>
        <w:rPr>
          <w:lang w:val="pt-BR"/>
        </w:rPr>
      </w:pPr>
      <w:r>
        <w:rPr>
          <w:lang w:val="pt-BR"/>
        </w:rPr>
        <w:t>Figura 01. Emissões totais anuais no município de Cáceres entre os anos de 1990 e 2022.</w:t>
      </w:r>
    </w:p>
    <w:p w14:paraId="7D7F061F" w14:textId="77777777" w:rsidR="00EE1111" w:rsidRDefault="00EE1111">
      <w:pPr>
        <w:rPr>
          <w:lang w:val="pt-BR"/>
        </w:rPr>
      </w:pPr>
    </w:p>
    <w:p w14:paraId="56580EC5" w14:textId="77777777" w:rsidR="00EE1111" w:rsidRDefault="00EE1111">
      <w:pPr>
        <w:rPr>
          <w:lang w:val="pt-BR"/>
        </w:rPr>
      </w:pPr>
    </w:p>
    <w:p w14:paraId="266F5387" w14:textId="0D1AC083" w:rsidR="00FD1DE9" w:rsidRDefault="009F1487" w:rsidP="007B0A50">
      <w:pPr>
        <w:jc w:val="center"/>
        <w:rPr>
          <w:lang w:val="pt-BR"/>
        </w:rPr>
      </w:pPr>
      <w:r>
        <w:rPr>
          <w:noProof/>
        </w:rPr>
        <w:lastRenderedPageBreak/>
        <w:drawing>
          <wp:inline distT="0" distB="0" distL="0" distR="0" wp14:anchorId="252478A1" wp14:editId="34951B02">
            <wp:extent cx="4238046" cy="2218414"/>
            <wp:effectExtent l="0" t="0" r="0" b="0"/>
            <wp:docPr id="354362203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E75D1C1-08A0-C730-5894-363EB89E24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66EA2A3" w14:textId="6B7E19DA" w:rsidR="007259DB" w:rsidRDefault="007259DB" w:rsidP="007259DB">
      <w:pPr>
        <w:jc w:val="both"/>
        <w:rPr>
          <w:lang w:val="pt-BR"/>
        </w:rPr>
      </w:pPr>
      <w:r>
        <w:rPr>
          <w:lang w:val="pt-BR"/>
        </w:rPr>
        <w:t>Figura 02. Emissões totais anuais no município de Cáceres entre os anos de 1990 e 2022 para o setor da pecuária.</w:t>
      </w:r>
    </w:p>
    <w:p w14:paraId="071D0F69" w14:textId="5F514430" w:rsidR="009F1487" w:rsidRDefault="007259DB" w:rsidP="007B0A50">
      <w:pPr>
        <w:jc w:val="center"/>
        <w:rPr>
          <w:lang w:val="pt-BR"/>
        </w:rPr>
      </w:pPr>
      <w:r>
        <w:rPr>
          <w:noProof/>
        </w:rPr>
        <w:drawing>
          <wp:inline distT="0" distB="0" distL="0" distR="0" wp14:anchorId="4BB1D574" wp14:editId="7C375C24">
            <wp:extent cx="4277802" cy="2234317"/>
            <wp:effectExtent l="0" t="0" r="8890" b="0"/>
            <wp:docPr id="137174285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EEDF37A-40C9-3DC0-C1BA-787045C334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6CADAF" w14:textId="213FF2E6" w:rsidR="009F1487" w:rsidRPr="00FD1DE9" w:rsidRDefault="007259DB" w:rsidP="007259DB">
      <w:pPr>
        <w:jc w:val="both"/>
        <w:rPr>
          <w:lang w:val="pt-BR"/>
        </w:rPr>
      </w:pPr>
      <w:r w:rsidRPr="007259DB">
        <w:rPr>
          <w:lang w:val="pt-BR"/>
        </w:rPr>
        <w:t xml:space="preserve">Este cenário aponta para a urgente necessidade de revisão das práticas de produção agropecuária, buscando alternativas sustentáveis que minimizem o impacto ambiental. A integração de tecnologias mais limpas e eficientes no manejo da pecuária, assim como a adoção de sistemas de agricultura de baixo carbono, apresentam-se como estratégias viáveis para essa transição. De acordo com </w:t>
      </w:r>
      <w:r w:rsidR="007B0A50">
        <w:rPr>
          <w:lang w:val="pt-BR"/>
        </w:rPr>
        <w:t>a EMBRAPA</w:t>
      </w:r>
      <w:r w:rsidRPr="007259DB">
        <w:rPr>
          <w:lang w:val="pt-BR"/>
        </w:rPr>
        <w:t xml:space="preserve"> (</w:t>
      </w:r>
      <w:r w:rsidR="007B0A50">
        <w:rPr>
          <w:lang w:val="pt-BR"/>
        </w:rPr>
        <w:t xml:space="preserve">BRASIL, </w:t>
      </w:r>
      <w:r w:rsidRPr="007259DB">
        <w:rPr>
          <w:lang w:val="pt-BR"/>
        </w:rPr>
        <w:t xml:space="preserve">2021), a implementação de práticas agrícolas sustentáveis pode significativamente reduzir as emissões de GEE, ao </w:t>
      </w:r>
      <w:r w:rsidRPr="007259DB">
        <w:rPr>
          <w:lang w:val="pt-BR"/>
        </w:rPr>
        <w:lastRenderedPageBreak/>
        <w:t>mesmo tempo em que mantém ou até aumenta a produtividade agrícola. Este equilíbrio entre produção e proteção ambiental é crucial para o desenvolvimento sustentável das regiões produtoras, como Cáceres.</w:t>
      </w:r>
    </w:p>
    <w:p w14:paraId="6FE264ED" w14:textId="77777777" w:rsidR="001C188E" w:rsidRDefault="001C188E">
      <w:pPr>
        <w:rPr>
          <w:lang w:val="pt-BR"/>
        </w:rPr>
      </w:pPr>
    </w:p>
    <w:p w14:paraId="44080035" w14:textId="292C6525" w:rsidR="001C188E" w:rsidRDefault="00617425">
      <w:pPr>
        <w:rPr>
          <w:lang w:val="pt-BR"/>
        </w:rPr>
      </w:pPr>
      <w:r w:rsidRPr="00617425">
        <w:rPr>
          <w:lang w:val="pt-BR"/>
        </w:rPr>
        <w:t>RELAÇÃO COM A SESSÃO TEMÁTICA</w:t>
      </w:r>
    </w:p>
    <w:p w14:paraId="1D1FACAC" w14:textId="28D7C29E" w:rsidR="00617425" w:rsidRDefault="00617425" w:rsidP="007259DB">
      <w:pPr>
        <w:jc w:val="both"/>
        <w:rPr>
          <w:lang w:val="pt-BR"/>
        </w:rPr>
      </w:pPr>
      <w:r>
        <w:rPr>
          <w:lang w:val="pt-BR"/>
        </w:rPr>
        <w:t>O atual contexto de produção exacerbada no Brasil não leva em consideração as grandes emissões de gases de efeito estufa. Cáceres é uma cidade pantaneira com características de pecuária extensiva, mas com tamanha produção, também vem atrelada as emissões de gases de efeito estufa.</w:t>
      </w:r>
      <w:r w:rsidR="007259DB">
        <w:rPr>
          <w:lang w:val="pt-BR"/>
        </w:rPr>
        <w:t xml:space="preserve"> </w:t>
      </w:r>
      <w:r w:rsidR="007259DB" w:rsidRPr="007259DB">
        <w:rPr>
          <w:lang w:val="pt-BR"/>
        </w:rPr>
        <w:t>Neste contexto, Cáceres emerge como um estudo de caso vital para investigar o equilíbrio entre desenvolvimento econômico e conservação ambiental. O desafio enfrentado por Cáceres reflete um dilema global: como alavancar o desenvolvimento econômico sem exacerbar a crise climática. Esta questão é particularmente pertinente para o Brasil, um país que se esforça para equilibrar suas ambições agrícolas com compromissos climáticos internacionais</w:t>
      </w:r>
      <w:r w:rsidR="007259DB">
        <w:rPr>
          <w:lang w:val="pt-BR"/>
        </w:rPr>
        <w:t xml:space="preserve"> (</w:t>
      </w:r>
      <w:r w:rsidR="007B0A50">
        <w:rPr>
          <w:lang w:val="pt-BR"/>
        </w:rPr>
        <w:t>DALAZEN et al.,</w:t>
      </w:r>
      <w:r w:rsidR="00F14253">
        <w:rPr>
          <w:lang w:val="pt-BR"/>
        </w:rPr>
        <w:t xml:space="preserve"> 2020</w:t>
      </w:r>
      <w:r w:rsidR="007259DB">
        <w:rPr>
          <w:lang w:val="pt-BR"/>
        </w:rPr>
        <w:t>)</w:t>
      </w:r>
      <w:r w:rsidR="007259DB" w:rsidRPr="007259DB">
        <w:rPr>
          <w:lang w:val="pt-BR"/>
        </w:rPr>
        <w:t xml:space="preserve">. A análise detalhada das emissões de GEE em Cáceres não apenas contribui para um entendimento mais profundo das fontes e magnitude dessas emissões, mas também oferece </w:t>
      </w:r>
      <w:r w:rsidR="007259DB">
        <w:rPr>
          <w:lang w:val="pt-BR"/>
        </w:rPr>
        <w:t>perspectivas importantes para serem levadas em consideração nas</w:t>
      </w:r>
      <w:r w:rsidR="007259DB" w:rsidRPr="007259DB">
        <w:rPr>
          <w:lang w:val="pt-BR"/>
        </w:rPr>
        <w:t xml:space="preserve"> políticas de mitigação eficazes que podem ser aplicadas em outras regiões com desafios semelhantes.</w:t>
      </w:r>
    </w:p>
    <w:p w14:paraId="1F0C2B83" w14:textId="77777777" w:rsidR="007259DB" w:rsidRDefault="007259DB" w:rsidP="007259DB">
      <w:pPr>
        <w:jc w:val="both"/>
        <w:rPr>
          <w:lang w:val="pt-BR"/>
        </w:rPr>
      </w:pPr>
    </w:p>
    <w:p w14:paraId="6004EF3B" w14:textId="66F34E35" w:rsidR="007259DB" w:rsidRDefault="007259DB" w:rsidP="007259DB">
      <w:pPr>
        <w:jc w:val="both"/>
        <w:rPr>
          <w:lang w:val="pt-BR"/>
        </w:rPr>
      </w:pPr>
      <w:r>
        <w:rPr>
          <w:lang w:val="pt-BR"/>
        </w:rPr>
        <w:t>Referências Bibliográficas</w:t>
      </w:r>
    </w:p>
    <w:p w14:paraId="49DB90F0" w14:textId="23A03B1E" w:rsidR="00F27DE4" w:rsidRDefault="00F27DE4" w:rsidP="007259DB">
      <w:pPr>
        <w:jc w:val="both"/>
        <w:rPr>
          <w:lang w:val="pt-BR"/>
        </w:rPr>
      </w:pPr>
      <w:r>
        <w:rPr>
          <w:lang w:val="pt-BR"/>
        </w:rPr>
        <w:t xml:space="preserve">BRASIL. </w:t>
      </w:r>
      <w:r w:rsidRPr="00F27DE4">
        <w:rPr>
          <w:lang w:val="pt-BR"/>
        </w:rPr>
        <w:t xml:space="preserve">Agricultura de baixo carbono: tecnologias e estratégias de implantação / Myriam Maia Nobre, </w:t>
      </w:r>
      <w:proofErr w:type="spellStart"/>
      <w:r w:rsidRPr="00F27DE4">
        <w:rPr>
          <w:lang w:val="pt-BR"/>
        </w:rPr>
        <w:t>Ivênio</w:t>
      </w:r>
      <w:proofErr w:type="spellEnd"/>
      <w:r w:rsidRPr="00F27DE4">
        <w:rPr>
          <w:lang w:val="pt-BR"/>
        </w:rPr>
        <w:t xml:space="preserve"> Rubens de Oliveira, editores técnicos. – Brasília, DF: </w:t>
      </w:r>
      <w:r w:rsidRPr="00F27DE4">
        <w:rPr>
          <w:b/>
          <w:bCs/>
          <w:lang w:val="pt-BR"/>
        </w:rPr>
        <w:t>Embrapa</w:t>
      </w:r>
      <w:r w:rsidRPr="00F27DE4">
        <w:rPr>
          <w:lang w:val="pt-BR"/>
        </w:rPr>
        <w:t>, 2018. 194 p.</w:t>
      </w:r>
    </w:p>
    <w:p w14:paraId="2CE21783" w14:textId="68240B8A" w:rsidR="00F27DE4" w:rsidRPr="00F27DE4" w:rsidRDefault="00F27DE4" w:rsidP="007259DB">
      <w:pPr>
        <w:jc w:val="both"/>
        <w:rPr>
          <w:lang w:val="pt-BR"/>
        </w:rPr>
      </w:pPr>
      <w:r w:rsidRPr="00F27DE4">
        <w:rPr>
          <w:lang w:val="pt-BR"/>
        </w:rPr>
        <w:t>DALAZEN, L. L., SILVA, R. DE F., KACZAM, F., DA SILVA, L. S. C. V., DOS SANTOS, R. V., SILVA, B. N., JUNIOR, J. P. M.</w:t>
      </w:r>
      <w:r w:rsidRPr="00F27DE4">
        <w:rPr>
          <w:lang w:val="pt-BR"/>
        </w:rPr>
        <w:t xml:space="preserve"> As práticas sustentáveis para a mitigação dos gases de efeito estufa: uma revisão sistemática de literatura / Sustainable practices for </w:t>
      </w:r>
      <w:proofErr w:type="spellStart"/>
      <w:r w:rsidRPr="00F27DE4">
        <w:rPr>
          <w:lang w:val="pt-BR"/>
        </w:rPr>
        <w:t>greenhouse</w:t>
      </w:r>
      <w:proofErr w:type="spellEnd"/>
      <w:r w:rsidRPr="00F27DE4">
        <w:rPr>
          <w:lang w:val="pt-BR"/>
        </w:rPr>
        <w:t xml:space="preserve"> gas </w:t>
      </w:r>
      <w:proofErr w:type="spellStart"/>
      <w:r w:rsidRPr="00F27DE4">
        <w:rPr>
          <w:lang w:val="pt-BR"/>
        </w:rPr>
        <w:t>mitigation</w:t>
      </w:r>
      <w:proofErr w:type="spellEnd"/>
      <w:r w:rsidRPr="00F27DE4">
        <w:rPr>
          <w:lang w:val="pt-BR"/>
        </w:rPr>
        <w:t xml:space="preserve">: a </w:t>
      </w:r>
      <w:proofErr w:type="spellStart"/>
      <w:r w:rsidRPr="00F27DE4">
        <w:rPr>
          <w:lang w:val="pt-BR"/>
        </w:rPr>
        <w:t>systematic</w:t>
      </w:r>
      <w:proofErr w:type="spellEnd"/>
      <w:r w:rsidRPr="00F27DE4">
        <w:rPr>
          <w:lang w:val="pt-BR"/>
        </w:rPr>
        <w:t xml:space="preserve"> </w:t>
      </w:r>
      <w:proofErr w:type="spellStart"/>
      <w:r w:rsidRPr="00F27DE4">
        <w:rPr>
          <w:lang w:val="pt-BR"/>
        </w:rPr>
        <w:t>literature</w:t>
      </w:r>
      <w:proofErr w:type="spellEnd"/>
      <w:r w:rsidRPr="00F27DE4">
        <w:rPr>
          <w:lang w:val="pt-BR"/>
        </w:rPr>
        <w:t xml:space="preserve"> review. Brazilian Journal </w:t>
      </w:r>
      <w:proofErr w:type="spellStart"/>
      <w:r w:rsidRPr="00F27DE4">
        <w:rPr>
          <w:lang w:val="pt-BR"/>
        </w:rPr>
        <w:t>of</w:t>
      </w:r>
      <w:proofErr w:type="spellEnd"/>
      <w:r w:rsidRPr="00F27DE4">
        <w:rPr>
          <w:lang w:val="pt-BR"/>
        </w:rPr>
        <w:t xml:space="preserve"> Development, 8(5), </w:t>
      </w:r>
      <w:r w:rsidRPr="00F27DE4">
        <w:rPr>
          <w:lang w:val="pt-BR"/>
        </w:rPr>
        <w:t xml:space="preserve">2022. </w:t>
      </w:r>
    </w:p>
    <w:p w14:paraId="516404D8" w14:textId="0D61208F" w:rsidR="007259DB" w:rsidRPr="00EE1111" w:rsidRDefault="00F27DE4" w:rsidP="007259DB">
      <w:pPr>
        <w:jc w:val="both"/>
      </w:pPr>
      <w:r w:rsidRPr="00F27DE4">
        <w:t xml:space="preserve">SMITH, P., DAVIS, S. J., CREUTZIG, F., FUSS, S., MINX, J., GABRIELLE, B., ... </w:t>
      </w:r>
      <w:r w:rsidRPr="007259DB">
        <w:t>&amp; MILNE, J.</w:t>
      </w:r>
      <w:r>
        <w:t xml:space="preserve"> B</w:t>
      </w:r>
      <w:r w:rsidR="007259DB" w:rsidRPr="007259DB">
        <w:t xml:space="preserve">iophysical and economic limits to negative CO2 emissions. </w:t>
      </w:r>
      <w:r w:rsidR="007259DB" w:rsidRPr="007259DB">
        <w:rPr>
          <w:i/>
          <w:iCs/>
        </w:rPr>
        <w:t>Nature Climate Change</w:t>
      </w:r>
      <w:r w:rsidR="007259DB" w:rsidRPr="007259DB">
        <w:t>, 6(1), 42-50.</w:t>
      </w:r>
      <w:r>
        <w:t xml:space="preserve"> 2019.</w:t>
      </w:r>
    </w:p>
    <w:sectPr w:rsidR="007259DB" w:rsidRPr="00EE1111" w:rsidSect="00C47F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E68F" w14:textId="77777777" w:rsidR="00C47FDF" w:rsidRDefault="00C47FDF" w:rsidP="00EE1111">
      <w:pPr>
        <w:spacing w:after="0" w:line="240" w:lineRule="auto"/>
      </w:pPr>
      <w:r>
        <w:separator/>
      </w:r>
    </w:p>
  </w:endnote>
  <w:endnote w:type="continuationSeparator" w:id="0">
    <w:p w14:paraId="5EF4ACEE" w14:textId="77777777" w:rsidR="00C47FDF" w:rsidRDefault="00C47FDF" w:rsidP="00EE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64C0A" w14:textId="77777777" w:rsidR="00C47FDF" w:rsidRDefault="00C47FDF" w:rsidP="00EE1111">
      <w:pPr>
        <w:spacing w:after="0" w:line="240" w:lineRule="auto"/>
      </w:pPr>
      <w:r>
        <w:separator/>
      </w:r>
    </w:p>
  </w:footnote>
  <w:footnote w:type="continuationSeparator" w:id="0">
    <w:p w14:paraId="7E4665A0" w14:textId="77777777" w:rsidR="00C47FDF" w:rsidRDefault="00C47FDF" w:rsidP="00EE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BD68" w14:textId="25FB623F" w:rsidR="00EE1111" w:rsidRDefault="00EE1111">
    <w:pPr>
      <w:pStyle w:val="Cabealho"/>
    </w:pPr>
    <w:r>
      <w:rPr>
        <w:noProof/>
      </w:rPr>
      <w:drawing>
        <wp:inline distT="0" distB="0" distL="0" distR="0" wp14:anchorId="37F4CF39" wp14:editId="040979BD">
          <wp:extent cx="5400040" cy="2927124"/>
          <wp:effectExtent l="0" t="0" r="0" b="6985"/>
          <wp:docPr id="417924434" name="Imagem 1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924434" name="Imagem 1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927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8E"/>
    <w:rsid w:val="00135EA0"/>
    <w:rsid w:val="001B4DD8"/>
    <w:rsid w:val="001C188E"/>
    <w:rsid w:val="00494C98"/>
    <w:rsid w:val="00530295"/>
    <w:rsid w:val="00616DF0"/>
    <w:rsid w:val="00617425"/>
    <w:rsid w:val="006B1159"/>
    <w:rsid w:val="00714119"/>
    <w:rsid w:val="007259DB"/>
    <w:rsid w:val="00734D3B"/>
    <w:rsid w:val="007B0A50"/>
    <w:rsid w:val="008B2FF4"/>
    <w:rsid w:val="008B4D87"/>
    <w:rsid w:val="009C7917"/>
    <w:rsid w:val="009F1487"/>
    <w:rsid w:val="00A32418"/>
    <w:rsid w:val="00AD1711"/>
    <w:rsid w:val="00B73D06"/>
    <w:rsid w:val="00C47FDF"/>
    <w:rsid w:val="00C93651"/>
    <w:rsid w:val="00D61EC3"/>
    <w:rsid w:val="00D90338"/>
    <w:rsid w:val="00DC6FD6"/>
    <w:rsid w:val="00E0750C"/>
    <w:rsid w:val="00E63CC3"/>
    <w:rsid w:val="00EC06C3"/>
    <w:rsid w:val="00EC2A2C"/>
    <w:rsid w:val="00EE1111"/>
    <w:rsid w:val="00F14253"/>
    <w:rsid w:val="00F27DE4"/>
    <w:rsid w:val="00F63333"/>
    <w:rsid w:val="00FD0C7B"/>
    <w:rsid w:val="00FD1DE9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1531A"/>
  <w15:chartTrackingRefBased/>
  <w15:docId w15:val="{555BF8F7-897E-47B7-86AE-AA9B1240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DB"/>
  </w:style>
  <w:style w:type="paragraph" w:styleId="Ttulo1">
    <w:name w:val="heading 1"/>
    <w:basedOn w:val="Normal"/>
    <w:next w:val="Normal"/>
    <w:link w:val="Ttulo1Char"/>
    <w:uiPriority w:val="9"/>
    <w:qFormat/>
    <w:rsid w:val="001C1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1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8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8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8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8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8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8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8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8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8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8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88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E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1111"/>
  </w:style>
  <w:style w:type="paragraph" w:styleId="Rodap">
    <w:name w:val="footer"/>
    <w:basedOn w:val="Normal"/>
    <w:link w:val="RodapChar"/>
    <w:uiPriority w:val="99"/>
    <w:unhideWhenUsed/>
    <w:rsid w:val="00EE11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nan\Desktop\SEEG%20(1)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rnan\Desktop\SEEG%20(1).csv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'SEEG (1)'!$A$18</c:f>
              <c:strCache>
                <c:ptCount val="1"/>
                <c:pt idx="0">
                  <c:v>Cáceres (MT)</c:v>
                </c:pt>
              </c:strCache>
            </c:strRef>
          </c:tx>
          <c:spPr>
            <a:ln w="952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square"/>
            <c:size val="3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3">
                    <a:lumMod val="50000"/>
                  </a:schemeClr>
                </a:solidFill>
              </a:ln>
              <a:effectLst/>
            </c:spPr>
          </c:marker>
          <c:cat>
            <c:numRef>
              <c:f>'SEEG (1)'!$B$1:$AH$1</c:f>
              <c:numCache>
                <c:formatCode>General</c:formatCode>
                <c:ptCount val="33"/>
                <c:pt idx="0">
                  <c:v>1990</c:v>
                </c:pt>
                <c:pt idx="1">
                  <c:v>1991</c:v>
                </c:pt>
                <c:pt idx="2">
                  <c:v>1992</c:v>
                </c:pt>
                <c:pt idx="3">
                  <c:v>1993</c:v>
                </c:pt>
                <c:pt idx="4">
                  <c:v>1994</c:v>
                </c:pt>
                <c:pt idx="5">
                  <c:v>1995</c:v>
                </c:pt>
                <c:pt idx="6">
                  <c:v>1996</c:v>
                </c:pt>
                <c:pt idx="7">
                  <c:v>1997</c:v>
                </c:pt>
                <c:pt idx="8">
                  <c:v>1998</c:v>
                </c:pt>
                <c:pt idx="9">
                  <c:v>1999</c:v>
                </c:pt>
                <c:pt idx="10">
                  <c:v>2000</c:v>
                </c:pt>
                <c:pt idx="11">
                  <c:v>2001</c:v>
                </c:pt>
                <c:pt idx="12">
                  <c:v>2002</c:v>
                </c:pt>
                <c:pt idx="13">
                  <c:v>2003</c:v>
                </c:pt>
                <c:pt idx="14">
                  <c:v>2004</c:v>
                </c:pt>
                <c:pt idx="15">
                  <c:v>2005</c:v>
                </c:pt>
                <c:pt idx="16">
                  <c:v>2006</c:v>
                </c:pt>
                <c:pt idx="17">
                  <c:v>2007</c:v>
                </c:pt>
                <c:pt idx="18">
                  <c:v>2008</c:v>
                </c:pt>
                <c:pt idx="19">
                  <c:v>2009</c:v>
                </c:pt>
                <c:pt idx="20">
                  <c:v>2010</c:v>
                </c:pt>
                <c:pt idx="21">
                  <c:v>2011</c:v>
                </c:pt>
                <c:pt idx="22">
                  <c:v>2012</c:v>
                </c:pt>
                <c:pt idx="23">
                  <c:v>2013</c:v>
                </c:pt>
                <c:pt idx="24">
                  <c:v>2014</c:v>
                </c:pt>
                <c:pt idx="25">
                  <c:v>2015</c:v>
                </c:pt>
                <c:pt idx="26">
                  <c:v>2016</c:v>
                </c:pt>
                <c:pt idx="27">
                  <c:v>2017</c:v>
                </c:pt>
                <c:pt idx="28">
                  <c:v>2018</c:v>
                </c:pt>
                <c:pt idx="29">
                  <c:v>2019</c:v>
                </c:pt>
                <c:pt idx="30">
                  <c:v>2020</c:v>
                </c:pt>
                <c:pt idx="31">
                  <c:v>2021</c:v>
                </c:pt>
                <c:pt idx="32">
                  <c:v>2022</c:v>
                </c:pt>
              </c:numCache>
            </c:numRef>
          </c:cat>
          <c:val>
            <c:numRef>
              <c:f>'SEEG (1)'!$B$18:$AH$18</c:f>
              <c:numCache>
                <c:formatCode>General</c:formatCode>
                <c:ptCount val="33"/>
                <c:pt idx="0">
                  <c:v>8293620.8140711598</c:v>
                </c:pt>
                <c:pt idx="1">
                  <c:v>5889068.0991636096</c:v>
                </c:pt>
                <c:pt idx="2">
                  <c:v>9084196.5592132602</c:v>
                </c:pt>
                <c:pt idx="3">
                  <c:v>5098154.0519302301</c:v>
                </c:pt>
                <c:pt idx="4">
                  <c:v>8492519.6708332505</c:v>
                </c:pt>
                <c:pt idx="5">
                  <c:v>9437092.1049572304</c:v>
                </c:pt>
                <c:pt idx="6">
                  <c:v>7482453.7428879403</c:v>
                </c:pt>
                <c:pt idx="7">
                  <c:v>6682197.5932554305</c:v>
                </c:pt>
                <c:pt idx="8">
                  <c:v>7000384.1818628702</c:v>
                </c:pt>
                <c:pt idx="9">
                  <c:v>9094565.6481541805</c:v>
                </c:pt>
                <c:pt idx="10">
                  <c:v>6747613.9238372101</c:v>
                </c:pt>
                <c:pt idx="11">
                  <c:v>7107819.7051446</c:v>
                </c:pt>
                <c:pt idx="12">
                  <c:v>7074670.2555475496</c:v>
                </c:pt>
                <c:pt idx="13">
                  <c:v>9898455.9534823392</c:v>
                </c:pt>
                <c:pt idx="14">
                  <c:v>7588210.2545276703</c:v>
                </c:pt>
                <c:pt idx="15">
                  <c:v>8559720.4019070808</c:v>
                </c:pt>
                <c:pt idx="16">
                  <c:v>4036138.1897990899</c:v>
                </c:pt>
                <c:pt idx="17">
                  <c:v>3693635.0342670102</c:v>
                </c:pt>
                <c:pt idx="18">
                  <c:v>3308326.2515459498</c:v>
                </c:pt>
                <c:pt idx="19">
                  <c:v>3563366.1344114798</c:v>
                </c:pt>
                <c:pt idx="20">
                  <c:v>3324365.67406942</c:v>
                </c:pt>
                <c:pt idx="21">
                  <c:v>2869810.3436183999</c:v>
                </c:pt>
                <c:pt idx="22">
                  <c:v>2823135.3091821801</c:v>
                </c:pt>
                <c:pt idx="23">
                  <c:v>3094231.6346975798</c:v>
                </c:pt>
                <c:pt idx="24">
                  <c:v>3386622.1394516798</c:v>
                </c:pt>
                <c:pt idx="25">
                  <c:v>3486489.2464531199</c:v>
                </c:pt>
                <c:pt idx="26">
                  <c:v>3709680.4223990701</c:v>
                </c:pt>
                <c:pt idx="27">
                  <c:v>3877847.2231415999</c:v>
                </c:pt>
                <c:pt idx="28">
                  <c:v>3603693.4089206802</c:v>
                </c:pt>
                <c:pt idx="29">
                  <c:v>4085636.1514033098</c:v>
                </c:pt>
                <c:pt idx="30">
                  <c:v>3663711.3500934299</c:v>
                </c:pt>
                <c:pt idx="31">
                  <c:v>5860474.4524655296</c:v>
                </c:pt>
                <c:pt idx="32">
                  <c:v>12211821.169362901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FF8B-43E0-8C86-4AC655A4D7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7980863"/>
        <c:axId val="687981823"/>
      </c:lineChart>
      <c:dateAx>
        <c:axId val="687980863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Série</a:t>
                </a:r>
                <a:r>
                  <a:rPr lang="en-GB" baseline="0"/>
                  <a:t> temporal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7981823"/>
        <c:crosses val="autoZero"/>
        <c:auto val="0"/>
        <c:lblOffset val="100"/>
        <c:baseTimeUnit val="days"/>
        <c:majorUnit val="5"/>
        <c:majorTimeUnit val="days"/>
      </c:dateAx>
      <c:valAx>
        <c:axId val="687981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CO2 equivalentes (ton)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79808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strRef>
              <c:f>Planilha1!$B$1</c:f>
              <c:strCache>
                <c:ptCount val="1"/>
                <c:pt idx="0">
                  <c:v>MtCO2eq</c:v>
                </c:pt>
              </c:strCache>
            </c:strRef>
          </c:tx>
          <c:spPr>
            <a:ln w="9525" cap="rnd">
              <a:solidFill>
                <a:schemeClr val="accent6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accent6">
                  <a:lumMod val="50000"/>
                </a:schemeClr>
              </a:solidFill>
              <a:ln w="9525">
                <a:solidFill>
                  <a:schemeClr val="accent6">
                    <a:lumMod val="50000"/>
                  </a:schemeClr>
                </a:solidFill>
              </a:ln>
              <a:effectLst/>
            </c:spPr>
          </c:marker>
          <c:dPt>
            <c:idx val="20"/>
            <c:marker>
              <c:symbol val="circle"/>
              <c:size val="3"/>
              <c:spPr>
                <a:solidFill>
                  <a:schemeClr val="accent6">
                    <a:lumMod val="50000"/>
                  </a:schemeClr>
                </a:solidFill>
                <a:ln w="9525">
                  <a:solidFill>
                    <a:schemeClr val="accent6">
                      <a:lumMod val="50000"/>
                    </a:schemeClr>
                  </a:solidFill>
                </a:ln>
                <a:effectLst/>
              </c:spPr>
            </c:marker>
            <c:bubble3D val="0"/>
            <c:spPr>
              <a:ln w="9525" cap="rnd">
                <a:solidFill>
                  <a:schemeClr val="accent3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F1FD-4138-9133-0CE251DFC166}"/>
              </c:ext>
            </c:extLst>
          </c:dPt>
          <c:trendline>
            <c:spPr>
              <a:ln w="19050" cap="rnd">
                <a:solidFill>
                  <a:schemeClr val="tx1">
                    <a:lumMod val="50000"/>
                    <a:lumOff val="50000"/>
                  </a:schemeClr>
                </a:solidFill>
                <a:prstDash val="sysDot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-8.8160323709536303E-2"/>
                  <c:y val="-6.0800889472149316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cat>
            <c:numRef>
              <c:f>Planilha1!$A$2:$A$22</c:f>
              <c:numCache>
                <c:formatCode>General</c:formatCode>
                <c:ptCount val="2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</c:numCache>
            </c:numRef>
          </c:cat>
          <c:val>
            <c:numRef>
              <c:f>Planilha1!$B$2:$B$22</c:f>
              <c:numCache>
                <c:formatCode>General</c:formatCode>
                <c:ptCount val="21"/>
                <c:pt idx="0">
                  <c:v>1.6</c:v>
                </c:pt>
                <c:pt idx="1">
                  <c:v>1.9</c:v>
                </c:pt>
                <c:pt idx="2">
                  <c:v>2</c:v>
                </c:pt>
                <c:pt idx="3">
                  <c:v>2.1</c:v>
                </c:pt>
                <c:pt idx="4">
                  <c:v>2</c:v>
                </c:pt>
                <c:pt idx="5">
                  <c:v>1.7</c:v>
                </c:pt>
                <c:pt idx="6">
                  <c:v>1.7</c:v>
                </c:pt>
                <c:pt idx="7">
                  <c:v>1.7</c:v>
                </c:pt>
                <c:pt idx="8">
                  <c:v>1.9</c:v>
                </c:pt>
                <c:pt idx="9">
                  <c:v>1.8</c:v>
                </c:pt>
                <c:pt idx="10">
                  <c:v>1.9</c:v>
                </c:pt>
                <c:pt idx="11">
                  <c:v>2</c:v>
                </c:pt>
                <c:pt idx="12">
                  <c:v>2.1</c:v>
                </c:pt>
                <c:pt idx="13">
                  <c:v>2.2000000000000002</c:v>
                </c:pt>
                <c:pt idx="14">
                  <c:v>2.2999999999999998</c:v>
                </c:pt>
                <c:pt idx="15">
                  <c:v>2.2000000000000002</c:v>
                </c:pt>
                <c:pt idx="16">
                  <c:v>2.2999999999999998</c:v>
                </c:pt>
                <c:pt idx="17">
                  <c:v>2.2999999999999998</c:v>
                </c:pt>
                <c:pt idx="18">
                  <c:v>2.2999999999999998</c:v>
                </c:pt>
                <c:pt idx="19">
                  <c:v>2.4</c:v>
                </c:pt>
                <c:pt idx="20">
                  <c:v>2.6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1FD-4138-9133-0CE251DFC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2138223"/>
        <c:axId val="479531599"/>
      </c:lineChart>
      <c:dateAx>
        <c:axId val="662138223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Anos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9531599"/>
        <c:crosses val="autoZero"/>
        <c:auto val="0"/>
        <c:lblOffset val="100"/>
        <c:baseTimeUnit val="days"/>
        <c:majorUnit val="5"/>
        <c:majorTimeUnit val="days"/>
      </c:dateAx>
      <c:valAx>
        <c:axId val="47953159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8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Mt CO2 eq</a:t>
                </a: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1382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973</Words>
  <Characters>5445</Characters>
  <Application>Microsoft Office Word</Application>
  <DocSecurity>0</DocSecurity>
  <Lines>95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Ernandes Sobreira Oliveira Junior</dc:creator>
  <cp:keywords/>
  <dc:description/>
  <cp:lastModifiedBy>Ernandes Sobreira Oliveira Junior</cp:lastModifiedBy>
  <cp:revision>2</cp:revision>
  <dcterms:created xsi:type="dcterms:W3CDTF">2024-03-31T12:18:00Z</dcterms:created>
  <dcterms:modified xsi:type="dcterms:W3CDTF">2024-03-31T12:18:00Z</dcterms:modified>
</cp:coreProperties>
</file>