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32FD" w14:textId="77777777" w:rsidR="004262DA" w:rsidRPr="00D94EDA" w:rsidRDefault="004262DA" w:rsidP="004262DA">
      <w:pPr>
        <w:spacing w:line="360" w:lineRule="auto"/>
        <w:jc w:val="center"/>
        <w:rPr>
          <w:rFonts w:ascii="Open Sans" w:eastAsia="Arial" w:hAnsi="Open Sans" w:cs="Open Sans"/>
          <w:b/>
          <w:bCs/>
          <w:noProof/>
          <w:sz w:val="40"/>
          <w:szCs w:val="40"/>
        </w:rPr>
      </w:pPr>
      <w:r w:rsidRPr="00DF6CBF">
        <w:rPr>
          <w:rFonts w:ascii="Arial" w:eastAsia="Arial" w:hAnsi="Arial" w:cs="Open Sans"/>
          <w:b/>
          <w:bCs/>
          <w:noProof/>
          <w:sz w:val="24"/>
          <w:szCs w:val="40"/>
        </w:rPr>
        <w:t xml:space="preserve">IDENTIFICAÇÃO DE PRIMERS PARA DETECÇÃO DE DNA DE </w:t>
      </w:r>
      <w:r w:rsidRPr="00DF6CBF">
        <w:rPr>
          <w:rFonts w:ascii="Arial" w:eastAsia="Arial" w:hAnsi="Arial" w:cs="Open Sans"/>
          <w:b/>
          <w:bCs/>
          <w:i/>
          <w:iCs/>
          <w:noProof/>
          <w:sz w:val="24"/>
          <w:szCs w:val="40"/>
        </w:rPr>
        <w:t>Canis Familiaris</w:t>
      </w:r>
      <w:r w:rsidRPr="00DF6CBF">
        <w:rPr>
          <w:rFonts w:ascii="Arial" w:eastAsia="Arial" w:hAnsi="Arial" w:cs="Open Sans"/>
          <w:b/>
          <w:bCs/>
          <w:noProof/>
          <w:sz w:val="24"/>
          <w:szCs w:val="40"/>
        </w:rPr>
        <w:t>;</w:t>
      </w:r>
      <w:r w:rsidRPr="00DF6CBF">
        <w:rPr>
          <w:rFonts w:ascii="Arial" w:eastAsia="Arial" w:hAnsi="Arial" w:cs="Open Sans"/>
          <w:b/>
          <w:bCs/>
          <w:i/>
          <w:iCs/>
          <w:noProof/>
          <w:sz w:val="24"/>
          <w:szCs w:val="40"/>
        </w:rPr>
        <w:t xml:space="preserve"> Felis Catus</w:t>
      </w:r>
      <w:r w:rsidRPr="00DF6CBF">
        <w:rPr>
          <w:rFonts w:ascii="Arial" w:eastAsia="Arial" w:hAnsi="Arial" w:cs="Open Sans"/>
          <w:b/>
          <w:bCs/>
          <w:noProof/>
          <w:sz w:val="24"/>
          <w:szCs w:val="40"/>
        </w:rPr>
        <w:t xml:space="preserve">; </w:t>
      </w:r>
      <w:r w:rsidRPr="00DF6CBF">
        <w:rPr>
          <w:rFonts w:ascii="Arial" w:eastAsia="Arial" w:hAnsi="Arial" w:cs="Open Sans"/>
          <w:b/>
          <w:bCs/>
          <w:i/>
          <w:iCs/>
          <w:noProof/>
          <w:sz w:val="24"/>
          <w:szCs w:val="40"/>
        </w:rPr>
        <w:t>Homo Sapiens</w:t>
      </w:r>
      <w:r w:rsidRPr="00DF6CBF">
        <w:rPr>
          <w:rFonts w:ascii="Arial" w:eastAsia="Arial" w:hAnsi="Arial" w:cs="Open Sans"/>
          <w:b/>
          <w:bCs/>
          <w:noProof/>
          <w:sz w:val="24"/>
          <w:szCs w:val="40"/>
        </w:rPr>
        <w:t xml:space="preserve">; </w:t>
      </w:r>
      <w:r w:rsidRPr="00DF6CBF">
        <w:rPr>
          <w:rFonts w:ascii="Arial" w:eastAsia="Arial" w:hAnsi="Arial" w:cs="Open Sans"/>
          <w:b/>
          <w:bCs/>
          <w:i/>
          <w:iCs/>
          <w:noProof/>
          <w:sz w:val="24"/>
          <w:szCs w:val="40"/>
        </w:rPr>
        <w:t>Rattus Sp</w:t>
      </w:r>
      <w:r w:rsidRPr="00DF6CBF">
        <w:rPr>
          <w:rFonts w:ascii="Arial" w:eastAsia="Arial" w:hAnsi="Arial" w:cs="Open Sans"/>
          <w:b/>
          <w:bCs/>
          <w:noProof/>
          <w:sz w:val="24"/>
          <w:szCs w:val="40"/>
        </w:rPr>
        <w:t xml:space="preserve">. e </w:t>
      </w:r>
      <w:r w:rsidRPr="00DF6CBF">
        <w:rPr>
          <w:rFonts w:ascii="Arial" w:eastAsia="Arial" w:hAnsi="Arial" w:cs="Open Sans"/>
          <w:b/>
          <w:bCs/>
          <w:i/>
          <w:iCs/>
          <w:noProof/>
          <w:sz w:val="24"/>
          <w:szCs w:val="40"/>
        </w:rPr>
        <w:t>Gallus Gallus</w:t>
      </w:r>
      <w:r w:rsidRPr="00DF6CBF">
        <w:rPr>
          <w:rFonts w:ascii="Arial" w:eastAsia="Arial" w:hAnsi="Arial" w:cs="Open Sans"/>
          <w:b/>
          <w:bCs/>
          <w:noProof/>
          <w:sz w:val="24"/>
          <w:szCs w:val="40"/>
        </w:rPr>
        <w:t xml:space="preserve"> EM SANGUE DE REPASTO DE FLEBOTOMÍNEOS: UMA REVISÃO SISTEMATIZADA</w:t>
      </w:r>
    </w:p>
    <w:p w14:paraId="6709DF49" w14:textId="77777777" w:rsidR="004262DA" w:rsidRPr="000A7F34" w:rsidRDefault="004262DA" w:rsidP="004262DA">
      <w:pPr>
        <w:spacing w:after="0" w:line="360" w:lineRule="auto"/>
        <w:jc w:val="center"/>
        <w:rPr>
          <w:rFonts w:ascii="Open Sans" w:eastAsia="Arial" w:hAnsi="Open Sans" w:cs="Open Sans"/>
          <w:sz w:val="28"/>
          <w:szCs w:val="28"/>
        </w:rPr>
      </w:pPr>
      <w:r w:rsidRPr="00DF6CBF">
        <w:rPr>
          <w:rFonts w:ascii="Arial" w:eastAsia="Arial" w:hAnsi="Arial" w:cs="Open Sans"/>
          <w:b/>
          <w:sz w:val="24"/>
          <w:szCs w:val="28"/>
        </w:rPr>
        <w:t>SOUSA</w:t>
      </w:r>
      <w:r w:rsidRPr="00DF6CBF">
        <w:rPr>
          <w:rFonts w:ascii="Arial" w:eastAsia="Arial" w:hAnsi="Arial" w:cs="Open Sans"/>
          <w:sz w:val="24"/>
          <w:szCs w:val="28"/>
        </w:rPr>
        <w:t>, Guilherme Soares de</w:t>
      </w:r>
      <w:r w:rsidRPr="00DF6CBF">
        <w:rPr>
          <w:rStyle w:val="ncoradanotaderodap"/>
          <w:rFonts w:ascii="Arial" w:eastAsia="Arial" w:hAnsi="Arial" w:cs="Open Sans"/>
          <w:sz w:val="24"/>
          <w:szCs w:val="28"/>
        </w:rPr>
        <w:footnoteReference w:id="1"/>
      </w:r>
      <w:r w:rsidRPr="00DF6CBF">
        <w:rPr>
          <w:rFonts w:ascii="Arial" w:eastAsia="Arial" w:hAnsi="Arial" w:cs="Open Sans"/>
          <w:sz w:val="24"/>
          <w:szCs w:val="28"/>
        </w:rPr>
        <w:t xml:space="preserve">; </w:t>
      </w:r>
      <w:r w:rsidRPr="00DF6CBF">
        <w:rPr>
          <w:rFonts w:ascii="Arial" w:eastAsia="Arial" w:hAnsi="Arial" w:cs="Open Sans"/>
          <w:b/>
          <w:sz w:val="24"/>
          <w:szCs w:val="28"/>
        </w:rPr>
        <w:t>VASSALLO</w:t>
      </w:r>
      <w:r w:rsidRPr="00DF6CBF">
        <w:rPr>
          <w:rFonts w:ascii="Arial" w:eastAsia="Arial" w:hAnsi="Arial" w:cs="Open Sans"/>
          <w:sz w:val="24"/>
          <w:szCs w:val="28"/>
        </w:rPr>
        <w:t xml:space="preserve">, </w:t>
      </w:r>
      <w:proofErr w:type="spellStart"/>
      <w:r w:rsidRPr="00DF6CBF">
        <w:rPr>
          <w:rFonts w:ascii="Arial" w:eastAsia="Arial" w:hAnsi="Arial" w:cs="Open Sans"/>
          <w:sz w:val="24"/>
          <w:szCs w:val="28"/>
        </w:rPr>
        <w:t>Kaline</w:t>
      </w:r>
      <w:proofErr w:type="spellEnd"/>
      <w:r w:rsidRPr="00DF6CBF">
        <w:rPr>
          <w:rFonts w:ascii="Arial" w:eastAsia="Arial" w:hAnsi="Arial" w:cs="Open Sans"/>
          <w:sz w:val="24"/>
          <w:szCs w:val="28"/>
        </w:rPr>
        <w:t xml:space="preserve"> Ribeiro de Almeida</w:t>
      </w:r>
      <w:r w:rsidRPr="00DF6CBF">
        <w:rPr>
          <w:rStyle w:val="ncoradanotaderodap"/>
          <w:rFonts w:ascii="Arial" w:eastAsia="Arial" w:hAnsi="Arial" w:cs="Open Sans"/>
          <w:sz w:val="24"/>
          <w:szCs w:val="28"/>
        </w:rPr>
        <w:footnoteReference w:id="2"/>
      </w:r>
      <w:r w:rsidRPr="00DF6CBF">
        <w:rPr>
          <w:rFonts w:ascii="Arial" w:eastAsia="Arial" w:hAnsi="Arial" w:cs="Open Sans"/>
          <w:sz w:val="24"/>
          <w:szCs w:val="28"/>
        </w:rPr>
        <w:t xml:space="preserve">; </w:t>
      </w:r>
      <w:r w:rsidRPr="00DF6CBF">
        <w:rPr>
          <w:rFonts w:ascii="Arial" w:eastAsia="Arial" w:hAnsi="Arial" w:cs="Open Sans"/>
          <w:b/>
          <w:bCs/>
          <w:sz w:val="24"/>
          <w:szCs w:val="28"/>
        </w:rPr>
        <w:t>FREITAS</w:t>
      </w:r>
      <w:r w:rsidRPr="00DF6CBF">
        <w:rPr>
          <w:rFonts w:ascii="Arial" w:eastAsia="Arial" w:hAnsi="Arial" w:cs="Open Sans"/>
          <w:sz w:val="24"/>
          <w:szCs w:val="28"/>
        </w:rPr>
        <w:t>, Gustavo Costa</w:t>
      </w:r>
      <w:r w:rsidRPr="00DF6CBF">
        <w:rPr>
          <w:rFonts w:ascii="Arial" w:eastAsia="Arial" w:hAnsi="Arial" w:cs="Open Sans"/>
          <w:sz w:val="24"/>
          <w:szCs w:val="28"/>
          <w:vertAlign w:val="superscript"/>
        </w:rPr>
        <w:t>3</w:t>
      </w:r>
      <w:r w:rsidRPr="00DF6CBF">
        <w:rPr>
          <w:rFonts w:ascii="Arial" w:eastAsia="Arial" w:hAnsi="Arial" w:cs="Open Sans"/>
          <w:sz w:val="24"/>
          <w:szCs w:val="28"/>
        </w:rPr>
        <w:t xml:space="preserve">, </w:t>
      </w:r>
      <w:r w:rsidRPr="00DF6CBF">
        <w:rPr>
          <w:rFonts w:ascii="Arial" w:eastAsia="Arial" w:hAnsi="Arial" w:cs="Open Sans"/>
          <w:b/>
          <w:bCs/>
          <w:sz w:val="24"/>
          <w:szCs w:val="28"/>
        </w:rPr>
        <w:t>BRINGEL</w:t>
      </w:r>
      <w:r w:rsidRPr="00DF6CBF">
        <w:rPr>
          <w:rFonts w:ascii="Arial" w:eastAsia="Arial" w:hAnsi="Arial" w:cs="Open Sans"/>
          <w:sz w:val="24"/>
          <w:szCs w:val="28"/>
        </w:rPr>
        <w:t>, Fabiana de Andrade</w:t>
      </w:r>
      <w:commentRangeStart w:id="1"/>
      <w:r w:rsidRPr="00DF6CBF">
        <w:rPr>
          <w:rStyle w:val="ncoradanotaderodap"/>
          <w:rFonts w:ascii="Arial" w:eastAsia="Arial" w:hAnsi="Arial" w:cs="Open Sans"/>
          <w:sz w:val="24"/>
          <w:szCs w:val="28"/>
        </w:rPr>
        <w:t>4</w:t>
      </w:r>
      <w:r w:rsidRPr="00DF6CBF">
        <w:rPr>
          <w:rFonts w:ascii="Arial" w:eastAsia="Arial" w:hAnsi="Arial" w:cs="Open Sans"/>
          <w:sz w:val="24"/>
          <w:szCs w:val="28"/>
        </w:rPr>
        <w:t xml:space="preserve">, </w:t>
      </w:r>
      <w:r w:rsidRPr="00DF6CBF">
        <w:rPr>
          <w:rFonts w:ascii="Arial" w:eastAsia="Arial" w:hAnsi="Arial" w:cs="Open Sans"/>
          <w:b/>
          <w:sz w:val="24"/>
          <w:szCs w:val="28"/>
        </w:rPr>
        <w:t>BARBOSA</w:t>
      </w:r>
      <w:r w:rsidRPr="00DF6CBF">
        <w:rPr>
          <w:rFonts w:ascii="Arial" w:eastAsia="Arial" w:hAnsi="Arial" w:cs="Open Sans"/>
          <w:sz w:val="24"/>
          <w:szCs w:val="28"/>
        </w:rPr>
        <w:t>, Silvia Minharro</w:t>
      </w:r>
      <w:r w:rsidRPr="00DF6CBF">
        <w:rPr>
          <w:rFonts w:ascii="Arial" w:eastAsia="Arial" w:hAnsi="Arial" w:cs="Open Sans"/>
          <w:sz w:val="24"/>
          <w:szCs w:val="28"/>
          <w:vertAlign w:val="superscript"/>
        </w:rPr>
        <w:t>5</w:t>
      </w:r>
      <w:commentRangeEnd w:id="1"/>
      <w:r w:rsidRPr="000A7F34">
        <w:rPr>
          <w:rStyle w:val="Refdecomentrio"/>
          <w:rFonts w:ascii="Arial" w:hAnsi="Arial" w:cs="Open Sans"/>
          <w:sz w:val="24"/>
          <w:szCs w:val="28"/>
        </w:rPr>
        <w:commentReference w:id="1"/>
      </w:r>
    </w:p>
    <w:p w14:paraId="4BCFB167" w14:textId="77777777" w:rsidR="00930701" w:rsidRPr="000A7F34" w:rsidRDefault="00486485" w:rsidP="00DF6CBF">
      <w:pPr>
        <w:widowControl w:val="0"/>
        <w:spacing w:after="0" w:line="360" w:lineRule="auto"/>
        <w:jc w:val="center"/>
        <w:rPr>
          <w:rFonts w:ascii="Open Sans" w:eastAsia="Arial" w:hAnsi="Open Sans" w:cs="Open Sans"/>
          <w:b/>
          <w:sz w:val="24"/>
          <w:szCs w:val="24"/>
        </w:rPr>
      </w:pPr>
      <w:r w:rsidRPr="00DF6CBF">
        <w:rPr>
          <w:rFonts w:ascii="Arial" w:eastAsia="Arial" w:hAnsi="Arial" w:cs="Open Sans"/>
          <w:b/>
          <w:sz w:val="24"/>
          <w:szCs w:val="24"/>
        </w:rPr>
        <w:t>RESUMO</w:t>
      </w:r>
    </w:p>
    <w:p w14:paraId="5109835F" w14:textId="77777777" w:rsidR="004F3B16" w:rsidRPr="00265EFA" w:rsidRDefault="004F3B16" w:rsidP="004F3B1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65EFA">
        <w:rPr>
          <w:rFonts w:ascii="Arial" w:hAnsi="Arial" w:cs="Open Sans"/>
          <w:sz w:val="24"/>
          <w:szCs w:val="20"/>
        </w:rPr>
        <w:t xml:space="preserve">A leishmaniose é uma zoonose causada por parasitas do gênero </w:t>
      </w:r>
      <w:r w:rsidRPr="00265EFA">
        <w:rPr>
          <w:rFonts w:ascii="Arial" w:hAnsi="Arial" w:cs="Open Sans"/>
          <w:i/>
          <w:iCs/>
          <w:sz w:val="24"/>
          <w:szCs w:val="20"/>
        </w:rPr>
        <w:t>Leishmania</w:t>
      </w:r>
      <w:r w:rsidRPr="00265EFA">
        <w:rPr>
          <w:rFonts w:ascii="Arial" w:hAnsi="Arial" w:cs="Open Sans"/>
          <w:sz w:val="24"/>
          <w:szCs w:val="20"/>
        </w:rPr>
        <w:t>, transmitida pela picada de fêmeas hematófagas de flebotomíneos infectados durante a alimentação em hospedeiros suscetíveis. O conhecimento sobre o comportamento alimentar desses insetos e o papel dos vertebrados na cadeia epidemiológica é crucial para o controle da transmissão. Recentemente, técnicas moleculares como a PCR, com o uso de primers de diferentes níveis de sensibilidade e especificidade, têm sido aplicadas para essa investigação.</w:t>
      </w:r>
      <w:r>
        <w:rPr>
          <w:rFonts w:ascii="Arial" w:hAnsi="Arial" w:cs="Open Sans"/>
          <w:sz w:val="24"/>
          <w:szCs w:val="20"/>
        </w:rPr>
        <w:t xml:space="preserve"> </w:t>
      </w:r>
      <w:r w:rsidRPr="00265EFA">
        <w:rPr>
          <w:rFonts w:ascii="Arial" w:hAnsi="Arial" w:cs="Open Sans"/>
          <w:sz w:val="24"/>
          <w:szCs w:val="20"/>
        </w:rPr>
        <w:t xml:space="preserve">Este estudo visa identificar e descrever os </w:t>
      </w:r>
      <w:r w:rsidRPr="00265EFA">
        <w:rPr>
          <w:rFonts w:ascii="Arial" w:hAnsi="Arial" w:cs="Open Sans"/>
          <w:i/>
          <w:iCs/>
          <w:sz w:val="24"/>
          <w:szCs w:val="20"/>
        </w:rPr>
        <w:t>primers</w:t>
      </w:r>
      <w:r w:rsidRPr="00265EFA">
        <w:rPr>
          <w:rFonts w:ascii="Arial" w:hAnsi="Arial" w:cs="Open Sans"/>
          <w:sz w:val="24"/>
          <w:szCs w:val="20"/>
        </w:rPr>
        <w:t xml:space="preserve"> mais sensíveis e específicos utilizados na detecção de DNA de vertebrados urbanos envolvidos na transmissão da leishmaniose.</w:t>
      </w:r>
      <w:r>
        <w:rPr>
          <w:rFonts w:ascii="Arial" w:hAnsi="Arial" w:cs="Open Sans"/>
          <w:sz w:val="24"/>
          <w:szCs w:val="20"/>
        </w:rPr>
        <w:t xml:space="preserve"> </w:t>
      </w:r>
      <w:r w:rsidRPr="00265EFA">
        <w:rPr>
          <w:rFonts w:ascii="Arial" w:hAnsi="Arial" w:cs="Open Sans"/>
          <w:sz w:val="24"/>
          <w:szCs w:val="20"/>
        </w:rPr>
        <w:t xml:space="preserve">A metodologia seguiu uma revisão sistemática conforme </w:t>
      </w:r>
      <w:r>
        <w:rPr>
          <w:rFonts w:ascii="Arial" w:hAnsi="Arial" w:cs="Open Sans"/>
          <w:sz w:val="24"/>
          <w:szCs w:val="20"/>
        </w:rPr>
        <w:t xml:space="preserve">o Guia </w:t>
      </w:r>
      <w:r w:rsidRPr="00265EFA">
        <w:rPr>
          <w:rFonts w:ascii="Arial" w:hAnsi="Arial" w:cs="Open Sans"/>
          <w:sz w:val="24"/>
          <w:szCs w:val="20"/>
        </w:rPr>
        <w:t>PRISMA. Foram pesquisados estudos transversais nas bases de dados MEDLINE, EMBASE, LILACS, SCOPUS, WEB OF SCIENCE e SCIELO, em inglês e português, utilizando os termos “</w:t>
      </w:r>
      <w:proofErr w:type="spellStart"/>
      <w:r w:rsidRPr="00265EFA">
        <w:rPr>
          <w:rFonts w:ascii="Arial" w:hAnsi="Arial" w:cs="Open Sans"/>
          <w:sz w:val="24"/>
          <w:szCs w:val="20"/>
        </w:rPr>
        <w:t>Phlebotomines</w:t>
      </w:r>
      <w:proofErr w:type="spellEnd"/>
      <w:r w:rsidRPr="00265EFA">
        <w:rPr>
          <w:rFonts w:ascii="Arial" w:hAnsi="Arial" w:cs="Open Sans"/>
          <w:sz w:val="24"/>
          <w:szCs w:val="20"/>
        </w:rPr>
        <w:t>”, “</w:t>
      </w:r>
      <w:proofErr w:type="spellStart"/>
      <w:r w:rsidRPr="00265EFA">
        <w:rPr>
          <w:rFonts w:ascii="Arial" w:hAnsi="Arial" w:cs="Open Sans"/>
          <w:sz w:val="24"/>
          <w:szCs w:val="20"/>
        </w:rPr>
        <w:t>Polymerase</w:t>
      </w:r>
      <w:proofErr w:type="spellEnd"/>
      <w:r w:rsidRPr="00265EFA">
        <w:rPr>
          <w:rFonts w:ascii="Arial" w:hAnsi="Arial" w:cs="Open Sans"/>
          <w:sz w:val="24"/>
          <w:szCs w:val="20"/>
        </w:rPr>
        <w:t xml:space="preserve"> </w:t>
      </w:r>
      <w:proofErr w:type="spellStart"/>
      <w:r w:rsidRPr="00265EFA">
        <w:rPr>
          <w:rFonts w:ascii="Arial" w:hAnsi="Arial" w:cs="Open Sans"/>
          <w:sz w:val="24"/>
          <w:szCs w:val="20"/>
        </w:rPr>
        <w:t>chain</w:t>
      </w:r>
      <w:proofErr w:type="spellEnd"/>
      <w:r w:rsidRPr="00265EFA">
        <w:rPr>
          <w:rFonts w:ascii="Arial" w:hAnsi="Arial" w:cs="Open Sans"/>
          <w:sz w:val="24"/>
          <w:szCs w:val="20"/>
        </w:rPr>
        <w:t xml:space="preserve"> </w:t>
      </w:r>
      <w:proofErr w:type="spellStart"/>
      <w:r w:rsidRPr="00265EFA">
        <w:rPr>
          <w:rFonts w:ascii="Arial" w:hAnsi="Arial" w:cs="Open Sans"/>
          <w:sz w:val="24"/>
          <w:szCs w:val="20"/>
        </w:rPr>
        <w:t>reaction</w:t>
      </w:r>
      <w:proofErr w:type="spellEnd"/>
      <w:r w:rsidRPr="00265EFA">
        <w:rPr>
          <w:rFonts w:ascii="Arial" w:hAnsi="Arial" w:cs="Open Sans"/>
          <w:sz w:val="24"/>
          <w:szCs w:val="20"/>
        </w:rPr>
        <w:t>” e “</w:t>
      </w:r>
      <w:proofErr w:type="spellStart"/>
      <w:r w:rsidRPr="00265EFA">
        <w:rPr>
          <w:rFonts w:ascii="Arial" w:hAnsi="Arial" w:cs="Open Sans"/>
          <w:sz w:val="24"/>
          <w:szCs w:val="20"/>
        </w:rPr>
        <w:t>Blood</w:t>
      </w:r>
      <w:proofErr w:type="spellEnd"/>
      <w:r w:rsidRPr="00265EFA">
        <w:rPr>
          <w:rFonts w:ascii="Arial" w:hAnsi="Arial" w:cs="Open Sans"/>
          <w:sz w:val="24"/>
          <w:szCs w:val="20"/>
        </w:rPr>
        <w:t xml:space="preserve"> </w:t>
      </w:r>
      <w:proofErr w:type="spellStart"/>
      <w:r w:rsidRPr="00265EFA">
        <w:rPr>
          <w:rFonts w:ascii="Arial" w:hAnsi="Arial" w:cs="Open Sans"/>
          <w:sz w:val="24"/>
          <w:szCs w:val="20"/>
        </w:rPr>
        <w:t>meal</w:t>
      </w:r>
      <w:proofErr w:type="spellEnd"/>
      <w:r w:rsidRPr="00265EFA">
        <w:rPr>
          <w:rFonts w:ascii="Arial" w:hAnsi="Arial" w:cs="Open Sans"/>
          <w:sz w:val="24"/>
          <w:szCs w:val="20"/>
        </w:rPr>
        <w:t xml:space="preserve">”, combinados com os booleanos AND e OR. Os artigos </w:t>
      </w:r>
      <w:r w:rsidRPr="00265EFA">
        <w:rPr>
          <w:rFonts w:ascii="Arial" w:hAnsi="Arial" w:cs="Open Sans"/>
          <w:sz w:val="24"/>
          <w:szCs w:val="20"/>
        </w:rPr>
        <w:lastRenderedPageBreak/>
        <w:t>incluídos apresentavam primers usados para identificar o repasto sanguíneo de flebotomíneos e a taxa de sucesso da PCR.</w:t>
      </w:r>
      <w:r>
        <w:rPr>
          <w:rFonts w:ascii="Arial" w:hAnsi="Arial" w:cs="Open Sans"/>
          <w:sz w:val="24"/>
          <w:szCs w:val="20"/>
        </w:rPr>
        <w:t xml:space="preserve"> </w:t>
      </w:r>
      <w:r w:rsidRPr="00265EFA">
        <w:rPr>
          <w:rFonts w:ascii="Arial" w:hAnsi="Arial" w:cs="Open Sans"/>
          <w:sz w:val="24"/>
          <w:szCs w:val="20"/>
        </w:rPr>
        <w:t xml:space="preserve">Vinte e dois artigos atenderam aos critérios de elegibilidade. A seleção foi realizada de forma independente e pareada, com um índice Kappa de Cohen de 0.634, indicando concordância moderada entre revisores. Conforme o checklist do </w:t>
      </w:r>
      <w:r w:rsidRPr="00265EFA">
        <w:rPr>
          <w:rFonts w:ascii="Arial" w:hAnsi="Arial" w:cs="Open Sans"/>
          <w:i/>
          <w:iCs/>
          <w:sz w:val="24"/>
          <w:szCs w:val="20"/>
        </w:rPr>
        <w:t xml:space="preserve">Joanna Briggs </w:t>
      </w:r>
      <w:proofErr w:type="spellStart"/>
      <w:r w:rsidRPr="00265EFA">
        <w:rPr>
          <w:rFonts w:ascii="Arial" w:hAnsi="Arial" w:cs="Open Sans"/>
          <w:i/>
          <w:iCs/>
          <w:sz w:val="24"/>
          <w:szCs w:val="20"/>
        </w:rPr>
        <w:t>Institute</w:t>
      </w:r>
      <w:proofErr w:type="spellEnd"/>
      <w:r w:rsidRPr="00265EFA">
        <w:rPr>
          <w:rFonts w:ascii="Arial" w:hAnsi="Arial" w:cs="Open Sans"/>
          <w:sz w:val="24"/>
          <w:szCs w:val="20"/>
        </w:rPr>
        <w:t xml:space="preserve"> (JBI) para estudos transversais, 40,9% (9/22) dos estudos foram considerados de alta qualidade, com baixo risco de viés. O gene citocromo b (</w:t>
      </w:r>
      <w:proofErr w:type="spellStart"/>
      <w:r w:rsidRPr="00265EFA">
        <w:rPr>
          <w:rFonts w:ascii="Arial" w:hAnsi="Arial" w:cs="Open Sans"/>
          <w:sz w:val="24"/>
          <w:szCs w:val="20"/>
        </w:rPr>
        <w:t>cyt</w:t>
      </w:r>
      <w:proofErr w:type="spellEnd"/>
      <w:r w:rsidRPr="00265EFA">
        <w:rPr>
          <w:rFonts w:ascii="Arial" w:hAnsi="Arial" w:cs="Open Sans"/>
          <w:sz w:val="24"/>
          <w:szCs w:val="20"/>
        </w:rPr>
        <w:t xml:space="preserve"> b) foi o principal alvo nos estudos (81,82%). Outros genes, como PNOC, COI e 12S, foram relatados em 18,18% dos artigos.</w:t>
      </w:r>
      <w:r>
        <w:rPr>
          <w:rFonts w:ascii="Arial" w:hAnsi="Arial" w:cs="Open Sans"/>
          <w:sz w:val="24"/>
          <w:szCs w:val="20"/>
        </w:rPr>
        <w:t xml:space="preserve"> </w:t>
      </w:r>
      <w:r w:rsidRPr="00265EFA">
        <w:rPr>
          <w:rFonts w:ascii="Arial" w:hAnsi="Arial" w:cs="Open Sans"/>
          <w:sz w:val="24"/>
          <w:szCs w:val="20"/>
        </w:rPr>
        <w:t xml:space="preserve">A alta taxa de sucesso foi associada ao uso de primers direcionados ao gene </w:t>
      </w:r>
      <w:proofErr w:type="spellStart"/>
      <w:r w:rsidRPr="00265EFA">
        <w:rPr>
          <w:rFonts w:ascii="Arial" w:hAnsi="Arial" w:cs="Open Sans"/>
          <w:sz w:val="24"/>
          <w:szCs w:val="20"/>
        </w:rPr>
        <w:t>cyt</w:t>
      </w:r>
      <w:proofErr w:type="spellEnd"/>
      <w:r w:rsidRPr="00265EFA">
        <w:rPr>
          <w:rFonts w:ascii="Arial" w:hAnsi="Arial" w:cs="Open Sans"/>
          <w:sz w:val="24"/>
          <w:szCs w:val="20"/>
        </w:rPr>
        <w:t xml:space="preserve"> b, possivelmente devido à sua eficiência e otimização das condições experimentais. Conclui-se que primers para o gene citocromo b são os mais eficazes na detecção do DNA de vertebrados urbanos na transmissão da leishmaniose.</w:t>
      </w:r>
    </w:p>
    <w:p w14:paraId="7501B1D8" w14:textId="52DA213D" w:rsidR="004F3B16" w:rsidRPr="00265EFA" w:rsidRDefault="004F3B16" w:rsidP="004F3B1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65EFA">
        <w:rPr>
          <w:rFonts w:ascii="Arial" w:hAnsi="Arial" w:cs="Open Sans"/>
          <w:b/>
          <w:bCs/>
          <w:sz w:val="24"/>
          <w:szCs w:val="20"/>
        </w:rPr>
        <w:t>Palavras-chave:</w:t>
      </w:r>
      <w:r w:rsidRPr="00265EFA">
        <w:rPr>
          <w:rFonts w:ascii="Arial" w:hAnsi="Arial" w:cs="Open Sans"/>
          <w:sz w:val="24"/>
          <w:szCs w:val="20"/>
        </w:rPr>
        <w:t xml:space="preserve"> </w:t>
      </w:r>
      <w:proofErr w:type="spellStart"/>
      <w:r w:rsidRPr="00265EFA">
        <w:rPr>
          <w:rFonts w:ascii="Arial" w:hAnsi="Arial" w:cs="Open Sans"/>
          <w:sz w:val="24"/>
          <w:szCs w:val="20"/>
        </w:rPr>
        <w:t>Phlebotominae</w:t>
      </w:r>
      <w:proofErr w:type="spellEnd"/>
      <w:r>
        <w:rPr>
          <w:rFonts w:ascii="Arial" w:hAnsi="Arial" w:cs="Open Sans"/>
          <w:sz w:val="24"/>
          <w:szCs w:val="20"/>
        </w:rPr>
        <w:t xml:space="preserve">, </w:t>
      </w:r>
      <w:r w:rsidRPr="00265EFA">
        <w:rPr>
          <w:rFonts w:ascii="Arial" w:hAnsi="Arial" w:cs="Open Sans"/>
          <w:sz w:val="24"/>
          <w:szCs w:val="20"/>
        </w:rPr>
        <w:t>PCR, Identificação.</w:t>
      </w:r>
    </w:p>
    <w:p w14:paraId="4263E622" w14:textId="77777777" w:rsidR="00930701" w:rsidRPr="00DF6CBF" w:rsidRDefault="0093070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D80854A" w14:textId="12A60F9E" w:rsidR="00930701" w:rsidRPr="00DF6CBF" w:rsidRDefault="00486485" w:rsidP="00DF6CB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F6CBF">
        <w:rPr>
          <w:rFonts w:ascii="Arial" w:eastAsia="Arial" w:hAnsi="Arial" w:cs="Open Sans"/>
          <w:b/>
          <w:sz w:val="24"/>
          <w:szCs w:val="24"/>
        </w:rPr>
        <w:t>INTRODUÇÃO/JUSTIFICATIVA</w:t>
      </w:r>
    </w:p>
    <w:p w14:paraId="492172B9" w14:textId="6BF24817" w:rsidR="00C241B7" w:rsidRPr="00DF6CBF" w:rsidRDefault="00C241B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F6CBF">
        <w:rPr>
          <w:rFonts w:ascii="Arial" w:eastAsia="Arial" w:hAnsi="Arial" w:cs="Open Sans"/>
          <w:sz w:val="24"/>
          <w:szCs w:val="20"/>
        </w:rPr>
        <w:t>O conhecimento do comportamento alimentar dos flebotomíneos nos diversos vertebrados que servem de fonte para a hematofagia é de extrema relevância para o controle eficaz de mosquitos e da transmissão da leishmaniose. Atualmente, essa investigação faz uso, principalmente, da abordagem molecular pela técnica da</w:t>
      </w:r>
      <w:r w:rsidR="00ED61A8" w:rsidRPr="00DF6CBF">
        <w:rPr>
          <w:rFonts w:ascii="Arial" w:eastAsia="Arial" w:hAnsi="Arial" w:cs="Arial"/>
          <w:sz w:val="24"/>
          <w:szCs w:val="24"/>
        </w:rPr>
        <w:t xml:space="preserve"> Reação em Cadeia da Polimerase</w:t>
      </w:r>
      <w:r w:rsidRPr="00DF6CBF">
        <w:rPr>
          <w:rFonts w:ascii="Arial" w:eastAsia="Arial" w:hAnsi="Arial" w:cs="Open Sans"/>
          <w:sz w:val="24"/>
          <w:szCs w:val="20"/>
        </w:rPr>
        <w:t xml:space="preserve"> </w:t>
      </w:r>
      <w:r w:rsidR="00223293" w:rsidRPr="00DF6CBF">
        <w:rPr>
          <w:rFonts w:ascii="Arial" w:eastAsia="Arial" w:hAnsi="Arial" w:cs="Arial"/>
          <w:sz w:val="24"/>
          <w:szCs w:val="24"/>
        </w:rPr>
        <w:t>(</w:t>
      </w:r>
      <w:r w:rsidRPr="00DF6CBF">
        <w:rPr>
          <w:rFonts w:ascii="Arial" w:eastAsia="Arial" w:hAnsi="Arial" w:cs="Open Sans"/>
          <w:sz w:val="24"/>
          <w:szCs w:val="20"/>
        </w:rPr>
        <w:t>PCR</w:t>
      </w:r>
      <w:r w:rsidR="00223293" w:rsidRPr="00DF6CBF">
        <w:rPr>
          <w:rFonts w:ascii="Arial" w:eastAsia="Arial" w:hAnsi="Arial" w:cs="Arial"/>
          <w:sz w:val="24"/>
          <w:szCs w:val="24"/>
        </w:rPr>
        <w:t>)</w:t>
      </w:r>
      <w:r w:rsidRPr="00DF6CBF">
        <w:rPr>
          <w:rFonts w:ascii="Arial" w:eastAsia="Arial" w:hAnsi="Arial" w:cs="Open Sans"/>
          <w:sz w:val="24"/>
          <w:szCs w:val="20"/>
        </w:rPr>
        <w:t xml:space="preserve"> com uso de </w:t>
      </w:r>
      <w:r w:rsidRPr="00DF6CBF">
        <w:rPr>
          <w:rFonts w:ascii="Arial" w:eastAsia="Arial" w:hAnsi="Arial" w:cs="Open Sans"/>
          <w:i/>
          <w:iCs/>
          <w:sz w:val="24"/>
          <w:szCs w:val="20"/>
        </w:rPr>
        <w:t>primers</w:t>
      </w:r>
      <w:r w:rsidRPr="00DF6CBF">
        <w:rPr>
          <w:rFonts w:ascii="Arial" w:eastAsia="Arial" w:hAnsi="Arial" w:cs="Open Sans"/>
          <w:sz w:val="24"/>
          <w:szCs w:val="20"/>
        </w:rPr>
        <w:t xml:space="preserve"> com sensibilidade e especificidades variadas. O presente estudo trata-se de uma revisão sistemática da literatura para identificar e descrever os </w:t>
      </w:r>
      <w:r w:rsidRPr="00DF6CBF">
        <w:rPr>
          <w:rFonts w:ascii="Arial" w:eastAsia="Arial" w:hAnsi="Arial" w:cs="Open Sans"/>
          <w:i/>
          <w:iCs/>
          <w:sz w:val="24"/>
          <w:szCs w:val="20"/>
        </w:rPr>
        <w:t>primers</w:t>
      </w:r>
      <w:r w:rsidRPr="00DF6CBF">
        <w:rPr>
          <w:rFonts w:ascii="Arial" w:eastAsia="Arial" w:hAnsi="Arial" w:cs="Open Sans"/>
          <w:sz w:val="24"/>
          <w:szCs w:val="20"/>
        </w:rPr>
        <w:t xml:space="preserve"> </w:t>
      </w:r>
      <w:r w:rsidR="00887334" w:rsidRPr="00DF6CBF">
        <w:rPr>
          <w:rFonts w:ascii="Arial" w:eastAsia="Arial" w:hAnsi="Arial" w:cs="Open Sans"/>
          <w:sz w:val="24"/>
          <w:szCs w:val="20"/>
        </w:rPr>
        <w:t xml:space="preserve">mais sensíveis e específicos </w:t>
      </w:r>
      <w:r w:rsidRPr="00DF6CBF">
        <w:rPr>
          <w:rFonts w:ascii="Arial" w:eastAsia="Arial" w:hAnsi="Arial" w:cs="Open Sans"/>
          <w:sz w:val="24"/>
          <w:szCs w:val="20"/>
        </w:rPr>
        <w:t xml:space="preserve">utilizados </w:t>
      </w:r>
      <w:r w:rsidR="00D96E1D" w:rsidRPr="00DF6CBF">
        <w:rPr>
          <w:rFonts w:ascii="Arial" w:eastAsia="Arial" w:hAnsi="Arial" w:cs="Open Sans"/>
          <w:sz w:val="24"/>
          <w:szCs w:val="20"/>
        </w:rPr>
        <w:t>na detecção</w:t>
      </w:r>
      <w:r w:rsidRPr="00DF6CBF">
        <w:rPr>
          <w:rFonts w:ascii="Arial" w:eastAsia="Arial" w:hAnsi="Arial" w:cs="Open Sans"/>
          <w:sz w:val="24"/>
          <w:szCs w:val="20"/>
        </w:rPr>
        <w:t xml:space="preserve"> de DNA dos vertebrados urbanos envolvidos na transmissão da leishmaniose</w:t>
      </w:r>
      <w:r w:rsidR="00887334" w:rsidRPr="00DF6CBF">
        <w:rPr>
          <w:rFonts w:ascii="Arial" w:eastAsia="Arial" w:hAnsi="Arial" w:cs="Open Sans"/>
          <w:sz w:val="24"/>
          <w:szCs w:val="20"/>
        </w:rPr>
        <w:t xml:space="preserve"> </w:t>
      </w:r>
      <w:r w:rsidRPr="00DF6CBF">
        <w:rPr>
          <w:rFonts w:ascii="Arial" w:eastAsia="Arial" w:hAnsi="Arial" w:cs="Open Sans"/>
          <w:sz w:val="24"/>
          <w:szCs w:val="20"/>
        </w:rPr>
        <w:t>e as variações das técnicas de PCR usadas para a triagem do repasto sanguíneo nesses hospedeiros.</w:t>
      </w:r>
    </w:p>
    <w:p w14:paraId="7383E519" w14:textId="527140E8" w:rsidR="00C241B7" w:rsidRDefault="00C241B7" w:rsidP="00E518E6">
      <w:pPr>
        <w:spacing w:after="0" w:line="360" w:lineRule="auto"/>
        <w:ind w:firstLine="709"/>
        <w:jc w:val="both"/>
        <w:rPr>
          <w:rFonts w:ascii="Arial" w:eastAsia="Arial" w:hAnsi="Arial" w:cs="Open Sans"/>
          <w:sz w:val="24"/>
          <w:szCs w:val="20"/>
        </w:rPr>
      </w:pPr>
      <w:r w:rsidRPr="00DF6CBF">
        <w:rPr>
          <w:rFonts w:ascii="Arial" w:eastAsia="Arial" w:hAnsi="Arial" w:cs="Open Sans"/>
          <w:sz w:val="24"/>
          <w:szCs w:val="20"/>
        </w:rPr>
        <w:lastRenderedPageBreak/>
        <w:t>A</w:t>
      </w:r>
      <w:r w:rsidR="00486485" w:rsidRPr="00DF6CBF">
        <w:rPr>
          <w:rFonts w:ascii="Arial" w:eastAsia="Arial" w:hAnsi="Arial" w:cs="Open Sans"/>
          <w:sz w:val="24"/>
          <w:szCs w:val="20"/>
        </w:rPr>
        <w:t xml:space="preserve"> área de conhecimento </w:t>
      </w:r>
      <w:r w:rsidRPr="00DF6CBF">
        <w:rPr>
          <w:rFonts w:ascii="Arial" w:eastAsia="Arial" w:hAnsi="Arial" w:cs="Open Sans"/>
          <w:sz w:val="24"/>
          <w:szCs w:val="20"/>
        </w:rPr>
        <w:t>na qual foi desenvolvida esta pesquisa é a Ciências Biológicas e da Saúde, voltada para o estudo do diagnóstico, biologia, epidemiologia e controle de parasitoses e doenças de importância em Medicina e saúde pública</w:t>
      </w:r>
      <w:r w:rsidR="00ED6609" w:rsidRPr="00DF6CBF">
        <w:rPr>
          <w:rFonts w:ascii="Arial" w:eastAsia="Arial" w:hAnsi="Arial" w:cs="Open Sans"/>
          <w:sz w:val="24"/>
          <w:szCs w:val="20"/>
        </w:rPr>
        <w:t>.</w:t>
      </w:r>
    </w:p>
    <w:p w14:paraId="321AE8E9" w14:textId="77777777" w:rsidR="00DF6CBF" w:rsidRDefault="00DF6CBF" w:rsidP="00E518E6">
      <w:pPr>
        <w:spacing w:after="0" w:line="360" w:lineRule="auto"/>
        <w:ind w:firstLine="709"/>
        <w:jc w:val="both"/>
        <w:rPr>
          <w:rFonts w:ascii="Arial" w:eastAsia="Arial" w:hAnsi="Arial" w:cs="Open Sans"/>
          <w:sz w:val="24"/>
          <w:szCs w:val="20"/>
        </w:rPr>
      </w:pPr>
    </w:p>
    <w:p w14:paraId="7AC83E87" w14:textId="6C12A505" w:rsidR="00DF6CBF" w:rsidRPr="00DF6CBF" w:rsidRDefault="00DF6CBF" w:rsidP="00DF6CB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6CBF">
        <w:rPr>
          <w:rFonts w:ascii="Arial" w:eastAsia="Arial" w:hAnsi="Arial" w:cs="Arial"/>
          <w:b/>
          <w:bCs/>
          <w:sz w:val="24"/>
          <w:szCs w:val="24"/>
        </w:rPr>
        <w:t>BASE TEÓRICA</w:t>
      </w:r>
    </w:p>
    <w:p w14:paraId="4EC7C6F0" w14:textId="34635EF1" w:rsidR="00A91BC1" w:rsidRPr="004262DA" w:rsidRDefault="00A91BC1" w:rsidP="0076169C">
      <w:pPr>
        <w:spacing w:after="0" w:line="360" w:lineRule="auto"/>
        <w:ind w:firstLine="709"/>
        <w:jc w:val="both"/>
        <w:rPr>
          <w:rFonts w:ascii="Open Sans" w:eastAsia="Arial" w:hAnsi="Open Sans" w:cs="Open Sans"/>
          <w:sz w:val="24"/>
          <w:szCs w:val="24"/>
        </w:rPr>
      </w:pPr>
      <w:r w:rsidRPr="00DF6CBF">
        <w:rPr>
          <w:rFonts w:ascii="Arial" w:eastAsia="Arial" w:hAnsi="Arial" w:cs="Open Sans"/>
          <w:sz w:val="24"/>
          <w:szCs w:val="24"/>
        </w:rPr>
        <w:t xml:space="preserve">A transmissão </w:t>
      </w:r>
      <w:r w:rsidR="00887334" w:rsidRPr="00DF6CBF">
        <w:rPr>
          <w:rFonts w:ascii="Arial" w:eastAsia="Arial" w:hAnsi="Arial" w:cs="Open Sans"/>
          <w:sz w:val="24"/>
          <w:szCs w:val="24"/>
        </w:rPr>
        <w:t xml:space="preserve">da Leishmaniose </w:t>
      </w:r>
      <w:r w:rsidRPr="00DF6CBF">
        <w:rPr>
          <w:rFonts w:ascii="Arial" w:eastAsia="Arial" w:hAnsi="Arial" w:cs="Open Sans"/>
          <w:sz w:val="24"/>
          <w:szCs w:val="24"/>
        </w:rPr>
        <w:t xml:space="preserve">ocorre através </w:t>
      </w:r>
      <w:r w:rsidR="00887334" w:rsidRPr="00DF6CBF">
        <w:rPr>
          <w:rFonts w:ascii="Arial" w:eastAsia="Arial" w:hAnsi="Arial" w:cs="Open Sans"/>
          <w:sz w:val="24"/>
          <w:szCs w:val="24"/>
        </w:rPr>
        <w:t>de</w:t>
      </w:r>
      <w:r w:rsidRPr="00DF6CBF">
        <w:rPr>
          <w:rFonts w:ascii="Arial" w:eastAsia="Arial" w:hAnsi="Arial" w:cs="Open Sans"/>
          <w:sz w:val="24"/>
          <w:szCs w:val="24"/>
        </w:rPr>
        <w:t xml:space="preserve"> flebotomíneos infectados com o parasita e o mecanismo mais r</w:t>
      </w:r>
      <w:r w:rsidRPr="004262DA">
        <w:rPr>
          <w:rFonts w:ascii="Arial" w:eastAsia="Arial" w:hAnsi="Arial" w:cs="Open Sans"/>
          <w:sz w:val="24"/>
          <w:szCs w:val="24"/>
        </w:rPr>
        <w:t xml:space="preserve">elevante é a picada da fêmea hematófaga, que realiza refeições sanguíneas no hospedeiro vertebrado (GONTIJO; MELO, 2004, REY, 2009). Os principais </w:t>
      </w:r>
      <w:r w:rsidR="00D96E1D" w:rsidRPr="004262DA">
        <w:rPr>
          <w:rFonts w:ascii="Arial" w:eastAsia="Arial" w:hAnsi="Arial" w:cs="Open Sans"/>
          <w:sz w:val="24"/>
          <w:szCs w:val="24"/>
        </w:rPr>
        <w:t xml:space="preserve">hospedeiros </w:t>
      </w:r>
      <w:r w:rsidRPr="004262DA">
        <w:rPr>
          <w:rFonts w:ascii="Arial" w:eastAsia="Arial" w:hAnsi="Arial" w:cs="Open Sans"/>
          <w:sz w:val="24"/>
          <w:szCs w:val="24"/>
        </w:rPr>
        <w:t>vertebrados variam regionalmente entre animais domésticos e silvestres, incluindo humanos, bovinos, cães e galinhas, que servem como fonte para o repasto</w:t>
      </w:r>
      <w:r w:rsidR="00D96E1D" w:rsidRPr="004262DA">
        <w:rPr>
          <w:rFonts w:ascii="Arial" w:eastAsia="Arial" w:hAnsi="Arial" w:cs="Open Sans"/>
          <w:sz w:val="24"/>
          <w:szCs w:val="24"/>
        </w:rPr>
        <w:t xml:space="preserve">. </w:t>
      </w:r>
      <w:r w:rsidRPr="004262DA">
        <w:rPr>
          <w:rFonts w:ascii="Arial" w:eastAsia="Arial" w:hAnsi="Arial" w:cs="Open Sans"/>
          <w:sz w:val="24"/>
          <w:szCs w:val="24"/>
        </w:rPr>
        <w:t xml:space="preserve">(LAINSON; RANGEL, 2005, SILVA, 2008). </w:t>
      </w:r>
    </w:p>
    <w:p w14:paraId="6127BB81" w14:textId="018B1F40" w:rsidR="00A91BC1" w:rsidRPr="004262DA" w:rsidRDefault="00A91BC1" w:rsidP="00A91BC1">
      <w:pPr>
        <w:spacing w:after="0" w:line="360" w:lineRule="auto"/>
        <w:ind w:firstLine="720"/>
        <w:jc w:val="both"/>
        <w:rPr>
          <w:rFonts w:ascii="Open Sans" w:eastAsia="Arial" w:hAnsi="Open Sans" w:cs="Open Sans"/>
          <w:sz w:val="24"/>
          <w:szCs w:val="24"/>
        </w:rPr>
      </w:pPr>
      <w:r w:rsidRPr="004262DA">
        <w:rPr>
          <w:rFonts w:ascii="Arial" w:eastAsia="Arial" w:hAnsi="Arial" w:cs="Open Sans"/>
          <w:sz w:val="24"/>
          <w:szCs w:val="24"/>
        </w:rPr>
        <w:t xml:space="preserve">A coexistência de espécies distintas do vetor, reservatórios e parasitas configura um panorama ecológico de alta complexidade que entrava o entendimento acerca da epidemiologia da Leishmaniose, que, por ser um distúrbio de transmissão vetorial, requer a compreensão dos diversos fatores que compõem a ecologia e o comportamento do </w:t>
      </w:r>
      <w:r w:rsidR="00D96E1D" w:rsidRPr="004262DA">
        <w:rPr>
          <w:rFonts w:ascii="Arial" w:eastAsia="Arial" w:hAnsi="Arial" w:cs="Open Sans"/>
          <w:sz w:val="24"/>
          <w:szCs w:val="24"/>
        </w:rPr>
        <w:t>vetor</w:t>
      </w:r>
      <w:r w:rsidRPr="004262DA">
        <w:rPr>
          <w:rFonts w:ascii="Arial" w:eastAsia="Arial" w:hAnsi="Arial" w:cs="Open Sans"/>
          <w:sz w:val="24"/>
          <w:szCs w:val="24"/>
        </w:rPr>
        <w:t xml:space="preserve"> que transmite o parasito (SRINIVASAN; PANICKER, 1992). </w:t>
      </w:r>
    </w:p>
    <w:p w14:paraId="4C51274B" w14:textId="21011E8F" w:rsidR="00A91BC1" w:rsidRPr="004262DA" w:rsidRDefault="00D96E1D" w:rsidP="00A91BC1">
      <w:pPr>
        <w:spacing w:after="0" w:line="360" w:lineRule="auto"/>
        <w:ind w:firstLine="720"/>
        <w:jc w:val="both"/>
        <w:rPr>
          <w:rFonts w:ascii="Open Sans" w:eastAsia="Arial" w:hAnsi="Open Sans" w:cs="Open Sans"/>
          <w:sz w:val="24"/>
          <w:szCs w:val="24"/>
        </w:rPr>
      </w:pPr>
      <w:r w:rsidRPr="004262DA">
        <w:rPr>
          <w:rFonts w:ascii="Arial" w:eastAsia="Arial" w:hAnsi="Arial" w:cs="Open Sans"/>
          <w:sz w:val="24"/>
          <w:szCs w:val="24"/>
        </w:rPr>
        <w:t>A comparação</w:t>
      </w:r>
      <w:r w:rsidR="00A91BC1" w:rsidRPr="004262DA">
        <w:rPr>
          <w:rFonts w:ascii="Arial" w:eastAsia="Arial" w:hAnsi="Arial" w:cs="Open Sans"/>
          <w:sz w:val="24"/>
          <w:szCs w:val="24"/>
        </w:rPr>
        <w:t xml:space="preserve"> entre a técnica sorológica ELISA e a análise molecular PCR-RFLP para a identificação do repasto sanguíneo de flebotomíneos mostrou que a sorologia é um método mais demorado e pouco sensível, que requer o ingurgitamento de maior volume sanguíneo do inseto</w:t>
      </w:r>
      <w:r w:rsidRPr="004262DA">
        <w:rPr>
          <w:rFonts w:ascii="Arial" w:eastAsia="Arial" w:hAnsi="Arial" w:cs="Open Sans"/>
          <w:sz w:val="24"/>
          <w:szCs w:val="24"/>
        </w:rPr>
        <w:t xml:space="preserve"> e</w:t>
      </w:r>
      <w:r w:rsidR="00A91BC1" w:rsidRPr="004262DA">
        <w:rPr>
          <w:rFonts w:ascii="Arial" w:eastAsia="Arial" w:hAnsi="Arial" w:cs="Open Sans"/>
          <w:sz w:val="24"/>
          <w:szCs w:val="24"/>
        </w:rPr>
        <w:t xml:space="preserve"> revela equívocos pela chance de reação cruzada entre as espécies (HAOUAS et al., 2007). </w:t>
      </w:r>
    </w:p>
    <w:p w14:paraId="35C0F0E6" w14:textId="44B6F0A1" w:rsidR="00930701" w:rsidRPr="00334D8E" w:rsidRDefault="00A91BC1" w:rsidP="00C241B7">
      <w:pPr>
        <w:spacing w:after="0" w:line="360" w:lineRule="auto"/>
        <w:ind w:firstLine="720"/>
        <w:jc w:val="both"/>
        <w:rPr>
          <w:rFonts w:ascii="Open Sans" w:eastAsia="Arial" w:hAnsi="Open Sans" w:cs="Open Sans"/>
          <w:sz w:val="24"/>
          <w:szCs w:val="24"/>
        </w:rPr>
      </w:pPr>
      <w:r w:rsidRPr="004262DA">
        <w:rPr>
          <w:rFonts w:ascii="Arial" w:eastAsia="Arial" w:hAnsi="Arial" w:cs="Open Sans"/>
          <w:sz w:val="24"/>
          <w:szCs w:val="24"/>
        </w:rPr>
        <w:t>Inversamente, a técnica molecular configura alternativa mais viável em estudos associativos da relação hospedeiro vetor-vertebrado, pois é capaz de analisar componentes de uma única amostra de DNA de múltiplas espécies e identificar várias fontes de repasto, o que permite elucidar o comportamento alimentar e o potencial vetorial dos mosquitos nas áreas endêmicas (MALEKI-RAVASAN et al., 2009).</w:t>
      </w:r>
      <w:r w:rsidRPr="00DF6CBF">
        <w:rPr>
          <w:rFonts w:ascii="Arial" w:eastAsia="Arial" w:hAnsi="Arial" w:cs="Open Sans"/>
          <w:sz w:val="24"/>
          <w:szCs w:val="24"/>
        </w:rPr>
        <w:t xml:space="preserve"> </w:t>
      </w:r>
    </w:p>
    <w:p w14:paraId="45E67974" w14:textId="77777777" w:rsidR="00930701" w:rsidRPr="00334D8E" w:rsidRDefault="00930701">
      <w:pPr>
        <w:spacing w:after="0" w:line="360" w:lineRule="auto"/>
        <w:jc w:val="both"/>
        <w:rPr>
          <w:rFonts w:ascii="Open Sans" w:eastAsia="Arial" w:hAnsi="Open Sans" w:cs="Open Sans"/>
          <w:b/>
          <w:sz w:val="24"/>
          <w:szCs w:val="24"/>
        </w:rPr>
      </w:pPr>
    </w:p>
    <w:p w14:paraId="35CE1F13" w14:textId="77777777" w:rsidR="00930701" w:rsidRPr="00334D8E" w:rsidRDefault="00486485">
      <w:pPr>
        <w:numPr>
          <w:ilvl w:val="0"/>
          <w:numId w:val="2"/>
        </w:numPr>
        <w:spacing w:after="0" w:line="360" w:lineRule="auto"/>
        <w:jc w:val="both"/>
        <w:rPr>
          <w:rFonts w:ascii="Open Sans" w:eastAsia="Arial" w:hAnsi="Open Sans" w:cs="Open Sans"/>
          <w:b/>
          <w:sz w:val="24"/>
          <w:szCs w:val="24"/>
        </w:rPr>
      </w:pPr>
      <w:r w:rsidRPr="00DF6CBF">
        <w:rPr>
          <w:rFonts w:ascii="Arial" w:eastAsia="Arial" w:hAnsi="Arial" w:cs="Open Sans"/>
          <w:b/>
          <w:sz w:val="24"/>
          <w:szCs w:val="24"/>
        </w:rPr>
        <w:lastRenderedPageBreak/>
        <w:t>OBJETIVOS</w:t>
      </w:r>
    </w:p>
    <w:p w14:paraId="3F8ADDC4" w14:textId="1DBB0C60" w:rsidR="00930701" w:rsidRPr="00334D8E" w:rsidRDefault="00E518E6" w:rsidP="00E518E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F6CBF">
        <w:rPr>
          <w:rFonts w:ascii="Arial" w:eastAsia="Arial" w:hAnsi="Arial" w:cs="Open Sans"/>
          <w:sz w:val="24"/>
          <w:szCs w:val="24"/>
        </w:rPr>
        <w:tab/>
      </w:r>
      <w:r w:rsidR="001551B1" w:rsidRPr="00334D8E">
        <w:rPr>
          <w:rFonts w:ascii="Arial" w:eastAsia="Arial" w:hAnsi="Arial" w:cs="Arial"/>
          <w:sz w:val="24"/>
          <w:szCs w:val="24"/>
        </w:rPr>
        <w:t>Identificar</w:t>
      </w:r>
      <w:r w:rsidRPr="00334D8E">
        <w:rPr>
          <w:rFonts w:ascii="Arial" w:eastAsia="Arial" w:hAnsi="Arial" w:cs="Arial"/>
          <w:sz w:val="24"/>
          <w:szCs w:val="24"/>
        </w:rPr>
        <w:t xml:space="preserve"> e descrever</w:t>
      </w:r>
      <w:r w:rsidR="001551B1" w:rsidRPr="00334D8E">
        <w:rPr>
          <w:rFonts w:ascii="Arial" w:eastAsia="Arial" w:hAnsi="Arial" w:cs="Arial"/>
          <w:sz w:val="24"/>
          <w:szCs w:val="24"/>
        </w:rPr>
        <w:t xml:space="preserve"> os </w:t>
      </w:r>
      <w:r w:rsidR="001551B1" w:rsidRPr="00334D8E">
        <w:rPr>
          <w:rFonts w:ascii="Arial" w:eastAsia="Arial" w:hAnsi="Arial" w:cs="Arial"/>
          <w:i/>
          <w:iCs/>
          <w:sz w:val="24"/>
          <w:szCs w:val="24"/>
        </w:rPr>
        <w:t>primers</w:t>
      </w:r>
      <w:r w:rsidR="001551B1" w:rsidRPr="00334D8E">
        <w:rPr>
          <w:rFonts w:ascii="Arial" w:eastAsia="Arial" w:hAnsi="Arial" w:cs="Arial"/>
          <w:sz w:val="24"/>
          <w:szCs w:val="24"/>
        </w:rPr>
        <w:t xml:space="preserve"> mais sensíveis e específicos ou a taxa de sucesso para detecção do DNA de vertebrados urbanos envolvidos na transmissão da leishmaniose (</w:t>
      </w:r>
      <w:r w:rsidR="001551B1" w:rsidRPr="00334D8E">
        <w:rPr>
          <w:rFonts w:ascii="Arial" w:eastAsia="Arial" w:hAnsi="Arial" w:cs="Arial"/>
          <w:i/>
          <w:iCs/>
          <w:sz w:val="24"/>
          <w:szCs w:val="24"/>
        </w:rPr>
        <w:t xml:space="preserve">Canis familiaris; Felis catus; Homo sapiens; Rattus sp. e Gallus </w:t>
      </w:r>
      <w:proofErr w:type="spellStart"/>
      <w:r w:rsidR="001551B1" w:rsidRPr="00334D8E">
        <w:rPr>
          <w:rFonts w:ascii="Arial" w:eastAsia="Arial" w:hAnsi="Arial" w:cs="Arial"/>
          <w:i/>
          <w:iCs/>
          <w:sz w:val="24"/>
          <w:szCs w:val="24"/>
        </w:rPr>
        <w:t>gallus</w:t>
      </w:r>
      <w:proofErr w:type="spellEnd"/>
      <w:r w:rsidR="001551B1" w:rsidRPr="00334D8E">
        <w:rPr>
          <w:rFonts w:ascii="Arial" w:eastAsia="Arial" w:hAnsi="Arial" w:cs="Arial"/>
          <w:sz w:val="24"/>
          <w:szCs w:val="24"/>
        </w:rPr>
        <w:t>)</w:t>
      </w:r>
      <w:r w:rsidRPr="00334D8E">
        <w:rPr>
          <w:rFonts w:ascii="Arial" w:eastAsia="Arial" w:hAnsi="Arial" w:cs="Arial"/>
          <w:sz w:val="24"/>
          <w:szCs w:val="24"/>
        </w:rPr>
        <w:t xml:space="preserve"> e</w:t>
      </w:r>
      <w:r w:rsidR="001551B1" w:rsidRPr="00334D8E">
        <w:rPr>
          <w:rFonts w:ascii="Arial" w:eastAsia="Arial" w:hAnsi="Arial" w:cs="Arial"/>
          <w:sz w:val="24"/>
          <w:szCs w:val="24"/>
        </w:rPr>
        <w:t xml:space="preserve"> as variações das técnicas de PCR</w:t>
      </w:r>
      <w:r w:rsidRPr="00334D8E">
        <w:rPr>
          <w:rFonts w:ascii="Arial" w:eastAsia="Arial" w:hAnsi="Arial" w:cs="Arial"/>
          <w:sz w:val="24"/>
          <w:szCs w:val="24"/>
        </w:rPr>
        <w:t>, descritos em testes de diagnósticos, publicados na literatura científica</w:t>
      </w:r>
      <w:r w:rsidR="006048A4" w:rsidRPr="00334D8E">
        <w:rPr>
          <w:rFonts w:ascii="Arial" w:eastAsia="Arial" w:hAnsi="Arial" w:cs="Arial"/>
          <w:sz w:val="24"/>
          <w:szCs w:val="24"/>
        </w:rPr>
        <w:t>.</w:t>
      </w:r>
    </w:p>
    <w:p w14:paraId="340F8DE5" w14:textId="77777777" w:rsidR="001551B1" w:rsidRPr="00334D8E" w:rsidRDefault="001551B1" w:rsidP="001551B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1A680C" w14:textId="77777777" w:rsidR="00930701" w:rsidRPr="00334D8E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34D8E">
        <w:rPr>
          <w:rFonts w:ascii="Arial" w:eastAsia="Arial" w:hAnsi="Arial" w:cs="Arial"/>
          <w:b/>
          <w:sz w:val="24"/>
          <w:szCs w:val="24"/>
        </w:rPr>
        <w:t>METODOLOGIA</w:t>
      </w:r>
    </w:p>
    <w:p w14:paraId="57601712" w14:textId="396AD780" w:rsidR="006048A4" w:rsidRPr="00334D8E" w:rsidRDefault="006048A4" w:rsidP="00F0703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34D8E">
        <w:rPr>
          <w:rFonts w:ascii="Arial" w:eastAsia="Arial" w:hAnsi="Arial" w:cs="Arial"/>
          <w:sz w:val="24"/>
          <w:szCs w:val="24"/>
        </w:rPr>
        <w:t xml:space="preserve">Este estudo trata-se de uma revisão sistemática da literatura </w:t>
      </w:r>
      <w:r w:rsidR="00887334" w:rsidRPr="00334D8E">
        <w:rPr>
          <w:rFonts w:ascii="Arial" w:eastAsia="Arial" w:hAnsi="Arial" w:cs="Arial"/>
          <w:sz w:val="24"/>
          <w:szCs w:val="24"/>
        </w:rPr>
        <w:t>com base nas</w:t>
      </w:r>
      <w:r w:rsidRPr="00334D8E">
        <w:rPr>
          <w:rFonts w:ascii="Arial" w:eastAsia="Arial" w:hAnsi="Arial" w:cs="Arial"/>
          <w:sz w:val="24"/>
          <w:szCs w:val="24"/>
        </w:rPr>
        <w:t xml:space="preserve"> diretrizes estabelecidas no protocolo PRISMA (</w:t>
      </w:r>
      <w:r w:rsidRPr="004262DA">
        <w:rPr>
          <w:rFonts w:ascii="Arial" w:eastAsia="Arial" w:hAnsi="Arial" w:cs="Arial"/>
          <w:sz w:val="24"/>
          <w:szCs w:val="24"/>
        </w:rPr>
        <w:t>PAGE, 2023).</w:t>
      </w:r>
      <w:r w:rsidR="00887334" w:rsidRPr="004262DA">
        <w:rPr>
          <w:rFonts w:ascii="Arial" w:eastAsia="Arial" w:hAnsi="Arial" w:cs="Arial"/>
          <w:sz w:val="24"/>
          <w:szCs w:val="24"/>
        </w:rPr>
        <w:t xml:space="preserve"> </w:t>
      </w:r>
      <w:r w:rsidRPr="004262DA">
        <w:rPr>
          <w:rFonts w:ascii="Arial" w:eastAsia="Arial" w:hAnsi="Arial" w:cs="Arial"/>
          <w:sz w:val="24"/>
          <w:szCs w:val="24"/>
        </w:rPr>
        <w:t xml:space="preserve">As buscas eletrônicas foram de forma pareada e independente </w:t>
      </w:r>
      <w:r w:rsidR="00BA40E3" w:rsidRPr="004262DA">
        <w:rPr>
          <w:rFonts w:ascii="Arial" w:eastAsia="Arial" w:hAnsi="Arial" w:cs="Arial"/>
          <w:sz w:val="24"/>
          <w:szCs w:val="24"/>
        </w:rPr>
        <w:t xml:space="preserve">realizadas </w:t>
      </w:r>
      <w:r w:rsidRPr="004262DA">
        <w:rPr>
          <w:rFonts w:ascii="Arial" w:eastAsia="Arial" w:hAnsi="Arial" w:cs="Arial"/>
          <w:sz w:val="24"/>
          <w:szCs w:val="24"/>
        </w:rPr>
        <w:t>entre abril e junho de 2024, sem restrições ao idioma, país de origem e data, nas bases de dados MEDLINE, EMBASE, LILACS, SCOPUS, WEB OF SCIENCE e SCIELO. A estratégia de pesquisa foi composta por descritores descrevendo a população “</w:t>
      </w:r>
      <w:proofErr w:type="spellStart"/>
      <w:r w:rsidRPr="004262DA">
        <w:rPr>
          <w:rFonts w:ascii="Arial" w:eastAsia="Arial" w:hAnsi="Arial" w:cs="Arial"/>
          <w:sz w:val="24"/>
          <w:szCs w:val="24"/>
        </w:rPr>
        <w:t>Phlebotomines</w:t>
      </w:r>
      <w:proofErr w:type="spellEnd"/>
      <w:r w:rsidRPr="004262DA">
        <w:rPr>
          <w:rFonts w:ascii="Arial" w:eastAsia="Arial" w:hAnsi="Arial" w:cs="Arial"/>
          <w:sz w:val="24"/>
          <w:szCs w:val="24"/>
        </w:rPr>
        <w:t>”, o teste utilizado “</w:t>
      </w:r>
      <w:proofErr w:type="spellStart"/>
      <w:r w:rsidRPr="004262DA">
        <w:rPr>
          <w:rFonts w:ascii="Arial" w:eastAsia="Arial" w:hAnsi="Arial" w:cs="Arial"/>
          <w:sz w:val="24"/>
          <w:szCs w:val="24"/>
        </w:rPr>
        <w:t>Polymerase</w:t>
      </w:r>
      <w:proofErr w:type="spellEnd"/>
      <w:r w:rsidRPr="004262D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262DA">
        <w:rPr>
          <w:rFonts w:ascii="Arial" w:eastAsia="Arial" w:hAnsi="Arial" w:cs="Arial"/>
          <w:sz w:val="24"/>
          <w:szCs w:val="24"/>
        </w:rPr>
        <w:t>chain</w:t>
      </w:r>
      <w:proofErr w:type="spellEnd"/>
      <w:r w:rsidRPr="004262D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262DA">
        <w:rPr>
          <w:rFonts w:ascii="Arial" w:eastAsia="Arial" w:hAnsi="Arial" w:cs="Arial"/>
          <w:sz w:val="24"/>
          <w:szCs w:val="24"/>
        </w:rPr>
        <w:t>reaction</w:t>
      </w:r>
      <w:proofErr w:type="spellEnd"/>
      <w:r w:rsidRPr="004262DA">
        <w:rPr>
          <w:rFonts w:ascii="Arial" w:eastAsia="Arial" w:hAnsi="Arial" w:cs="Arial"/>
          <w:sz w:val="24"/>
          <w:szCs w:val="24"/>
        </w:rPr>
        <w:t>” e o desfecho esperado “</w:t>
      </w:r>
      <w:proofErr w:type="spellStart"/>
      <w:r w:rsidRPr="004262DA">
        <w:rPr>
          <w:rFonts w:ascii="Arial" w:eastAsia="Arial" w:hAnsi="Arial" w:cs="Arial"/>
          <w:sz w:val="24"/>
          <w:szCs w:val="24"/>
        </w:rPr>
        <w:t>Blood</w:t>
      </w:r>
      <w:proofErr w:type="spellEnd"/>
      <w:r w:rsidRPr="004262D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262DA">
        <w:rPr>
          <w:rFonts w:ascii="Arial" w:eastAsia="Arial" w:hAnsi="Arial" w:cs="Arial"/>
          <w:sz w:val="24"/>
          <w:szCs w:val="24"/>
        </w:rPr>
        <w:t>meal</w:t>
      </w:r>
      <w:proofErr w:type="spellEnd"/>
      <w:r w:rsidRPr="004262DA">
        <w:rPr>
          <w:rFonts w:ascii="Arial" w:eastAsia="Arial" w:hAnsi="Arial" w:cs="Arial"/>
          <w:sz w:val="24"/>
          <w:szCs w:val="24"/>
        </w:rPr>
        <w:t xml:space="preserve">” combinados </w:t>
      </w:r>
      <w:r w:rsidR="00F07031" w:rsidRPr="004262DA">
        <w:rPr>
          <w:rFonts w:ascii="Arial" w:eastAsia="Arial" w:hAnsi="Arial" w:cs="Arial"/>
          <w:sz w:val="24"/>
          <w:szCs w:val="24"/>
        </w:rPr>
        <w:t>pel</w:t>
      </w:r>
      <w:r w:rsidRPr="004262DA">
        <w:rPr>
          <w:rFonts w:ascii="Arial" w:eastAsia="Arial" w:hAnsi="Arial" w:cs="Arial"/>
          <w:sz w:val="24"/>
          <w:szCs w:val="24"/>
        </w:rPr>
        <w:t>os operadores booleanos OR e AND</w:t>
      </w:r>
      <w:r w:rsidR="00F07031" w:rsidRPr="004262DA">
        <w:rPr>
          <w:rFonts w:ascii="Arial" w:eastAsia="Arial" w:hAnsi="Arial" w:cs="Arial"/>
          <w:sz w:val="24"/>
          <w:szCs w:val="24"/>
        </w:rPr>
        <w:t>. Os estudos primários</w:t>
      </w:r>
      <w:r w:rsidR="00DB5492" w:rsidRPr="004262DA">
        <w:rPr>
          <w:rFonts w:ascii="Arial" w:eastAsia="Arial" w:hAnsi="Arial" w:cs="Arial"/>
          <w:sz w:val="24"/>
          <w:szCs w:val="24"/>
        </w:rPr>
        <w:t xml:space="preserve"> também foram</w:t>
      </w:r>
      <w:r w:rsidR="00F07031" w:rsidRPr="004262DA">
        <w:rPr>
          <w:rFonts w:ascii="Arial" w:eastAsia="Arial" w:hAnsi="Arial" w:cs="Arial"/>
          <w:sz w:val="24"/>
          <w:szCs w:val="24"/>
        </w:rPr>
        <w:t xml:space="preserve"> triados</w:t>
      </w:r>
      <w:r w:rsidR="00DB5492" w:rsidRPr="004262DA">
        <w:rPr>
          <w:rFonts w:ascii="Arial" w:eastAsia="Arial" w:hAnsi="Arial" w:cs="Arial"/>
          <w:sz w:val="24"/>
          <w:szCs w:val="24"/>
        </w:rPr>
        <w:t xml:space="preserve"> de forma pareada e independente entre dois revisores,</w:t>
      </w:r>
      <w:r w:rsidR="00F07031" w:rsidRPr="004262DA">
        <w:rPr>
          <w:rFonts w:ascii="Arial" w:eastAsia="Arial" w:hAnsi="Arial" w:cs="Arial"/>
          <w:sz w:val="24"/>
          <w:szCs w:val="24"/>
        </w:rPr>
        <w:t xml:space="preserve"> </w:t>
      </w:r>
      <w:r w:rsidR="00172BC9" w:rsidRPr="004262DA">
        <w:rPr>
          <w:rFonts w:ascii="Arial" w:eastAsia="Arial" w:hAnsi="Arial" w:cs="Arial"/>
          <w:sz w:val="24"/>
          <w:szCs w:val="24"/>
        </w:rPr>
        <w:t>foram removidos artigos</w:t>
      </w:r>
      <w:r w:rsidR="00F07031" w:rsidRPr="004262DA">
        <w:rPr>
          <w:rFonts w:ascii="Arial" w:eastAsia="Arial" w:hAnsi="Arial" w:cs="Arial"/>
          <w:sz w:val="24"/>
          <w:szCs w:val="24"/>
        </w:rPr>
        <w:t xml:space="preserve"> duplicações e avaliados com base nos critérios de elegibilidade previamente definidos a partir da leitura do título e resumo. O índice Kappa de Cohen (1960) foi usado para avaliar a concordância entre </w:t>
      </w:r>
      <w:r w:rsidR="002E0FF8" w:rsidRPr="004262DA">
        <w:rPr>
          <w:rFonts w:ascii="Arial" w:eastAsia="Arial" w:hAnsi="Arial" w:cs="Arial"/>
          <w:sz w:val="24"/>
          <w:szCs w:val="24"/>
        </w:rPr>
        <w:t>os avaliadores</w:t>
      </w:r>
      <w:r w:rsidR="00F07031" w:rsidRPr="004262DA">
        <w:rPr>
          <w:rFonts w:ascii="Arial" w:eastAsia="Arial" w:hAnsi="Arial" w:cs="Arial"/>
          <w:sz w:val="24"/>
          <w:szCs w:val="24"/>
        </w:rPr>
        <w:t>.</w:t>
      </w:r>
    </w:p>
    <w:p w14:paraId="20D94892" w14:textId="741A78F3" w:rsidR="00F07031" w:rsidRPr="00334D8E" w:rsidRDefault="00F07031" w:rsidP="00F07031">
      <w:pPr>
        <w:spacing w:after="0" w:line="360" w:lineRule="auto"/>
        <w:ind w:firstLine="709"/>
        <w:jc w:val="both"/>
        <w:rPr>
          <w:rFonts w:ascii="Open Sans" w:eastAsia="Arial" w:hAnsi="Open Sans" w:cs="Open Sans"/>
          <w:sz w:val="24"/>
          <w:szCs w:val="24"/>
        </w:rPr>
      </w:pPr>
      <w:r w:rsidRPr="00DF6CBF">
        <w:rPr>
          <w:rFonts w:ascii="Arial" w:eastAsia="Arial" w:hAnsi="Arial" w:cs="Open Sans"/>
          <w:sz w:val="24"/>
          <w:szCs w:val="24"/>
        </w:rPr>
        <w:t xml:space="preserve">A extração dos dados dos artigos selecionados foi registrada em um formulário padrão criado no software Excel ®. A análise da qualidade metodológica dos artigos foi realizada para reduzir o viés de informação e de seleção através do “Checklist para estudos analíticos transversais” que faz parte das Ferramentas de Avaliação Crítica para uso em Revisões Sistemáticas do </w:t>
      </w:r>
      <w:commentRangeStart w:id="2"/>
      <w:r w:rsidRPr="00334D8E">
        <w:rPr>
          <w:rFonts w:ascii="Arial" w:eastAsia="Arial" w:hAnsi="Arial" w:cs="Open Sans"/>
          <w:i/>
          <w:iCs/>
          <w:sz w:val="24"/>
          <w:szCs w:val="24"/>
        </w:rPr>
        <w:t xml:space="preserve">Joanna Briggs </w:t>
      </w:r>
      <w:proofErr w:type="spellStart"/>
      <w:r w:rsidRPr="00334D8E">
        <w:rPr>
          <w:rFonts w:ascii="Arial" w:eastAsia="Arial" w:hAnsi="Arial" w:cs="Open Sans"/>
          <w:i/>
          <w:iCs/>
          <w:sz w:val="24"/>
          <w:szCs w:val="24"/>
        </w:rPr>
        <w:t>Institute</w:t>
      </w:r>
      <w:proofErr w:type="spellEnd"/>
      <w:r w:rsidRPr="00DF6CBF">
        <w:rPr>
          <w:rFonts w:ascii="Arial" w:eastAsia="Arial" w:hAnsi="Arial" w:cs="Open Sans"/>
          <w:sz w:val="24"/>
          <w:szCs w:val="24"/>
        </w:rPr>
        <w:t xml:space="preserve"> (JBI). </w:t>
      </w:r>
      <w:commentRangeEnd w:id="2"/>
      <w:r w:rsidR="00F77C38" w:rsidRPr="00334D8E">
        <w:rPr>
          <w:rStyle w:val="Refdecomentrio"/>
          <w:rFonts w:ascii="Arial" w:hAnsi="Arial" w:cs="Open Sans"/>
          <w:sz w:val="24"/>
        </w:rPr>
        <w:commentReference w:id="2"/>
      </w:r>
      <w:r w:rsidRPr="00DF6CBF">
        <w:rPr>
          <w:rFonts w:ascii="Arial" w:eastAsia="Arial" w:hAnsi="Arial" w:cs="Open Sans"/>
          <w:sz w:val="24"/>
          <w:szCs w:val="24"/>
        </w:rPr>
        <w:t xml:space="preserve">Após a extração dos dados, foi realizada uma síntese qualitativa e narrativa das evidências disponíveis </w:t>
      </w:r>
      <w:r w:rsidRPr="00DF6CBF">
        <w:rPr>
          <w:rFonts w:ascii="Arial" w:eastAsia="Arial" w:hAnsi="Arial" w:cs="Open Sans"/>
          <w:sz w:val="24"/>
          <w:szCs w:val="24"/>
        </w:rPr>
        <w:lastRenderedPageBreak/>
        <w:t xml:space="preserve">para responder às questões desta revisão. Os dados obtidos sobre os </w:t>
      </w:r>
      <w:r w:rsidRPr="00DF6CBF">
        <w:rPr>
          <w:rFonts w:ascii="Arial" w:eastAsia="Arial" w:hAnsi="Arial" w:cs="Open Sans"/>
          <w:i/>
          <w:iCs/>
          <w:sz w:val="24"/>
          <w:szCs w:val="24"/>
        </w:rPr>
        <w:t>primers</w:t>
      </w:r>
      <w:r w:rsidRPr="00DF6CBF">
        <w:rPr>
          <w:rFonts w:ascii="Arial" w:eastAsia="Arial" w:hAnsi="Arial" w:cs="Open Sans"/>
          <w:sz w:val="24"/>
          <w:szCs w:val="24"/>
        </w:rPr>
        <w:t xml:space="preserve"> mais usuais e efetivos foram enquadrados em um teste de frequência </w:t>
      </w:r>
      <w:commentRangeStart w:id="3"/>
      <w:r w:rsidRPr="00DF6CBF">
        <w:rPr>
          <w:rFonts w:ascii="Arial" w:eastAsia="Arial" w:hAnsi="Arial" w:cs="Open Sans"/>
          <w:sz w:val="24"/>
          <w:szCs w:val="24"/>
        </w:rPr>
        <w:t>relativa e absoluta</w:t>
      </w:r>
      <w:commentRangeEnd w:id="3"/>
      <w:r w:rsidR="00645BC0" w:rsidRPr="00334D8E">
        <w:rPr>
          <w:rStyle w:val="Refdecomentrio"/>
          <w:rFonts w:ascii="Arial" w:hAnsi="Arial" w:cs="Open Sans"/>
          <w:sz w:val="24"/>
        </w:rPr>
        <w:commentReference w:id="3"/>
      </w:r>
      <w:r w:rsidRPr="00DF6CBF">
        <w:rPr>
          <w:rFonts w:ascii="Arial" w:eastAsia="Arial" w:hAnsi="Arial" w:cs="Open Sans"/>
          <w:sz w:val="24"/>
          <w:szCs w:val="24"/>
        </w:rPr>
        <w:t>.</w:t>
      </w:r>
    </w:p>
    <w:p w14:paraId="19D66D45" w14:textId="77777777" w:rsidR="00F07031" w:rsidRPr="00334D8E" w:rsidRDefault="00F07031" w:rsidP="00F07031">
      <w:pPr>
        <w:spacing w:after="0" w:line="360" w:lineRule="auto"/>
        <w:ind w:firstLine="709"/>
        <w:jc w:val="both"/>
        <w:rPr>
          <w:rFonts w:ascii="Open Sans" w:eastAsia="Arial" w:hAnsi="Open Sans" w:cs="Open Sans"/>
          <w:sz w:val="24"/>
          <w:szCs w:val="24"/>
        </w:rPr>
      </w:pPr>
    </w:p>
    <w:p w14:paraId="01D81640" w14:textId="63693D43" w:rsidR="00930701" w:rsidRPr="00334D8E" w:rsidRDefault="00486485">
      <w:pPr>
        <w:numPr>
          <w:ilvl w:val="0"/>
          <w:numId w:val="2"/>
        </w:numPr>
        <w:spacing w:after="0" w:line="360" w:lineRule="auto"/>
        <w:jc w:val="both"/>
        <w:rPr>
          <w:rFonts w:ascii="Open Sans" w:eastAsia="Arial" w:hAnsi="Open Sans" w:cs="Open Sans"/>
          <w:b/>
          <w:sz w:val="24"/>
          <w:szCs w:val="24"/>
        </w:rPr>
      </w:pPr>
      <w:r w:rsidRPr="00DF6CBF">
        <w:rPr>
          <w:rFonts w:ascii="Arial" w:eastAsia="Arial" w:hAnsi="Arial" w:cs="Open Sans"/>
          <w:b/>
          <w:sz w:val="24"/>
          <w:szCs w:val="24"/>
        </w:rPr>
        <w:t>RESULTADOS E DISCUSSÃO</w:t>
      </w:r>
    </w:p>
    <w:p w14:paraId="273F6883" w14:textId="4232BA47" w:rsidR="00887334" w:rsidRPr="00334D8E" w:rsidRDefault="00F07031" w:rsidP="00E518E6">
      <w:pPr>
        <w:spacing w:after="0" w:line="360" w:lineRule="auto"/>
        <w:ind w:firstLine="709"/>
        <w:jc w:val="both"/>
        <w:rPr>
          <w:rFonts w:ascii="Open Sans" w:eastAsia="Arial" w:hAnsi="Open Sans" w:cs="Open Sans"/>
          <w:sz w:val="24"/>
          <w:szCs w:val="24"/>
        </w:rPr>
      </w:pPr>
      <w:r w:rsidRPr="00DF6CBF">
        <w:rPr>
          <w:rFonts w:ascii="Arial" w:eastAsia="Arial" w:hAnsi="Arial" w:cs="Open Sans"/>
          <w:sz w:val="24"/>
          <w:szCs w:val="24"/>
        </w:rPr>
        <w:t>Vinte e dois artigos foram considerados elegíveis e incluídos nesta revisão.</w:t>
      </w:r>
      <w:r w:rsidR="00887334" w:rsidRPr="00DF6CBF">
        <w:rPr>
          <w:rFonts w:ascii="Arial" w:eastAsia="Arial" w:hAnsi="Arial" w:cs="Open Sans"/>
          <w:sz w:val="24"/>
          <w:szCs w:val="24"/>
        </w:rPr>
        <w:t xml:space="preserve"> O índice Kappa de Cohen (1960) foi de aproximadamente 0.634, o que representa um bom nível de consistência nas decisões de seleção dos artigos pelos revisores.</w:t>
      </w:r>
      <w:r w:rsidR="00E518E6" w:rsidRPr="00DF6CBF">
        <w:rPr>
          <w:rFonts w:ascii="Arial" w:eastAsia="Arial" w:hAnsi="Arial" w:cs="Open Sans"/>
          <w:sz w:val="24"/>
          <w:szCs w:val="24"/>
        </w:rPr>
        <w:t xml:space="preserve"> </w:t>
      </w:r>
      <w:r w:rsidR="00887334" w:rsidRPr="00DF6CBF">
        <w:rPr>
          <w:rFonts w:ascii="Arial" w:eastAsia="Arial" w:hAnsi="Arial" w:cs="Open Sans"/>
          <w:sz w:val="24"/>
          <w:szCs w:val="24"/>
        </w:rPr>
        <w:t>Apenas 40,9% (9/22) dos estudos foram avaliados com qualidade alta e risco de viés baixo. 18,8% (4/22) foram avaliados com baixa qualidade e alto risco de viés. Os demais foram avaliados com qualidade e risco moderados (9/22; 40,9%).</w:t>
      </w:r>
    </w:p>
    <w:p w14:paraId="48133F44" w14:textId="093205AA" w:rsidR="00887334" w:rsidRPr="004262DA" w:rsidRDefault="00887334">
      <w:pPr>
        <w:spacing w:after="0" w:line="360" w:lineRule="auto"/>
        <w:ind w:firstLine="709"/>
        <w:jc w:val="both"/>
        <w:rPr>
          <w:rFonts w:ascii="Arial" w:eastAsia="Arial" w:hAnsi="Arial" w:cs="Open Sans"/>
          <w:sz w:val="24"/>
          <w:szCs w:val="24"/>
        </w:rPr>
      </w:pPr>
      <w:r w:rsidRPr="00DF6CBF">
        <w:rPr>
          <w:rFonts w:ascii="Arial" w:eastAsia="Arial" w:hAnsi="Arial" w:cs="Open Sans"/>
          <w:sz w:val="24"/>
          <w:szCs w:val="24"/>
        </w:rPr>
        <w:t xml:space="preserve">Os vinte e dois estudos incluídos nesta revisão foram publicados entre 2008 a 2023. Os critérios mencionados para realização da amostragem foram: período de estação ativa do mosquito, no geral, do final da tarde ao amanhecer, em diferentes </w:t>
      </w:r>
      <w:proofErr w:type="spellStart"/>
      <w:r w:rsidRPr="00DF6CBF">
        <w:rPr>
          <w:rFonts w:ascii="Arial" w:eastAsia="Arial" w:hAnsi="Arial" w:cs="Open Sans"/>
          <w:sz w:val="24"/>
          <w:szCs w:val="24"/>
        </w:rPr>
        <w:t>ecótipos</w:t>
      </w:r>
      <w:proofErr w:type="spellEnd"/>
      <w:r w:rsidRPr="00DF6CBF">
        <w:rPr>
          <w:rFonts w:ascii="Arial" w:eastAsia="Arial" w:hAnsi="Arial" w:cs="Open Sans"/>
          <w:sz w:val="24"/>
          <w:szCs w:val="24"/>
        </w:rPr>
        <w:t xml:space="preserve"> (peridomicílio, domicílio e floresta, o relato de casos autóctones de leishmaniose cutânea e próximo aos locais de habitação de animais.</w:t>
      </w:r>
    </w:p>
    <w:p w14:paraId="34C00EC5" w14:textId="71862661" w:rsidR="008F0AB7" w:rsidRDefault="00070512" w:rsidP="00E518E6">
      <w:pPr>
        <w:spacing w:after="0" w:line="360" w:lineRule="auto"/>
        <w:ind w:firstLine="709"/>
        <w:jc w:val="both"/>
        <w:rPr>
          <w:rFonts w:ascii="Arial" w:eastAsia="Arial" w:hAnsi="Arial" w:cs="Open Sans"/>
          <w:sz w:val="24"/>
          <w:szCs w:val="24"/>
        </w:rPr>
      </w:pPr>
      <w:r w:rsidRPr="004262DA">
        <w:rPr>
          <w:rFonts w:ascii="Arial" w:eastAsia="Arial" w:hAnsi="Arial" w:cs="Open Sans"/>
          <w:sz w:val="24"/>
          <w:szCs w:val="24"/>
        </w:rPr>
        <w:t xml:space="preserve">Os </w:t>
      </w:r>
      <w:r w:rsidR="008F0AB7" w:rsidRPr="004262DA">
        <w:rPr>
          <w:rFonts w:ascii="Arial" w:eastAsia="Arial" w:hAnsi="Arial" w:cs="Open Sans"/>
          <w:i/>
          <w:iCs/>
          <w:sz w:val="24"/>
          <w:szCs w:val="24"/>
        </w:rPr>
        <w:t>primers</w:t>
      </w:r>
      <w:r w:rsidR="008F0AB7" w:rsidRPr="004262DA">
        <w:rPr>
          <w:rFonts w:ascii="Arial" w:eastAsia="Arial" w:hAnsi="Arial" w:cs="Open Sans"/>
          <w:sz w:val="24"/>
          <w:szCs w:val="24"/>
        </w:rPr>
        <w:t xml:space="preserve"> com melhor taxa de sucesso para detecção do DNA de vertebrados urbanos envolvidos na transmissão da leishmaniose </w:t>
      </w:r>
      <w:r w:rsidRPr="004262DA">
        <w:rPr>
          <w:rFonts w:ascii="Arial" w:eastAsia="Arial" w:hAnsi="Arial" w:cs="Open Sans"/>
          <w:sz w:val="24"/>
          <w:szCs w:val="24"/>
        </w:rPr>
        <w:t>foi o gene citocromo b (</w:t>
      </w:r>
      <w:proofErr w:type="spellStart"/>
      <w:r w:rsidRPr="004262DA">
        <w:rPr>
          <w:rFonts w:ascii="Arial" w:eastAsia="Arial" w:hAnsi="Arial" w:cs="Open Sans"/>
          <w:sz w:val="24"/>
          <w:szCs w:val="24"/>
        </w:rPr>
        <w:t>cyt</w:t>
      </w:r>
      <w:proofErr w:type="spellEnd"/>
      <w:r w:rsidRPr="004262DA">
        <w:rPr>
          <w:rFonts w:ascii="Arial" w:eastAsia="Arial" w:hAnsi="Arial" w:cs="Open Sans"/>
          <w:sz w:val="24"/>
          <w:szCs w:val="24"/>
        </w:rPr>
        <w:t xml:space="preserve"> b),</w:t>
      </w:r>
      <w:r w:rsidR="008F0AB7" w:rsidRPr="004262DA">
        <w:rPr>
          <w:rFonts w:ascii="Arial" w:eastAsia="Arial" w:hAnsi="Arial" w:cs="Open Sans"/>
          <w:sz w:val="24"/>
          <w:szCs w:val="24"/>
        </w:rPr>
        <w:t xml:space="preserve"> relatados por Dutra-Rêgo, F. et al. (2023; 100% de sucesso), Roy, L. et al. (2023</w:t>
      </w:r>
      <w:r w:rsidR="004A4A2C" w:rsidRPr="004262DA">
        <w:rPr>
          <w:rFonts w:ascii="Arial" w:eastAsia="Arial" w:hAnsi="Arial" w:cs="Open Sans"/>
          <w:sz w:val="24"/>
          <w:szCs w:val="24"/>
        </w:rPr>
        <w:t>),</w:t>
      </w:r>
      <w:r w:rsidR="008F0AB7" w:rsidRPr="004262DA">
        <w:rPr>
          <w:rFonts w:ascii="Arial" w:eastAsia="Arial" w:hAnsi="Arial" w:cs="Open Sans"/>
          <w:sz w:val="24"/>
          <w:szCs w:val="24"/>
        </w:rPr>
        <w:t xml:space="preserve"> </w:t>
      </w:r>
      <w:r w:rsidR="004A4A2C" w:rsidRPr="004262DA">
        <w:rPr>
          <w:rFonts w:ascii="Arial" w:eastAsia="Arial" w:hAnsi="Arial" w:cs="Open Sans"/>
          <w:sz w:val="24"/>
          <w:szCs w:val="24"/>
        </w:rPr>
        <w:t>(</w:t>
      </w:r>
      <w:r w:rsidR="008F0AB7" w:rsidRPr="004262DA">
        <w:rPr>
          <w:rFonts w:ascii="Arial" w:eastAsia="Arial" w:hAnsi="Arial" w:cs="Open Sans"/>
          <w:sz w:val="24"/>
          <w:szCs w:val="24"/>
        </w:rPr>
        <w:t xml:space="preserve">98,01% de sucesso) e </w:t>
      </w:r>
      <w:proofErr w:type="spellStart"/>
      <w:r w:rsidR="008F0AB7" w:rsidRPr="004262DA">
        <w:rPr>
          <w:rFonts w:ascii="Arial" w:eastAsia="Arial" w:hAnsi="Arial" w:cs="Open Sans"/>
          <w:sz w:val="24"/>
          <w:szCs w:val="24"/>
        </w:rPr>
        <w:t>Remadi</w:t>
      </w:r>
      <w:proofErr w:type="spellEnd"/>
      <w:r w:rsidR="008F0AB7" w:rsidRPr="004262DA">
        <w:rPr>
          <w:rFonts w:ascii="Arial" w:eastAsia="Arial" w:hAnsi="Arial" w:cs="Open Sans"/>
          <w:sz w:val="24"/>
          <w:szCs w:val="24"/>
        </w:rPr>
        <w:t>, Latifa et al. (2020</w:t>
      </w:r>
      <w:r w:rsidR="004A4A2C" w:rsidRPr="004262DA">
        <w:rPr>
          <w:rFonts w:ascii="Arial" w:eastAsia="Arial" w:hAnsi="Arial" w:cs="Open Sans"/>
          <w:sz w:val="24"/>
          <w:szCs w:val="24"/>
        </w:rPr>
        <w:t>)</w:t>
      </w:r>
      <w:r w:rsidR="008F0AB7" w:rsidRPr="004262DA">
        <w:rPr>
          <w:rFonts w:ascii="Arial" w:eastAsia="Arial" w:hAnsi="Arial" w:cs="Open Sans"/>
          <w:sz w:val="24"/>
          <w:szCs w:val="24"/>
        </w:rPr>
        <w:t xml:space="preserve"> </w:t>
      </w:r>
      <w:r w:rsidR="004A4A2C" w:rsidRPr="004262DA">
        <w:rPr>
          <w:rFonts w:ascii="Arial" w:eastAsia="Arial" w:hAnsi="Arial" w:cs="Open Sans"/>
          <w:sz w:val="24"/>
          <w:szCs w:val="24"/>
        </w:rPr>
        <w:t>(</w:t>
      </w:r>
      <w:r w:rsidR="008F0AB7" w:rsidRPr="004262DA">
        <w:rPr>
          <w:rFonts w:ascii="Arial" w:eastAsia="Arial" w:hAnsi="Arial" w:cs="Open Sans"/>
          <w:sz w:val="24"/>
          <w:szCs w:val="24"/>
        </w:rPr>
        <w:t xml:space="preserve">95,48% de sucesso), </w:t>
      </w:r>
      <w:r w:rsidR="004A4A2C" w:rsidRPr="004262DA">
        <w:rPr>
          <w:rFonts w:ascii="Arial" w:eastAsia="Arial" w:hAnsi="Arial" w:cs="Open Sans"/>
          <w:sz w:val="24"/>
          <w:szCs w:val="24"/>
        </w:rPr>
        <w:t xml:space="preserve">e o </w:t>
      </w:r>
      <w:r w:rsidR="0029041A" w:rsidRPr="004262DA">
        <w:rPr>
          <w:rFonts w:ascii="Arial" w:eastAsia="Arial" w:hAnsi="Arial" w:cs="Open Sans"/>
          <w:sz w:val="24"/>
          <w:szCs w:val="24"/>
        </w:rPr>
        <w:t>gene citocromo c oxidase I (COI) citado po</w:t>
      </w:r>
      <w:r w:rsidR="008F0AB7" w:rsidRPr="004262DA">
        <w:rPr>
          <w:rFonts w:ascii="Arial" w:eastAsia="Arial" w:hAnsi="Arial" w:cs="Open Sans"/>
          <w:sz w:val="24"/>
          <w:szCs w:val="24"/>
        </w:rPr>
        <w:t xml:space="preserve">r </w:t>
      </w:r>
      <w:proofErr w:type="spellStart"/>
      <w:r w:rsidR="008F0AB7" w:rsidRPr="004262DA">
        <w:rPr>
          <w:rFonts w:ascii="Arial" w:eastAsia="Arial" w:hAnsi="Arial" w:cs="Open Sans"/>
          <w:sz w:val="24"/>
          <w:szCs w:val="24"/>
        </w:rPr>
        <w:t>Bennai</w:t>
      </w:r>
      <w:proofErr w:type="spellEnd"/>
      <w:r w:rsidR="008F0AB7" w:rsidRPr="004262DA">
        <w:rPr>
          <w:rFonts w:ascii="Arial" w:eastAsia="Arial" w:hAnsi="Arial" w:cs="Open Sans"/>
          <w:sz w:val="24"/>
          <w:szCs w:val="24"/>
        </w:rPr>
        <w:t>, K. et al. (2018</w:t>
      </w:r>
      <w:r w:rsidR="0029041A" w:rsidRPr="004262DA">
        <w:rPr>
          <w:rFonts w:ascii="Arial" w:eastAsia="Arial" w:hAnsi="Arial" w:cs="Open Sans"/>
          <w:sz w:val="24"/>
          <w:szCs w:val="24"/>
        </w:rPr>
        <w:t>)</w:t>
      </w:r>
      <w:r w:rsidR="008F0AB7" w:rsidRPr="004262DA">
        <w:rPr>
          <w:rFonts w:ascii="Arial" w:eastAsia="Arial" w:hAnsi="Arial" w:cs="Open Sans"/>
          <w:sz w:val="24"/>
          <w:szCs w:val="24"/>
        </w:rPr>
        <w:t xml:space="preserve"> </w:t>
      </w:r>
      <w:r w:rsidR="0029041A" w:rsidRPr="004262DA">
        <w:rPr>
          <w:rFonts w:ascii="Arial" w:eastAsia="Arial" w:hAnsi="Arial" w:cs="Open Sans"/>
          <w:sz w:val="24"/>
          <w:szCs w:val="24"/>
        </w:rPr>
        <w:t>(</w:t>
      </w:r>
      <w:r w:rsidR="008F0AB7" w:rsidRPr="004262DA">
        <w:rPr>
          <w:rFonts w:ascii="Arial" w:eastAsia="Arial" w:hAnsi="Arial" w:cs="Open Sans"/>
          <w:sz w:val="24"/>
          <w:szCs w:val="24"/>
        </w:rPr>
        <w:t>97,70% de sucesso)</w:t>
      </w:r>
      <w:r w:rsidR="0029041A" w:rsidRPr="004262DA">
        <w:rPr>
          <w:rFonts w:ascii="Arial" w:eastAsia="Arial" w:hAnsi="Arial" w:cs="Open Sans"/>
          <w:sz w:val="24"/>
          <w:szCs w:val="24"/>
        </w:rPr>
        <w:t>. E</w:t>
      </w:r>
      <w:r w:rsidR="008F0AB7" w:rsidRPr="004262DA">
        <w:rPr>
          <w:rFonts w:ascii="Arial" w:eastAsia="Arial" w:hAnsi="Arial" w:cs="Open Sans"/>
          <w:sz w:val="24"/>
          <w:szCs w:val="24"/>
        </w:rPr>
        <w:t xml:space="preserve">sses quatro estudos utilizaram PCR convencional e os dois primeiros a mesma sequência de </w:t>
      </w:r>
      <w:proofErr w:type="spellStart"/>
      <w:r w:rsidR="0029041A" w:rsidRPr="004262DA">
        <w:rPr>
          <w:rFonts w:ascii="Arial" w:eastAsia="Arial" w:hAnsi="Arial" w:cs="Open Sans"/>
          <w:sz w:val="24"/>
          <w:szCs w:val="24"/>
        </w:rPr>
        <w:t>oligo</w:t>
      </w:r>
      <w:r w:rsidR="008F0AB7" w:rsidRPr="004262DA">
        <w:rPr>
          <w:rFonts w:ascii="Arial" w:eastAsia="Arial" w:hAnsi="Arial" w:cs="Open Sans"/>
          <w:sz w:val="24"/>
          <w:szCs w:val="24"/>
        </w:rPr>
        <w:t>nucleotídeos</w:t>
      </w:r>
      <w:proofErr w:type="spellEnd"/>
      <w:r w:rsidR="008F0AB7" w:rsidRPr="004262DA">
        <w:rPr>
          <w:rFonts w:ascii="Arial" w:eastAsia="Arial" w:hAnsi="Arial" w:cs="Open Sans"/>
          <w:sz w:val="24"/>
          <w:szCs w:val="24"/>
        </w:rPr>
        <w:t>.</w:t>
      </w:r>
    </w:p>
    <w:p w14:paraId="69A4C77E" w14:textId="77777777" w:rsidR="004262DA" w:rsidRPr="004262DA" w:rsidRDefault="004262DA" w:rsidP="00E518E6">
      <w:pPr>
        <w:spacing w:after="0" w:line="360" w:lineRule="auto"/>
        <w:ind w:firstLine="709"/>
        <w:jc w:val="both"/>
        <w:rPr>
          <w:rFonts w:ascii="Arial" w:eastAsia="Arial" w:hAnsi="Arial" w:cs="Open Sans"/>
          <w:sz w:val="24"/>
          <w:szCs w:val="24"/>
        </w:rPr>
      </w:pPr>
    </w:p>
    <w:p w14:paraId="0E787C8D" w14:textId="77777777" w:rsidR="00930701" w:rsidRPr="00334D8E" w:rsidRDefault="00486485">
      <w:pPr>
        <w:numPr>
          <w:ilvl w:val="0"/>
          <w:numId w:val="2"/>
        </w:numPr>
        <w:spacing w:after="0" w:line="360" w:lineRule="auto"/>
        <w:jc w:val="both"/>
        <w:rPr>
          <w:rFonts w:ascii="Open Sans" w:eastAsia="Arial" w:hAnsi="Open Sans" w:cs="Open Sans"/>
          <w:b/>
          <w:sz w:val="24"/>
          <w:szCs w:val="24"/>
        </w:rPr>
      </w:pPr>
      <w:r w:rsidRPr="00DF6CBF">
        <w:rPr>
          <w:rFonts w:ascii="Arial" w:eastAsia="Arial" w:hAnsi="Arial" w:cs="Open Sans"/>
          <w:b/>
          <w:sz w:val="24"/>
          <w:szCs w:val="24"/>
        </w:rPr>
        <w:t>CONCLUSÃO/CONSIDERAÇÕES FINAIS</w:t>
      </w:r>
    </w:p>
    <w:p w14:paraId="276E645F" w14:textId="4973A848" w:rsidR="00930701" w:rsidRPr="00334D8E" w:rsidRDefault="00887334" w:rsidP="00887334">
      <w:pPr>
        <w:spacing w:after="0" w:line="360" w:lineRule="auto"/>
        <w:jc w:val="both"/>
        <w:rPr>
          <w:rFonts w:ascii="Open Sans" w:eastAsia="Arial" w:hAnsi="Open Sans" w:cs="Open Sans"/>
          <w:sz w:val="24"/>
          <w:szCs w:val="24"/>
        </w:rPr>
      </w:pPr>
      <w:r w:rsidRPr="00DF6CBF">
        <w:rPr>
          <w:rFonts w:ascii="Arial" w:eastAsia="Arial" w:hAnsi="Arial" w:cs="Open Sans"/>
          <w:sz w:val="24"/>
          <w:szCs w:val="24"/>
        </w:rPr>
        <w:tab/>
        <w:t xml:space="preserve">Para conduzir este estudo, inicialmente projetado para ser uma revisão sistemática de acurácia diagnóstica, as ferramentas precisaram ser adaptadas e </w:t>
      </w:r>
      <w:r w:rsidRPr="00DF6CBF">
        <w:rPr>
          <w:rFonts w:ascii="Arial" w:eastAsia="Arial" w:hAnsi="Arial" w:cs="Open Sans"/>
          <w:sz w:val="24"/>
          <w:szCs w:val="24"/>
        </w:rPr>
        <w:lastRenderedPageBreak/>
        <w:t>ajustadas de acordo com o perfil e a metodologia aplicada nos estudos primários incluídos, que não apresentaram caráter experimental, mas sim transversal.</w:t>
      </w:r>
      <w:r w:rsidR="0029041A" w:rsidRPr="00334D8E">
        <w:rPr>
          <w:rFonts w:ascii="Open Sans" w:eastAsia="Arial" w:hAnsi="Open Sans" w:cs="Open Sans"/>
          <w:sz w:val="24"/>
          <w:szCs w:val="24"/>
        </w:rPr>
        <w:t xml:space="preserve"> </w:t>
      </w:r>
    </w:p>
    <w:p w14:paraId="49528EC2" w14:textId="141465D2" w:rsidR="00070512" w:rsidRPr="004262DA" w:rsidRDefault="00887334" w:rsidP="004262DA">
      <w:pPr>
        <w:spacing w:after="0" w:line="360" w:lineRule="auto"/>
        <w:jc w:val="both"/>
        <w:rPr>
          <w:rFonts w:ascii="Arial" w:eastAsia="Arial" w:hAnsi="Arial" w:cs="Open Sans"/>
          <w:sz w:val="24"/>
          <w:szCs w:val="24"/>
        </w:rPr>
      </w:pPr>
      <w:r w:rsidRPr="00DF6CBF">
        <w:rPr>
          <w:rFonts w:ascii="Arial" w:eastAsia="Arial" w:hAnsi="Arial" w:cs="Open Sans"/>
          <w:sz w:val="24"/>
          <w:szCs w:val="24"/>
        </w:rPr>
        <w:tab/>
      </w:r>
      <w:r w:rsidR="00070512" w:rsidRPr="004262DA">
        <w:rPr>
          <w:rFonts w:ascii="Arial" w:eastAsia="Arial" w:hAnsi="Arial" w:cs="Open Sans"/>
          <w:sz w:val="24"/>
          <w:szCs w:val="24"/>
        </w:rPr>
        <w:t>O gene do citocromo b (</w:t>
      </w:r>
      <w:proofErr w:type="spellStart"/>
      <w:r w:rsidR="00070512" w:rsidRPr="004262DA">
        <w:rPr>
          <w:rFonts w:ascii="Arial" w:eastAsia="Arial" w:hAnsi="Arial" w:cs="Open Sans"/>
          <w:sz w:val="24"/>
          <w:szCs w:val="24"/>
        </w:rPr>
        <w:t>cyt</w:t>
      </w:r>
      <w:proofErr w:type="spellEnd"/>
      <w:r w:rsidR="00070512" w:rsidRPr="004262DA">
        <w:rPr>
          <w:rFonts w:ascii="Arial" w:eastAsia="Arial" w:hAnsi="Arial" w:cs="Open Sans"/>
          <w:sz w:val="24"/>
          <w:szCs w:val="24"/>
        </w:rPr>
        <w:t xml:space="preserve"> b) </w:t>
      </w:r>
      <w:r w:rsidR="0029041A" w:rsidRPr="004262DA">
        <w:rPr>
          <w:rFonts w:ascii="Arial" w:eastAsia="Arial" w:hAnsi="Arial" w:cs="Open Sans"/>
          <w:sz w:val="24"/>
          <w:szCs w:val="24"/>
        </w:rPr>
        <w:t>foi</w:t>
      </w:r>
      <w:r w:rsidR="00070512" w:rsidRPr="004262DA">
        <w:rPr>
          <w:rFonts w:ascii="Arial" w:eastAsia="Arial" w:hAnsi="Arial" w:cs="Open Sans"/>
          <w:sz w:val="24"/>
          <w:szCs w:val="24"/>
        </w:rPr>
        <w:t xml:space="preserve"> o principal gene-alvo utilizado </w:t>
      </w:r>
      <w:r w:rsidR="0029041A" w:rsidRPr="004262DA">
        <w:rPr>
          <w:rFonts w:ascii="Arial" w:eastAsia="Arial" w:hAnsi="Arial" w:cs="Open Sans"/>
          <w:sz w:val="24"/>
          <w:szCs w:val="24"/>
        </w:rPr>
        <w:t xml:space="preserve">nos </w:t>
      </w:r>
      <w:r w:rsidR="00070512" w:rsidRPr="004262DA">
        <w:rPr>
          <w:rFonts w:ascii="Arial" w:eastAsia="Arial" w:hAnsi="Arial" w:cs="Open Sans"/>
          <w:sz w:val="24"/>
          <w:szCs w:val="24"/>
        </w:rPr>
        <w:t>estudos</w:t>
      </w:r>
      <w:r w:rsidR="0029041A" w:rsidRPr="004262DA">
        <w:rPr>
          <w:rFonts w:ascii="Arial" w:eastAsia="Arial" w:hAnsi="Arial" w:cs="Open Sans"/>
          <w:sz w:val="24"/>
          <w:szCs w:val="24"/>
        </w:rPr>
        <w:t xml:space="preserve"> avaliados</w:t>
      </w:r>
      <w:r w:rsidR="00070512" w:rsidRPr="004262DA">
        <w:rPr>
          <w:rFonts w:ascii="Arial" w:eastAsia="Arial" w:hAnsi="Arial" w:cs="Open Sans"/>
          <w:sz w:val="24"/>
          <w:szCs w:val="24"/>
        </w:rPr>
        <w:t xml:space="preserve"> (81,82%). A maioria dos </w:t>
      </w:r>
      <w:r w:rsidR="00070512" w:rsidRPr="004262DA">
        <w:rPr>
          <w:rFonts w:ascii="Arial" w:eastAsia="Arial" w:hAnsi="Arial" w:cs="Open Sans"/>
          <w:i/>
          <w:iCs/>
          <w:sz w:val="24"/>
          <w:szCs w:val="24"/>
        </w:rPr>
        <w:t>primers</w:t>
      </w:r>
      <w:r w:rsidR="00070512" w:rsidRPr="004262DA">
        <w:rPr>
          <w:rFonts w:ascii="Arial" w:eastAsia="Arial" w:hAnsi="Arial" w:cs="Open Sans"/>
          <w:sz w:val="24"/>
          <w:szCs w:val="24"/>
        </w:rPr>
        <w:t xml:space="preserve"> para o citocromo b </w:t>
      </w:r>
      <w:r w:rsidR="0029041A" w:rsidRPr="004262DA">
        <w:rPr>
          <w:rFonts w:ascii="Arial" w:eastAsia="Arial" w:hAnsi="Arial" w:cs="Open Sans"/>
          <w:sz w:val="24"/>
          <w:szCs w:val="24"/>
        </w:rPr>
        <w:t>foram</w:t>
      </w:r>
      <w:r w:rsidR="00070512" w:rsidRPr="004262DA">
        <w:rPr>
          <w:rFonts w:ascii="Arial" w:eastAsia="Arial" w:hAnsi="Arial" w:cs="Open Sans"/>
          <w:sz w:val="24"/>
          <w:szCs w:val="24"/>
        </w:rPr>
        <w:t xml:space="preserve"> variantes de sequências básicas semelhantes. Outros genes, como o PNOC, COI, e 12S também foram relatados (18,18%). </w:t>
      </w:r>
      <w:r w:rsidR="006A5C7B" w:rsidRPr="004262DA">
        <w:rPr>
          <w:rFonts w:ascii="Arial" w:eastAsia="Arial" w:hAnsi="Arial" w:cs="Open Sans"/>
          <w:sz w:val="24"/>
          <w:szCs w:val="24"/>
        </w:rPr>
        <w:t>Em que a técnica da</w:t>
      </w:r>
      <w:r w:rsidR="003844B9" w:rsidRPr="004262DA">
        <w:rPr>
          <w:rFonts w:ascii="Arial" w:eastAsia="Arial" w:hAnsi="Arial" w:cs="Open Sans"/>
          <w:sz w:val="24"/>
          <w:szCs w:val="24"/>
        </w:rPr>
        <w:t xml:space="preserve"> PCR foi a </w:t>
      </w:r>
      <w:r w:rsidR="004A4A2C" w:rsidRPr="004262DA">
        <w:rPr>
          <w:rFonts w:ascii="Arial" w:eastAsia="Arial" w:hAnsi="Arial" w:cs="Open Sans"/>
          <w:sz w:val="24"/>
          <w:szCs w:val="24"/>
        </w:rPr>
        <w:t>convencional</w:t>
      </w:r>
      <w:r w:rsidR="006A5C7B" w:rsidRPr="004262DA">
        <w:rPr>
          <w:rFonts w:ascii="Arial" w:eastAsia="Arial" w:hAnsi="Arial" w:cs="Open Sans"/>
          <w:sz w:val="24"/>
          <w:szCs w:val="24"/>
        </w:rPr>
        <w:t xml:space="preserve"> foi a mais citada nos trabalhos envolvidos.</w:t>
      </w:r>
    </w:p>
    <w:p w14:paraId="08CA2B20" w14:textId="77777777" w:rsidR="00887334" w:rsidRPr="000A7F34" w:rsidRDefault="00887334" w:rsidP="00887334">
      <w:pPr>
        <w:spacing w:after="0" w:line="360" w:lineRule="auto"/>
        <w:jc w:val="both"/>
        <w:rPr>
          <w:rFonts w:ascii="Open Sans" w:eastAsia="Arial" w:hAnsi="Open Sans" w:cs="Open Sans"/>
          <w:sz w:val="24"/>
          <w:szCs w:val="24"/>
        </w:rPr>
      </w:pPr>
    </w:p>
    <w:p w14:paraId="510D5A77" w14:textId="77777777" w:rsidR="00930701" w:rsidRPr="000A7F34" w:rsidRDefault="00486485">
      <w:pPr>
        <w:numPr>
          <w:ilvl w:val="0"/>
          <w:numId w:val="2"/>
        </w:numPr>
        <w:spacing w:after="0" w:line="360" w:lineRule="auto"/>
        <w:jc w:val="both"/>
        <w:rPr>
          <w:rFonts w:ascii="Open Sans" w:eastAsia="Arial" w:hAnsi="Open Sans" w:cs="Open Sans"/>
          <w:b/>
          <w:sz w:val="24"/>
          <w:szCs w:val="24"/>
        </w:rPr>
      </w:pPr>
      <w:r w:rsidRPr="00DF6CBF">
        <w:rPr>
          <w:rFonts w:ascii="Arial" w:eastAsia="Arial" w:hAnsi="Arial" w:cs="Open Sans"/>
          <w:b/>
          <w:sz w:val="24"/>
          <w:szCs w:val="24"/>
        </w:rPr>
        <w:t>REFERÊNCIAS</w:t>
      </w:r>
    </w:p>
    <w:p w14:paraId="5472A6B7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D728BC7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BENNAI, K. et al. Molecular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detection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Leishmania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infantum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DNA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and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host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blood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meal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identification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in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Phlebotomus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in a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hypoendemic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focus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human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leishmaniasis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in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northern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Algeria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PLoS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neglected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tropical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diseases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>, v. 12, n. 6, p. e0006513, 2018.</w:t>
      </w:r>
    </w:p>
    <w:p w14:paraId="3E692E34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41E63B8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COHEN, J. A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coefficient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agreement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for nominal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scales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.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Educational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and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Psychological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Measurement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>, v. 20, n. 1, p. 37-46, 1960.</w:t>
      </w:r>
    </w:p>
    <w:p w14:paraId="7CE47A15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42C7B93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DUTRA-RÊGO, F. et al. Molecular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detection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Leishmania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and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blood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meal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analysis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in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sand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flies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from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Corumbá, Mato Grosso do Sul,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Brazil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>Acta tropica</w:t>
      </w:r>
      <w:r w:rsidRPr="008C0068">
        <w:rPr>
          <w:rFonts w:ascii="Arial" w:eastAsia="Arial" w:hAnsi="Arial" w:cs="Open Sans"/>
          <w:sz w:val="24"/>
          <w:szCs w:val="24"/>
        </w:rPr>
        <w:t>, v. 245, n. 106961, p. 106961, 2023.</w:t>
      </w:r>
    </w:p>
    <w:p w14:paraId="198DB1A9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BE57283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GONTIJO, C. M. F.; MELO, M. </w:t>
      </w:r>
      <w:proofErr w:type="gramStart"/>
      <w:r w:rsidRPr="008C0068">
        <w:rPr>
          <w:rFonts w:ascii="Arial" w:eastAsia="Arial" w:hAnsi="Arial" w:cs="Open Sans"/>
          <w:sz w:val="24"/>
          <w:szCs w:val="24"/>
        </w:rPr>
        <w:t>N..</w:t>
      </w:r>
      <w:proofErr w:type="gramEnd"/>
      <w:r w:rsidRPr="008C0068">
        <w:rPr>
          <w:rFonts w:ascii="Arial" w:eastAsia="Arial" w:hAnsi="Arial" w:cs="Open Sans"/>
          <w:sz w:val="24"/>
          <w:szCs w:val="24"/>
        </w:rPr>
        <w:t xml:space="preserve"> Leishmaniose visceral no Brasil: quadro atual, desafios e perspectivas.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>Revista Brasileira de Epidemiologia</w:t>
      </w:r>
      <w:r w:rsidRPr="008C0068">
        <w:rPr>
          <w:rFonts w:ascii="Arial" w:eastAsia="Arial" w:hAnsi="Arial" w:cs="Open Sans"/>
          <w:sz w:val="24"/>
          <w:szCs w:val="24"/>
        </w:rPr>
        <w:t xml:space="preserve">, v. 7, n. 3, p. 338–349, set. 2004. </w:t>
      </w:r>
    </w:p>
    <w:p w14:paraId="5C670ECA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8AF3751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HAOUAS,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Najoua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et </w:t>
      </w:r>
      <w:proofErr w:type="gramStart"/>
      <w:r w:rsidRPr="008C0068">
        <w:rPr>
          <w:rFonts w:ascii="Arial" w:eastAsia="Arial" w:hAnsi="Arial" w:cs="Open Sans"/>
          <w:sz w:val="24"/>
          <w:szCs w:val="24"/>
        </w:rPr>
        <w:t>al..</w:t>
      </w:r>
      <w:proofErr w:type="gramEnd"/>
      <w:r w:rsidRPr="008C0068">
        <w:rPr>
          <w:rFonts w:ascii="Arial" w:eastAsia="Arial" w:hAnsi="Arial" w:cs="Open Sans"/>
          <w:sz w:val="24"/>
          <w:szCs w:val="24"/>
        </w:rPr>
        <w:t xml:space="preserve"> Desenvolvimento de ferramenta molecular para identificação de hospedeiros reservatórios de Leishmania por meio de análise de repasto sanguíneo em insetos vetores.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The American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Journal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Tropical Medicine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and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Hygiene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, v. 6, p. 1054-1059, 2007. </w:t>
      </w:r>
    </w:p>
    <w:p w14:paraId="74EA19C1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3EB00B7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LAINSON, R.; RANGEL, E. </w:t>
      </w:r>
      <w:proofErr w:type="gramStart"/>
      <w:r w:rsidRPr="008C0068">
        <w:rPr>
          <w:rFonts w:ascii="Arial" w:eastAsia="Arial" w:hAnsi="Arial" w:cs="Open Sans"/>
          <w:sz w:val="24"/>
          <w:szCs w:val="24"/>
        </w:rPr>
        <w:t>F..</w:t>
      </w:r>
      <w:proofErr w:type="gram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Lutzomyia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longipalpis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and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the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eco-epidemiology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American visceral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leishmaniasis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,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with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particular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reference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to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Brazil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: a review.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>Memórias do Instituto Oswaldo Cruz</w:t>
      </w:r>
      <w:r w:rsidRPr="008C0068">
        <w:rPr>
          <w:rFonts w:ascii="Arial" w:eastAsia="Arial" w:hAnsi="Arial" w:cs="Open Sans"/>
          <w:sz w:val="24"/>
          <w:szCs w:val="24"/>
        </w:rPr>
        <w:t xml:space="preserve">, v. 100, n. 8, p. 811–827, dez. 2005. </w:t>
      </w:r>
    </w:p>
    <w:p w14:paraId="79875334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78FF337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lastRenderedPageBreak/>
        <w:t xml:space="preserve">MALEKI-RAVASAN, N. et al. Identificação de farinha de sangue em flebotomíneos capturados em campo: comparação de ensaios PCR-RFLP e ELISA.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>Jornal iraniano de doenças transmitidas por artrópodes</w:t>
      </w:r>
      <w:r w:rsidRPr="008C0068">
        <w:rPr>
          <w:rFonts w:ascii="Arial" w:eastAsia="Arial" w:hAnsi="Arial" w:cs="Open Sans"/>
          <w:sz w:val="24"/>
          <w:szCs w:val="24"/>
        </w:rPr>
        <w:t xml:space="preserve">, v. 1, p. 8, 2009. </w:t>
      </w:r>
    </w:p>
    <w:p w14:paraId="4872729A" w14:textId="77777777" w:rsidR="004262DA" w:rsidRPr="000A7F34" w:rsidRDefault="004262DA" w:rsidP="004262DA">
      <w:pPr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14:paraId="69A34DD1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PAGE, M. J. et al. A declaração PRISMA 2020: diretriz atualizada para revisões sistemáticas.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Revista panamericana de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salud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publica</w:t>
      </w:r>
      <w:r w:rsidRPr="008C0068">
        <w:rPr>
          <w:rFonts w:ascii="Arial" w:eastAsia="Arial" w:hAnsi="Arial" w:cs="Open Sans"/>
          <w:sz w:val="24"/>
          <w:szCs w:val="24"/>
        </w:rPr>
        <w:t>, v. 46, p. e112, 2023.</w:t>
      </w:r>
    </w:p>
    <w:p w14:paraId="38ED3CE4" w14:textId="77777777" w:rsidR="004262DA" w:rsidRPr="000A7F34" w:rsidRDefault="004262DA" w:rsidP="004262DA">
      <w:pPr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14:paraId="0045DB3C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REMADI, L. et al. Molecular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detection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and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identification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Leishmania DNA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and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blood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meal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analysis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in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Phlebotomus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(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Larroussius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)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species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>.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PLoS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neglected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tropical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diseases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>, v. 14, n. 3, p. e0008077, 2020.</w:t>
      </w:r>
    </w:p>
    <w:p w14:paraId="12F84F90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B10F4B8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REY, L.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>Bases da parasitologia médica</w:t>
      </w:r>
      <w:r w:rsidRPr="008C0068">
        <w:rPr>
          <w:rFonts w:ascii="Arial" w:eastAsia="Arial" w:hAnsi="Arial" w:cs="Open Sans"/>
          <w:sz w:val="24"/>
          <w:szCs w:val="24"/>
        </w:rPr>
        <w:t>. 3. ed. Rio de Janeiro: Guanabara Koogan, 2009.</w:t>
      </w:r>
    </w:p>
    <w:p w14:paraId="348921E6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BE6458E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ROY, L. et al. The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ongoing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risk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Leishmania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donovani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transmission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in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eastern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Nepal: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an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entomological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investigation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during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the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elimination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era.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Parasites &amp;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vectors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>, v. 16, n. 1, 2023.</w:t>
      </w:r>
    </w:p>
    <w:p w14:paraId="1C0719A0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76EDC13" w14:textId="77777777" w:rsidR="004262DA" w:rsidRPr="000A7F34" w:rsidRDefault="004262DA" w:rsidP="004262DA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C0068">
        <w:rPr>
          <w:rFonts w:ascii="Arial" w:eastAsia="Arial" w:hAnsi="Arial" w:cs="Open Sans"/>
          <w:sz w:val="24"/>
          <w:szCs w:val="24"/>
        </w:rPr>
        <w:t xml:space="preserve">SRINIVASAN, R.; PANICKER, K. N.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Identification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bloodmeals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phlebotomine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sandflies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using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the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agarose gel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diffusion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sz w:val="24"/>
          <w:szCs w:val="24"/>
        </w:rPr>
        <w:t>method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 xml:space="preserve">. </w:t>
      </w:r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The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Southeast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Asian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journal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of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tropical medicine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and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public</w:t>
      </w:r>
      <w:proofErr w:type="spellEnd"/>
      <w:r w:rsidRPr="008C0068">
        <w:rPr>
          <w:rFonts w:ascii="Arial" w:eastAsia="Arial" w:hAnsi="Arial" w:cs="Open Sans"/>
          <w:b/>
          <w:bCs/>
          <w:sz w:val="24"/>
          <w:szCs w:val="24"/>
        </w:rPr>
        <w:t xml:space="preserve"> </w:t>
      </w:r>
      <w:proofErr w:type="spellStart"/>
      <w:r w:rsidRPr="008C0068">
        <w:rPr>
          <w:rFonts w:ascii="Arial" w:eastAsia="Arial" w:hAnsi="Arial" w:cs="Open Sans"/>
          <w:b/>
          <w:bCs/>
          <w:sz w:val="24"/>
          <w:szCs w:val="24"/>
        </w:rPr>
        <w:t>health</w:t>
      </w:r>
      <w:proofErr w:type="spellEnd"/>
      <w:r w:rsidRPr="008C0068">
        <w:rPr>
          <w:rFonts w:ascii="Arial" w:eastAsia="Arial" w:hAnsi="Arial" w:cs="Open Sans"/>
          <w:sz w:val="24"/>
          <w:szCs w:val="24"/>
        </w:rPr>
        <w:t>, v. 23, n. 3, p. 486–488, 1992</w:t>
      </w:r>
    </w:p>
    <w:p w14:paraId="52FDB3A5" w14:textId="77777777" w:rsidR="004262DA" w:rsidRPr="000A7F34" w:rsidRDefault="004262DA" w:rsidP="004262DA">
      <w:pPr>
        <w:spacing w:after="0" w:line="360" w:lineRule="auto"/>
        <w:ind w:left="720"/>
        <w:jc w:val="both"/>
        <w:rPr>
          <w:rFonts w:ascii="Open Sans" w:eastAsia="Arial" w:hAnsi="Open Sans" w:cs="Open Sans"/>
          <w:sz w:val="24"/>
          <w:szCs w:val="24"/>
        </w:rPr>
      </w:pPr>
    </w:p>
    <w:p w14:paraId="69E1AC9C" w14:textId="77777777" w:rsidR="004262DA" w:rsidRPr="000A7F34" w:rsidRDefault="004262DA" w:rsidP="004262DA">
      <w:pPr>
        <w:numPr>
          <w:ilvl w:val="0"/>
          <w:numId w:val="9"/>
        </w:numPr>
        <w:spacing w:after="0" w:line="360" w:lineRule="auto"/>
        <w:jc w:val="both"/>
        <w:rPr>
          <w:rFonts w:ascii="Open Sans" w:eastAsia="Arial" w:hAnsi="Open Sans" w:cs="Open Sans"/>
          <w:b/>
          <w:sz w:val="24"/>
          <w:szCs w:val="24"/>
        </w:rPr>
      </w:pPr>
      <w:r w:rsidRPr="00DF6CBF">
        <w:rPr>
          <w:rFonts w:ascii="Arial" w:eastAsia="Arial" w:hAnsi="Arial" w:cs="Open Sans"/>
          <w:b/>
          <w:sz w:val="24"/>
          <w:szCs w:val="24"/>
        </w:rPr>
        <w:t>AGRADECIMENTOS</w:t>
      </w:r>
    </w:p>
    <w:p w14:paraId="11A7DD8D" w14:textId="77777777" w:rsidR="004262DA" w:rsidRPr="000A7F34" w:rsidRDefault="004262DA" w:rsidP="004262DA">
      <w:pPr>
        <w:spacing w:after="0" w:line="360" w:lineRule="auto"/>
        <w:ind w:left="720"/>
        <w:jc w:val="both"/>
        <w:rPr>
          <w:rFonts w:ascii="Open Sans" w:eastAsia="Arial" w:hAnsi="Open Sans" w:cs="Open Sans"/>
          <w:b/>
          <w:sz w:val="24"/>
          <w:szCs w:val="24"/>
        </w:rPr>
      </w:pPr>
    </w:p>
    <w:p w14:paraId="6803369E" w14:textId="6FEB2DE1" w:rsidR="00930701" w:rsidRPr="00D94EDA" w:rsidRDefault="004262DA" w:rsidP="004262DA">
      <w:pPr>
        <w:spacing w:after="0" w:line="360" w:lineRule="auto"/>
        <w:jc w:val="both"/>
        <w:rPr>
          <w:rFonts w:ascii="Open Sans" w:eastAsia="Arial" w:hAnsi="Open Sans" w:cs="Open Sans"/>
          <w:sz w:val="24"/>
          <w:szCs w:val="24"/>
          <w:rPrChange w:id="4" w:author="Dragon" w:date="2024-10-12T11:59:00Z" w16du:dateUtc="2024-10-12T14:59:00Z">
            <w:rPr>
              <w:rFonts w:ascii="Arial" w:eastAsia="Arial" w:hAnsi="Arial" w:cs="Arial"/>
              <w:sz w:val="24"/>
              <w:szCs w:val="24"/>
            </w:rPr>
          </w:rPrChange>
        </w:rPr>
      </w:pPr>
      <w:r w:rsidRPr="00DF6CBF">
        <w:rPr>
          <w:rFonts w:ascii="Arial" w:eastAsia="Arial" w:hAnsi="Arial" w:cs="Open Sans"/>
          <w:sz w:val="24"/>
          <w:szCs w:val="24"/>
          <w:highlight w:val="white"/>
        </w:rPr>
        <w:t>O presente trabalho foi realizado com o apoio do Conselho Nacional de Desenvolvimento Científico e Tecnológico – CNPq – Brasil</w:t>
      </w:r>
      <w:r w:rsidRPr="00DF6CBF">
        <w:rPr>
          <w:rFonts w:ascii="Arial" w:eastAsia="Arial" w:hAnsi="Arial" w:cs="Open Sans"/>
          <w:sz w:val="24"/>
          <w:szCs w:val="24"/>
        </w:rPr>
        <w:t>.</w:t>
      </w:r>
    </w:p>
    <w:sectPr w:rsidR="00930701" w:rsidRPr="00D94EDA">
      <w:headerReference w:type="default" r:id="rId13"/>
      <w:footerReference w:type="default" r:id="rId14"/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ragon" w:date="2024-10-12T11:16:00Z" w:initials="D">
    <w:p w14:paraId="00C7E963" w14:textId="77777777" w:rsidR="004262DA" w:rsidRDefault="004262DA" w:rsidP="004262DA">
      <w:pPr>
        <w:pStyle w:val="Textodecomentrio"/>
      </w:pPr>
      <w:r>
        <w:rPr>
          <w:rStyle w:val="Refdecomentrio"/>
        </w:rPr>
        <w:annotationRef/>
      </w:r>
      <w:r>
        <w:t xml:space="preserve">Tem alguma recomendação no Edital? Se não, me deixe por </w:t>
      </w:r>
      <w:proofErr w:type="spellStart"/>
      <w:r>
        <w:t>ultimo</w:t>
      </w:r>
      <w:proofErr w:type="spellEnd"/>
      <w:r>
        <w:t>. É o de praxe.</w:t>
      </w:r>
    </w:p>
  </w:comment>
  <w:comment w:id="2" w:author="Dragon" w:date="2024-10-12T11:33:00Z" w:initials="D">
    <w:p w14:paraId="50B462C1" w14:textId="77777777" w:rsidR="00F77C38" w:rsidRDefault="00F77C38" w:rsidP="00F77C38">
      <w:pPr>
        <w:pStyle w:val="Textodecomentrio"/>
      </w:pPr>
      <w:r>
        <w:rPr>
          <w:rStyle w:val="Refdecomentrio"/>
        </w:rPr>
        <w:annotationRef/>
      </w:r>
      <w:r>
        <w:t>Tem algum manual que possa inserir a citação e as referências.</w:t>
      </w:r>
    </w:p>
  </w:comment>
  <w:comment w:id="3" w:author="Dragon" w:date="2024-10-12T11:34:00Z" w:initials="D">
    <w:p w14:paraId="20301AFE" w14:textId="77777777" w:rsidR="00645BC0" w:rsidRDefault="00645BC0" w:rsidP="00645BC0">
      <w:pPr>
        <w:pStyle w:val="Textodecomentrio"/>
      </w:pPr>
      <w:r>
        <w:rPr>
          <w:rStyle w:val="Refdecomentrio"/>
        </w:rPr>
        <w:annotationRef/>
      </w:r>
      <w:r>
        <w:t xml:space="preserve">Idem dá para colocar Sampaio et al (2007)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C7E963" w15:done="1"/>
  <w15:commentEx w15:paraId="50B462C1" w15:done="1"/>
  <w15:commentEx w15:paraId="20301AF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0FB75F" w16cex:dateUtc="2024-10-12T14:16:00Z"/>
  <w16cex:commentExtensible w16cex:durableId="0D6537D4" w16cex:dateUtc="2024-10-12T14:33:00Z"/>
  <w16cex:commentExtensible w16cex:durableId="64AFA49B" w16cex:dateUtc="2024-10-12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C7E963" w16cid:durableId="200FB75F"/>
  <w16cid:commentId w16cid:paraId="50B462C1" w16cid:durableId="0D6537D4"/>
  <w16cid:commentId w16cid:paraId="20301AFE" w16cid:durableId="64AFA4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4183D" w14:textId="77777777" w:rsidR="00281A40" w:rsidRDefault="00281A40">
      <w:pPr>
        <w:spacing w:after="0" w:line="240" w:lineRule="auto"/>
      </w:pPr>
      <w:r>
        <w:separator/>
      </w:r>
    </w:p>
  </w:endnote>
  <w:endnote w:type="continuationSeparator" w:id="0">
    <w:p w14:paraId="1FA824BD" w14:textId="77777777" w:rsidR="00281A40" w:rsidRDefault="0028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C749" w14:textId="77777777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8921" w14:textId="77777777" w:rsidR="00281A40" w:rsidRDefault="00281A40">
      <w:pPr>
        <w:rPr>
          <w:sz w:val="12"/>
        </w:rPr>
      </w:pPr>
      <w:r>
        <w:separator/>
      </w:r>
    </w:p>
  </w:footnote>
  <w:footnote w:type="continuationSeparator" w:id="0">
    <w:p w14:paraId="59508B79" w14:textId="77777777" w:rsidR="00281A40" w:rsidRDefault="00281A40">
      <w:pPr>
        <w:rPr>
          <w:sz w:val="12"/>
        </w:rPr>
      </w:pPr>
      <w:r>
        <w:continuationSeparator/>
      </w:r>
    </w:p>
  </w:footnote>
  <w:footnote w:id="1">
    <w:p w14:paraId="105123BB" w14:textId="77777777" w:rsidR="004262DA" w:rsidRDefault="004262DA" w:rsidP="004262DA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262DA">
        <w:rPr>
          <w:rStyle w:val="Caracteresdenotaderodap"/>
          <w:vertAlign w:val="superscript"/>
        </w:rPr>
        <w:footnoteRef/>
      </w:r>
      <w:r w:rsidRPr="004262DA">
        <w:rPr>
          <w:rFonts w:ascii="Arial" w:eastAsia="Arial" w:hAnsi="Arial" w:cs="Arial"/>
          <w:color w:val="000000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Bolsista do Programa de Iniciação Científica (PIBIC/PIBITI). Universidade Federal do Norte do Tocantins (UFNT), Faculdade de Ciências da Saúde (FCS/UFT). </w:t>
      </w:r>
      <w:r w:rsidRPr="00D87CF9">
        <w:rPr>
          <w:rFonts w:ascii="Arial" w:eastAsia="Arial" w:hAnsi="Arial" w:cs="Arial"/>
          <w:color w:val="000000"/>
          <w:sz w:val="20"/>
          <w:szCs w:val="20"/>
        </w:rPr>
        <w:t>guilherme.soares@ufnt.edu.br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</w:footnote>
  <w:footnote w:id="2">
    <w:p w14:paraId="13D46938" w14:textId="77777777" w:rsidR="004262DA" w:rsidRDefault="004262DA" w:rsidP="004262DA">
      <w:pPr>
        <w:spacing w:after="0" w:line="240" w:lineRule="auto"/>
        <w:ind w:left="142" w:hanging="142"/>
        <w:jc w:val="both"/>
        <w:rPr>
          <w:rFonts w:ascii="Arial" w:eastAsia="Arial" w:hAnsi="Arial" w:cs="Arial"/>
          <w:sz w:val="20"/>
          <w:szCs w:val="20"/>
        </w:rPr>
      </w:pPr>
      <w:r w:rsidRPr="004262DA">
        <w:rPr>
          <w:rStyle w:val="Caracteresdenotaderodap"/>
          <w:vertAlign w:val="superscript"/>
        </w:rPr>
        <w:footnoteRef/>
      </w:r>
      <w:r w:rsidRPr="004262DA">
        <w:rPr>
          <w:rFonts w:ascii="Arial" w:eastAsia="Arial" w:hAnsi="Arial" w:cs="Arial"/>
          <w:sz w:val="20"/>
          <w:szCs w:val="20"/>
          <w:vertAlign w:val="superscript"/>
        </w:rPr>
        <w:tab/>
      </w:r>
      <w:r w:rsidRPr="00FD6BB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Bolsista do Programa de Iniciação Científica (PIBIC/PIBITI). Universidade Federal do Norte do Tocantins (UFNT), Faculdade de Ciências da Saúde (FCS/UFT). </w:t>
      </w:r>
      <w:r w:rsidRPr="00FD6BB8">
        <w:rPr>
          <w:rFonts w:ascii="Arial" w:eastAsia="Arial" w:hAnsi="Arial" w:cs="Arial"/>
          <w:color w:val="000000"/>
          <w:sz w:val="20"/>
          <w:szCs w:val="20"/>
        </w:rPr>
        <w:t>kaline.vassallo@ufnt.edu.br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6D555BB" w14:textId="77777777" w:rsidR="004262DA" w:rsidRDefault="004262DA" w:rsidP="004262DA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262DA"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Bolsista do Programa de Iniciação Científica (PIBIC/PIBITI). Universidade Federal do Norte do Tocantins (UFNT), Faculdade de Ciências da Saúde (FCS/UFT). </w:t>
      </w:r>
      <w:r w:rsidRPr="00FD6BB8">
        <w:rPr>
          <w:rFonts w:ascii="Arial" w:eastAsia="Arial" w:hAnsi="Arial" w:cs="Arial"/>
          <w:color w:val="000000"/>
          <w:sz w:val="20"/>
          <w:szCs w:val="20"/>
        </w:rPr>
        <w:t>gustavo.freitas@ufnt.edu.br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FFD568D" w14:textId="77777777" w:rsidR="004262DA" w:rsidRDefault="004262DA" w:rsidP="004262DA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262DA">
        <w:rPr>
          <w:rFonts w:ascii="Arial" w:eastAsia="Arial" w:hAnsi="Arial" w:cs="Arial"/>
          <w:color w:val="000000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C0068">
        <w:rPr>
          <w:rFonts w:ascii="Arial" w:eastAsia="Arial" w:hAnsi="Arial" w:cs="Arial"/>
          <w:color w:val="000000"/>
          <w:sz w:val="20"/>
          <w:szCs w:val="20"/>
        </w:rPr>
        <w:t>Professora Doutora da Faculdade de Ciências da Saúde, Universidade Federal do Norte do Tocantins (UFNT), coorientadora do projeto de pesquisa. fabiana.bringel@ufnt.edu.br</w:t>
      </w:r>
      <w:r w:rsidRPr="008C0068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64AE071" w14:textId="73BC4D03" w:rsidR="004262DA" w:rsidRPr="004262DA" w:rsidRDefault="004262DA" w:rsidP="004262DA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262DA">
        <w:rPr>
          <w:rFonts w:ascii="Arial" w:eastAsia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C0068">
        <w:rPr>
          <w:rFonts w:ascii="Arial" w:eastAsia="Arial" w:hAnsi="Arial" w:cs="Arial"/>
          <w:color w:val="000000"/>
          <w:sz w:val="20"/>
          <w:szCs w:val="20"/>
        </w:rPr>
        <w:t xml:space="preserve">Professora Doutora da Faculdade de Ciências da Saúde, Universidade Federal do Norte do Tocantins (UFNT), orientadora do projeto de pesquisa. </w:t>
      </w:r>
      <w:bookmarkStart w:id="0" w:name="_Hlk179897198"/>
      <w:r>
        <w:rPr>
          <w:rFonts w:ascii="Arial" w:eastAsia="Arial" w:hAnsi="Arial" w:cs="Arial"/>
          <w:color w:val="000000"/>
          <w:sz w:val="20"/>
          <w:szCs w:val="20"/>
        </w:rPr>
        <w:t>silvia.barbosa@ufnt.edu.br</w:t>
      </w:r>
      <w:bookmarkEnd w:id="0"/>
      <w:r w:rsidRPr="008C0068">
        <w:rPr>
          <w:rFonts w:ascii="Arial" w:eastAsia="Arial" w:hAnsi="Arial" w:cs="Arial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F7EF" w14:textId="747A8D1F" w:rsidR="00930701" w:rsidRDefault="00486485">
    <w:r>
      <w:rPr>
        <w:noProof/>
      </w:rPr>
      <w:drawing>
        <wp:anchor distT="0" distB="0" distL="0" distR="0" simplePos="0" relativeHeight="18" behindDoc="0" locked="0" layoutInCell="0" allowOverlap="1" wp14:anchorId="4C9C3833" wp14:editId="2024E06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1919605"/>
          <wp:effectExtent l="0" t="0" r="0" b="0"/>
          <wp:wrapSquare wrapText="largest"/>
          <wp:docPr id="1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0C5"/>
    <w:multiLevelType w:val="hybridMultilevel"/>
    <w:tmpl w:val="F17A866C"/>
    <w:lvl w:ilvl="0" w:tplc="553898DE">
      <w:start w:val="1"/>
      <w:numFmt w:val="lowerRoman"/>
      <w:lvlText w:val="%1."/>
      <w:lvlJc w:val="left"/>
      <w:pPr>
        <w:ind w:left="1800" w:hanging="72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410D5"/>
    <w:multiLevelType w:val="hybridMultilevel"/>
    <w:tmpl w:val="DED2A8B6"/>
    <w:lvl w:ilvl="0" w:tplc="C1661D8C">
      <w:start w:val="1"/>
      <w:numFmt w:val="upperRoman"/>
      <w:lvlText w:val="%1&gt;"/>
      <w:lvlJc w:val="left"/>
      <w:pPr>
        <w:ind w:left="1080" w:hanging="72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5FEB"/>
    <w:multiLevelType w:val="hybridMultilevel"/>
    <w:tmpl w:val="B678AB74"/>
    <w:lvl w:ilvl="0" w:tplc="FB2EC22C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25D97"/>
    <w:multiLevelType w:val="hybridMultilevel"/>
    <w:tmpl w:val="F33E4CD8"/>
    <w:lvl w:ilvl="0" w:tplc="79623F6E">
      <w:start w:val="2"/>
      <w:numFmt w:val="upp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58AE4764"/>
    <w:multiLevelType w:val="hybridMultilevel"/>
    <w:tmpl w:val="7550DE96"/>
    <w:lvl w:ilvl="0" w:tplc="EF9841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65FC46CA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40540977">
    <w:abstractNumId w:val="5"/>
  </w:num>
  <w:num w:numId="2" w16cid:durableId="660351138">
    <w:abstractNumId w:val="7"/>
  </w:num>
  <w:num w:numId="3" w16cid:durableId="643236484">
    <w:abstractNumId w:val="4"/>
  </w:num>
  <w:num w:numId="4" w16cid:durableId="1212502819">
    <w:abstractNumId w:val="3"/>
  </w:num>
  <w:num w:numId="5" w16cid:durableId="1014307724">
    <w:abstractNumId w:val="6"/>
  </w:num>
  <w:num w:numId="6" w16cid:durableId="1247611786">
    <w:abstractNumId w:val="1"/>
  </w:num>
  <w:num w:numId="7" w16cid:durableId="1029797159">
    <w:abstractNumId w:val="0"/>
  </w:num>
  <w:num w:numId="8" w16cid:durableId="1091925850">
    <w:abstractNumId w:val="2"/>
  </w:num>
  <w:num w:numId="9" w16cid:durableId="2224569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agon">
    <w15:presenceInfo w15:providerId="None" w15:userId="Drag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1"/>
    <w:rsid w:val="000604A9"/>
    <w:rsid w:val="00070512"/>
    <w:rsid w:val="000A7F34"/>
    <w:rsid w:val="001551B1"/>
    <w:rsid w:val="00172BC9"/>
    <w:rsid w:val="002128CE"/>
    <w:rsid w:val="002142F9"/>
    <w:rsid w:val="00223293"/>
    <w:rsid w:val="00227F77"/>
    <w:rsid w:val="00242DE6"/>
    <w:rsid w:val="00281A40"/>
    <w:rsid w:val="0029041A"/>
    <w:rsid w:val="002E0FF8"/>
    <w:rsid w:val="0033428E"/>
    <w:rsid w:val="00334D8E"/>
    <w:rsid w:val="00341178"/>
    <w:rsid w:val="00341830"/>
    <w:rsid w:val="003844B9"/>
    <w:rsid w:val="003A5016"/>
    <w:rsid w:val="003C36AC"/>
    <w:rsid w:val="004262DA"/>
    <w:rsid w:val="00457EE6"/>
    <w:rsid w:val="00477EBE"/>
    <w:rsid w:val="00486485"/>
    <w:rsid w:val="004A4A2C"/>
    <w:rsid w:val="004E50BA"/>
    <w:rsid w:val="004F3B16"/>
    <w:rsid w:val="00512D78"/>
    <w:rsid w:val="005375D1"/>
    <w:rsid w:val="00585480"/>
    <w:rsid w:val="005943D9"/>
    <w:rsid w:val="006048A4"/>
    <w:rsid w:val="00645BC0"/>
    <w:rsid w:val="00694B4B"/>
    <w:rsid w:val="006A5C7B"/>
    <w:rsid w:val="0076169C"/>
    <w:rsid w:val="007B055A"/>
    <w:rsid w:val="00834EF4"/>
    <w:rsid w:val="00870E32"/>
    <w:rsid w:val="00887334"/>
    <w:rsid w:val="008E426B"/>
    <w:rsid w:val="008F0AB7"/>
    <w:rsid w:val="00930701"/>
    <w:rsid w:val="00975BCA"/>
    <w:rsid w:val="009B3BBF"/>
    <w:rsid w:val="009C0F8D"/>
    <w:rsid w:val="009E7F4E"/>
    <w:rsid w:val="009F168D"/>
    <w:rsid w:val="00A45FA4"/>
    <w:rsid w:val="00A67891"/>
    <w:rsid w:val="00A801B6"/>
    <w:rsid w:val="00A91BC1"/>
    <w:rsid w:val="00AA1093"/>
    <w:rsid w:val="00AE58FC"/>
    <w:rsid w:val="00BA40E3"/>
    <w:rsid w:val="00BF1710"/>
    <w:rsid w:val="00C241B7"/>
    <w:rsid w:val="00C97474"/>
    <w:rsid w:val="00D013C4"/>
    <w:rsid w:val="00D87CF9"/>
    <w:rsid w:val="00D938E3"/>
    <w:rsid w:val="00D94EDA"/>
    <w:rsid w:val="00D96E1D"/>
    <w:rsid w:val="00DB5492"/>
    <w:rsid w:val="00DF6CBF"/>
    <w:rsid w:val="00E518E6"/>
    <w:rsid w:val="00E96DF5"/>
    <w:rsid w:val="00ED61A8"/>
    <w:rsid w:val="00ED6609"/>
    <w:rsid w:val="00F01174"/>
    <w:rsid w:val="00F07031"/>
    <w:rsid w:val="00F23039"/>
    <w:rsid w:val="00F251DD"/>
    <w:rsid w:val="00F411D8"/>
    <w:rsid w:val="00F77C38"/>
    <w:rsid w:val="00FA3A90"/>
    <w:rsid w:val="00FC70AF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91B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4B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4B4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E7F4E"/>
    <w:pPr>
      <w:suppressAutoHyphens w:val="0"/>
    </w:pPr>
  </w:style>
  <w:style w:type="character" w:styleId="Refdecomentrio">
    <w:name w:val="annotation reference"/>
    <w:basedOn w:val="Fontepargpadro"/>
    <w:uiPriority w:val="99"/>
    <w:semiHidden/>
    <w:unhideWhenUsed/>
    <w:rsid w:val="005943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43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43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43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EA72FC-4228-4FE9-86CD-89D89161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1803</Words>
  <Characters>9740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WINDOWS</cp:lastModifiedBy>
  <cp:revision>3</cp:revision>
  <dcterms:created xsi:type="dcterms:W3CDTF">2024-10-15T17:46:00Z</dcterms:created>
  <dcterms:modified xsi:type="dcterms:W3CDTF">2024-10-15T18:16:00Z</dcterms:modified>
  <dc:language>pt-BR</dc:language>
</cp:coreProperties>
</file>