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6023" w14:textId="1CC0561D" w:rsidR="00F07C5D" w:rsidRDefault="00D52503" w:rsidP="00D5250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CURVA DE DEPOSIÇÃO DE COMPONENTES CORPORAIS DE CODORNAS JAPONESAS</w:t>
      </w:r>
    </w:p>
    <w:p w14:paraId="4829DA82" w14:textId="43619107" w:rsidR="00F07C5D" w:rsidRDefault="0081094D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</w:p>
    <w:p w14:paraId="08B0851F" w14:textId="6CC52E1F" w:rsidR="00F07C5D" w:rsidRDefault="00D5250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RIBEIRO</w:t>
      </w:r>
      <w:r w:rsidR="0081094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Jessica L.</w:t>
      </w:r>
      <w:r w:rsidR="0081094D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81094D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RIBEIRO</w:t>
      </w:r>
      <w:r w:rsidR="0081094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Jorge </w:t>
      </w:r>
      <w:proofErr w:type="spellStart"/>
      <w:r>
        <w:rPr>
          <w:rFonts w:ascii="Arial" w:eastAsia="Arial" w:hAnsi="Arial" w:cs="Arial"/>
          <w:sz w:val="24"/>
          <w:szCs w:val="24"/>
        </w:rPr>
        <w:t>Luis</w:t>
      </w:r>
      <w:proofErr w:type="spellEnd"/>
      <w:r w:rsidR="0081094D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 w:rsidR="0081094D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VIEIRA</w:t>
      </w:r>
      <w:r w:rsidR="0081094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Danilo V.G.</w:t>
      </w:r>
      <w:r w:rsidR="0081094D"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</w:p>
    <w:p w14:paraId="63AE6510" w14:textId="77777777" w:rsidR="00F07C5D" w:rsidRDefault="00F07C5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6801BC" w14:textId="77777777" w:rsidR="00F07C5D" w:rsidRDefault="0081094D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23A934C1" w14:textId="7A8BD9D3" w:rsidR="00BA29DD" w:rsidRDefault="00BA29DD" w:rsidP="00BA29DD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A29DD">
        <w:rPr>
          <w:rFonts w:ascii="Arial" w:hAnsi="Arial" w:cs="Arial"/>
          <w:color w:val="000000"/>
          <w:sz w:val="24"/>
          <w:szCs w:val="24"/>
        </w:rPr>
        <w:t xml:space="preserve">A </w:t>
      </w:r>
      <w:r w:rsidR="00464F1A">
        <w:rPr>
          <w:rFonts w:ascii="Arial" w:hAnsi="Arial" w:cs="Arial"/>
          <w:color w:val="000000"/>
          <w:sz w:val="24"/>
          <w:szCs w:val="24"/>
        </w:rPr>
        <w:t xml:space="preserve">determinação da 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composição corporal das </w:t>
      </w:r>
      <w:r w:rsidR="00464F1A">
        <w:rPr>
          <w:rFonts w:ascii="Arial" w:hAnsi="Arial" w:cs="Arial"/>
          <w:color w:val="000000"/>
          <w:sz w:val="24"/>
          <w:szCs w:val="24"/>
        </w:rPr>
        <w:t>codornas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 é fundamental para compreender a utilização de nutrientes e orientar formulações de dietas. </w:t>
      </w:r>
      <w:r w:rsidR="00464F1A">
        <w:rPr>
          <w:rFonts w:ascii="Arial" w:hAnsi="Arial" w:cs="Arial"/>
          <w:color w:val="000000"/>
          <w:sz w:val="24"/>
          <w:szCs w:val="24"/>
        </w:rPr>
        <w:t xml:space="preserve">Diante disso, estudos para determinar curva de crescimento através de modelos não lineares </w:t>
      </w:r>
      <w:r w:rsidR="00017972">
        <w:rPr>
          <w:rFonts w:ascii="Arial" w:hAnsi="Arial" w:cs="Arial"/>
          <w:color w:val="000000"/>
          <w:sz w:val="24"/>
          <w:szCs w:val="24"/>
        </w:rPr>
        <w:t>são</w:t>
      </w:r>
      <w:r w:rsidR="00464F1A">
        <w:rPr>
          <w:rFonts w:ascii="Arial" w:hAnsi="Arial" w:cs="Arial"/>
          <w:color w:val="000000"/>
          <w:sz w:val="24"/>
          <w:szCs w:val="24"/>
        </w:rPr>
        <w:t xml:space="preserve"> norteadores para estabelecer melhores </w:t>
      </w:r>
      <w:r w:rsidR="00C5210C">
        <w:rPr>
          <w:rFonts w:ascii="Arial" w:hAnsi="Arial" w:cs="Arial"/>
          <w:color w:val="000000"/>
          <w:sz w:val="24"/>
          <w:szCs w:val="24"/>
        </w:rPr>
        <w:t>programas</w:t>
      </w:r>
      <w:r w:rsidR="00464F1A">
        <w:rPr>
          <w:rFonts w:ascii="Arial" w:hAnsi="Arial" w:cs="Arial"/>
          <w:color w:val="000000"/>
          <w:sz w:val="24"/>
          <w:szCs w:val="24"/>
        </w:rPr>
        <w:t xml:space="preserve"> de alimentação. </w:t>
      </w:r>
      <w:r w:rsidRPr="00BA29DD">
        <w:rPr>
          <w:rFonts w:ascii="Arial" w:hAnsi="Arial" w:cs="Arial"/>
          <w:color w:val="000000"/>
          <w:sz w:val="24"/>
          <w:szCs w:val="24"/>
        </w:rPr>
        <w:t>Este estudo teve como objetivo avaliar modelos não lineares (</w:t>
      </w:r>
      <w:r w:rsidR="00464F1A">
        <w:rPr>
          <w:rFonts w:ascii="Arial" w:hAnsi="Arial" w:cs="Arial"/>
          <w:color w:val="000000"/>
          <w:sz w:val="24"/>
          <w:szCs w:val="24"/>
        </w:rPr>
        <w:t>v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on </w:t>
      </w:r>
      <w:proofErr w:type="spellStart"/>
      <w:r w:rsidRPr="00BA29DD">
        <w:rPr>
          <w:rFonts w:ascii="Arial" w:hAnsi="Arial" w:cs="Arial"/>
          <w:color w:val="000000"/>
          <w:sz w:val="24"/>
          <w:szCs w:val="24"/>
        </w:rPr>
        <w:t>Bertalanffy</w:t>
      </w:r>
      <w:proofErr w:type="spellEnd"/>
      <w:r w:rsidRPr="00BA29D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A29DD">
        <w:rPr>
          <w:rFonts w:ascii="Arial" w:hAnsi="Arial" w:cs="Arial"/>
          <w:color w:val="000000"/>
          <w:sz w:val="24"/>
          <w:szCs w:val="24"/>
        </w:rPr>
        <w:t>Gompertz</w:t>
      </w:r>
      <w:proofErr w:type="spellEnd"/>
      <w:r w:rsidRPr="00BA29DD">
        <w:rPr>
          <w:rFonts w:ascii="Arial" w:hAnsi="Arial" w:cs="Arial"/>
          <w:color w:val="000000"/>
          <w:sz w:val="24"/>
          <w:szCs w:val="24"/>
        </w:rPr>
        <w:t xml:space="preserve">, </w:t>
      </w:r>
      <w:r w:rsidR="00464F1A">
        <w:rPr>
          <w:rFonts w:ascii="Arial" w:hAnsi="Arial" w:cs="Arial"/>
          <w:color w:val="000000"/>
          <w:sz w:val="24"/>
          <w:szCs w:val="24"/>
        </w:rPr>
        <w:t>l</w:t>
      </w:r>
      <w:r w:rsidRPr="00BA29DD">
        <w:rPr>
          <w:rFonts w:ascii="Arial" w:hAnsi="Arial" w:cs="Arial"/>
          <w:color w:val="000000"/>
          <w:sz w:val="24"/>
          <w:szCs w:val="24"/>
        </w:rPr>
        <w:t>ogístico</w:t>
      </w:r>
      <w:r w:rsidR="00017972">
        <w:rPr>
          <w:rFonts w:ascii="Arial" w:hAnsi="Arial" w:cs="Arial"/>
          <w:color w:val="000000"/>
          <w:sz w:val="24"/>
          <w:szCs w:val="24"/>
        </w:rPr>
        <w:t>,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 Richards</w:t>
      </w:r>
      <w:r w:rsidR="00017972">
        <w:rPr>
          <w:rFonts w:ascii="Arial" w:hAnsi="Arial" w:cs="Arial"/>
          <w:color w:val="000000"/>
          <w:sz w:val="24"/>
          <w:szCs w:val="24"/>
        </w:rPr>
        <w:t xml:space="preserve"> e Brody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) para descrever as curvas de deposição de proteína e gordura em codornas japonesas de 1 a 36 dias. O experimento envolveu 225 </w:t>
      </w:r>
      <w:r w:rsidR="00017972">
        <w:rPr>
          <w:rFonts w:ascii="Arial" w:hAnsi="Arial" w:cs="Arial"/>
          <w:color w:val="000000"/>
          <w:sz w:val="24"/>
          <w:szCs w:val="24"/>
        </w:rPr>
        <w:t>codornas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 em delineamento inteiramente </w:t>
      </w:r>
      <w:proofErr w:type="spellStart"/>
      <w:r w:rsidRPr="00BA29DD">
        <w:rPr>
          <w:rFonts w:ascii="Arial" w:hAnsi="Arial" w:cs="Arial"/>
          <w:color w:val="000000"/>
          <w:sz w:val="24"/>
          <w:szCs w:val="24"/>
        </w:rPr>
        <w:t>casualizado</w:t>
      </w:r>
      <w:proofErr w:type="spellEnd"/>
      <w:r w:rsidRPr="00BA29DD">
        <w:rPr>
          <w:rFonts w:ascii="Arial" w:hAnsi="Arial" w:cs="Arial"/>
          <w:color w:val="000000"/>
          <w:sz w:val="24"/>
          <w:szCs w:val="24"/>
        </w:rPr>
        <w:t xml:space="preserve">, com 15 repetições </w:t>
      </w:r>
      <w:r w:rsidR="00464F1A">
        <w:rPr>
          <w:rFonts w:ascii="Arial" w:hAnsi="Arial" w:cs="Arial"/>
          <w:color w:val="000000"/>
          <w:sz w:val="24"/>
          <w:szCs w:val="24"/>
        </w:rPr>
        <w:t>com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 15</w:t>
      </w:r>
      <w:r w:rsidR="00017972">
        <w:rPr>
          <w:rFonts w:ascii="Arial" w:hAnsi="Arial" w:cs="Arial"/>
          <w:color w:val="000000"/>
          <w:sz w:val="24"/>
          <w:szCs w:val="24"/>
        </w:rPr>
        <w:t xml:space="preserve"> aves</w:t>
      </w:r>
      <w:r w:rsidRPr="00BA29DD">
        <w:rPr>
          <w:rFonts w:ascii="Arial" w:hAnsi="Arial" w:cs="Arial"/>
          <w:color w:val="000000"/>
          <w:sz w:val="24"/>
          <w:szCs w:val="24"/>
        </w:rPr>
        <w:t>. A</w:t>
      </w:r>
      <w:r w:rsidR="00464F1A">
        <w:rPr>
          <w:rFonts w:ascii="Arial" w:hAnsi="Arial" w:cs="Arial"/>
          <w:color w:val="000000"/>
          <w:sz w:val="24"/>
          <w:szCs w:val="24"/>
        </w:rPr>
        <w:t>os 1, 3, 6, 9, 12, 15, 18, 21, 24, 27, 30, 33 e 36 dias de idade</w:t>
      </w:r>
      <w:r w:rsidRPr="00BA29DD">
        <w:rPr>
          <w:rFonts w:ascii="Arial" w:hAnsi="Arial" w:cs="Arial"/>
          <w:color w:val="000000"/>
          <w:sz w:val="24"/>
          <w:szCs w:val="24"/>
        </w:rPr>
        <w:t>, após jejum de 1</w:t>
      </w:r>
      <w:r w:rsidR="002A5D6A">
        <w:rPr>
          <w:rFonts w:ascii="Arial" w:hAnsi="Arial" w:cs="Arial"/>
          <w:color w:val="000000"/>
          <w:sz w:val="24"/>
          <w:szCs w:val="24"/>
        </w:rPr>
        <w:t>5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 horas, </w:t>
      </w:r>
      <w:r w:rsidR="00464F1A">
        <w:rPr>
          <w:rFonts w:ascii="Arial" w:hAnsi="Arial" w:cs="Arial"/>
          <w:color w:val="000000"/>
          <w:sz w:val="24"/>
          <w:szCs w:val="24"/>
        </w:rPr>
        <w:t xml:space="preserve">um grupo de codornas </w:t>
      </w:r>
      <w:r w:rsidRPr="00BA29DD">
        <w:rPr>
          <w:rFonts w:ascii="Arial" w:hAnsi="Arial" w:cs="Arial"/>
          <w:color w:val="000000"/>
          <w:sz w:val="24"/>
          <w:szCs w:val="24"/>
        </w:rPr>
        <w:t>foram abatidas para análise da composição química corporal. Os dados foram ajustados aos modelos e avaliados pelo coeficiente de determinação (R²), critérios de informação (AIC e BIC)</w:t>
      </w:r>
      <w:r w:rsidR="00017972">
        <w:rPr>
          <w:rFonts w:ascii="Arial" w:hAnsi="Arial" w:cs="Arial"/>
          <w:color w:val="000000"/>
          <w:sz w:val="24"/>
          <w:szCs w:val="24"/>
        </w:rPr>
        <w:t>,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 plausibilidade biológica</w:t>
      </w:r>
      <w:r w:rsidR="00464F1A">
        <w:rPr>
          <w:rFonts w:ascii="Arial" w:hAnsi="Arial" w:cs="Arial"/>
          <w:color w:val="000000"/>
          <w:sz w:val="24"/>
          <w:szCs w:val="24"/>
        </w:rPr>
        <w:t xml:space="preserve"> e pelo índice assintótico</w:t>
      </w:r>
      <w:r w:rsidR="00C5210C">
        <w:rPr>
          <w:rFonts w:ascii="Arial" w:hAnsi="Arial" w:cs="Arial"/>
          <w:color w:val="000000"/>
          <w:sz w:val="24"/>
          <w:szCs w:val="24"/>
        </w:rPr>
        <w:t xml:space="preserve"> [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>I</w:t>
      </w:r>
      <w:r w:rsidR="002F09C7">
        <w:rPr>
          <w:rFonts w:ascii="Arial" w:hAnsi="Arial" w:cs="Arial"/>
          <w:color w:val="000000"/>
          <w:sz w:val="24"/>
          <w:szCs w:val="24"/>
        </w:rPr>
        <w:t>A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 = (D</w:t>
      </w:r>
      <w:r w:rsidR="00C5210C">
        <w:rPr>
          <w:rFonts w:ascii="Arial" w:hAnsi="Arial" w:cs="Arial"/>
          <w:color w:val="000000"/>
          <w:sz w:val="24"/>
          <w:szCs w:val="24"/>
        </w:rPr>
        <w:t>PA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 +</w:t>
      </w:r>
      <w:r w:rsidR="00C5210C">
        <w:rPr>
          <w:rFonts w:ascii="Arial" w:hAnsi="Arial" w:cs="Arial"/>
          <w:color w:val="000000"/>
          <w:sz w:val="24"/>
          <w:szCs w:val="24"/>
        </w:rPr>
        <w:t xml:space="preserve"> 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>D</w:t>
      </w:r>
      <w:r w:rsidR="00C5210C">
        <w:rPr>
          <w:rFonts w:ascii="Arial" w:hAnsi="Arial" w:cs="Arial"/>
          <w:color w:val="000000"/>
          <w:sz w:val="24"/>
          <w:szCs w:val="24"/>
        </w:rPr>
        <w:t>MA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>) − R²</w:t>
      </w:r>
      <w:r w:rsidR="00C5210C">
        <w:rPr>
          <w:rFonts w:ascii="Arial" w:hAnsi="Arial" w:cs="Arial"/>
          <w:color w:val="000000"/>
          <w:sz w:val="24"/>
          <w:szCs w:val="24"/>
        </w:rPr>
        <w:t>]</w:t>
      </w:r>
      <w:r w:rsidRPr="00BA29DD">
        <w:rPr>
          <w:rFonts w:ascii="Arial" w:hAnsi="Arial" w:cs="Arial"/>
          <w:color w:val="000000"/>
          <w:sz w:val="24"/>
          <w:szCs w:val="24"/>
        </w:rPr>
        <w:t xml:space="preserve">. 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C5210C">
        <w:rPr>
          <w:rFonts w:ascii="Arial" w:hAnsi="Arial" w:cs="Arial"/>
          <w:color w:val="000000"/>
          <w:sz w:val="24"/>
          <w:szCs w:val="24"/>
        </w:rPr>
        <w:t xml:space="preserve">deposição de 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proteína </w:t>
      </w:r>
      <w:r w:rsidR="00C5210C">
        <w:rPr>
          <w:rFonts w:ascii="Arial" w:hAnsi="Arial" w:cs="Arial"/>
          <w:color w:val="000000"/>
          <w:sz w:val="24"/>
          <w:szCs w:val="24"/>
        </w:rPr>
        <w:t>na carcaça das codornas</w:t>
      </w:r>
      <w:r w:rsidR="002F09C7">
        <w:rPr>
          <w:rFonts w:ascii="Arial" w:hAnsi="Arial" w:cs="Arial"/>
          <w:color w:val="000000"/>
          <w:sz w:val="24"/>
          <w:szCs w:val="24"/>
        </w:rPr>
        <w:t xml:space="preserve"> os dados foram melhor ajustados pelo modelo </w:t>
      </w:r>
      <w:r w:rsidR="00C5210C">
        <w:rPr>
          <w:rFonts w:ascii="Arial" w:hAnsi="Arial" w:cs="Arial"/>
          <w:color w:val="000000"/>
          <w:sz w:val="24"/>
          <w:szCs w:val="24"/>
        </w:rPr>
        <w:t xml:space="preserve">logístico </w:t>
      </w:r>
      <w:r w:rsidR="002F09C7">
        <w:rPr>
          <w:rFonts w:ascii="Arial" w:hAnsi="Arial" w:cs="Arial"/>
          <w:color w:val="000000"/>
          <w:sz w:val="24"/>
          <w:szCs w:val="24"/>
        </w:rPr>
        <w:t xml:space="preserve">com inflexão aos </w:t>
      </w:r>
      <w:r w:rsidR="00C5210C">
        <w:rPr>
          <w:rFonts w:ascii="Arial" w:hAnsi="Arial" w:cs="Arial"/>
          <w:color w:val="000000"/>
          <w:sz w:val="24"/>
          <w:szCs w:val="24"/>
        </w:rPr>
        <w:t>17,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5 dias. A gordura foi mais bem descrita pelo </w:t>
      </w:r>
      <w:r w:rsidR="002F09C7">
        <w:rPr>
          <w:rFonts w:ascii="Arial" w:hAnsi="Arial" w:cs="Arial"/>
          <w:color w:val="000000"/>
          <w:sz w:val="24"/>
          <w:szCs w:val="24"/>
        </w:rPr>
        <w:t xml:space="preserve">modelo 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>Richards</w:t>
      </w:r>
      <w:r w:rsidR="002F09C7">
        <w:rPr>
          <w:rFonts w:ascii="Arial" w:hAnsi="Arial" w:cs="Arial"/>
          <w:color w:val="000000"/>
          <w:sz w:val="24"/>
          <w:szCs w:val="24"/>
        </w:rPr>
        <w:t xml:space="preserve"> com 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inflexão aos 35,6 dias, indicando deposição lipídica tardia. Esses </w:t>
      </w:r>
      <w:r w:rsidR="002F09C7">
        <w:rPr>
          <w:rFonts w:ascii="Arial" w:hAnsi="Arial" w:cs="Arial"/>
          <w:color w:val="000000"/>
          <w:sz w:val="24"/>
          <w:szCs w:val="24"/>
        </w:rPr>
        <w:t xml:space="preserve">achados 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sustentam um plano nutricional </w:t>
      </w:r>
      <w:r w:rsidR="002F09C7">
        <w:rPr>
          <w:rFonts w:ascii="Arial" w:hAnsi="Arial" w:cs="Arial"/>
          <w:color w:val="000000"/>
          <w:sz w:val="24"/>
          <w:szCs w:val="24"/>
        </w:rPr>
        <w:t xml:space="preserve">para codornas japonesas em crescimento 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>em três fases (1–18, 19–29, 30–36 dias)</w:t>
      </w:r>
      <w:r w:rsidR="002F09C7">
        <w:rPr>
          <w:rFonts w:ascii="Arial" w:hAnsi="Arial" w:cs="Arial"/>
          <w:color w:val="000000"/>
          <w:sz w:val="24"/>
          <w:szCs w:val="24"/>
        </w:rPr>
        <w:t>, onde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 xml:space="preserve">: </w:t>
      </w:r>
      <w:r w:rsidR="002F09C7">
        <w:rPr>
          <w:rFonts w:ascii="Arial" w:hAnsi="Arial" w:cs="Arial"/>
          <w:color w:val="000000"/>
          <w:sz w:val="24"/>
          <w:szCs w:val="24"/>
        </w:rPr>
        <w:t>na primeira fase maior aporte de aminoácidos, na segunda fase relação proteína energia mais próxima e na terceira fase maior suporte energético para prepara</w:t>
      </w:r>
      <w:r w:rsidR="00017972">
        <w:rPr>
          <w:rFonts w:ascii="Arial" w:hAnsi="Arial" w:cs="Arial"/>
          <w:color w:val="000000"/>
          <w:sz w:val="24"/>
          <w:szCs w:val="24"/>
        </w:rPr>
        <w:t>r</w:t>
      </w:r>
      <w:r w:rsidR="002F09C7">
        <w:rPr>
          <w:rFonts w:ascii="Arial" w:hAnsi="Arial" w:cs="Arial"/>
          <w:color w:val="000000"/>
          <w:sz w:val="24"/>
          <w:szCs w:val="24"/>
        </w:rPr>
        <w:t xml:space="preserve"> as aves para manter maior persistência de postura</w:t>
      </w:r>
      <w:r w:rsidR="00C5210C" w:rsidRPr="00C5210C">
        <w:rPr>
          <w:rFonts w:ascii="Arial" w:hAnsi="Arial" w:cs="Arial"/>
          <w:color w:val="000000"/>
          <w:sz w:val="24"/>
          <w:szCs w:val="24"/>
        </w:rPr>
        <w:t>.</w:t>
      </w:r>
    </w:p>
    <w:p w14:paraId="3660365E" w14:textId="77777777" w:rsidR="00C5210C" w:rsidRPr="00BA29DD" w:rsidRDefault="00C5210C" w:rsidP="00BA29DD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6B1A11" w14:textId="02E56FA1" w:rsidR="00F07C5D" w:rsidRDefault="0081094D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BA29DD" w:rsidRPr="00BA29DD">
        <w:rPr>
          <w:rFonts w:ascii="Arial" w:hAnsi="Arial" w:cs="Arial"/>
          <w:color w:val="000000"/>
          <w:sz w:val="24"/>
          <w:szCs w:val="24"/>
        </w:rPr>
        <w:t>Composição corporal; Modelagem não linear; Codorna japonesa.</w:t>
      </w:r>
    </w:p>
    <w:p w14:paraId="314BAA8C" w14:textId="77777777" w:rsidR="001F587F" w:rsidRDefault="001F587F" w:rsidP="001F587F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E5FA48" w14:textId="3CF64688" w:rsidR="00F07C5D" w:rsidRDefault="0081094D" w:rsidP="008757EB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INTRODUÇÃO</w:t>
      </w:r>
    </w:p>
    <w:p w14:paraId="7D4D1E89" w14:textId="4B12C81A" w:rsidR="00CC5B37" w:rsidRDefault="00CC5B37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 w:rsidRPr="00CC5B37">
        <w:rPr>
          <w:rFonts w:ascii="Arial" w:hAnsi="Arial" w:cs="Arial"/>
          <w:color w:val="000000"/>
          <w:sz w:val="24"/>
          <w:szCs w:val="24"/>
        </w:rPr>
        <w:t xml:space="preserve">A formulação de dietas para codornas ainda se apoia sobretudo </w:t>
      </w:r>
      <w:r w:rsidR="00017972">
        <w:rPr>
          <w:rFonts w:ascii="Arial" w:hAnsi="Arial" w:cs="Arial"/>
          <w:color w:val="000000"/>
          <w:sz w:val="24"/>
          <w:szCs w:val="24"/>
        </w:rPr>
        <w:t>nas recomendações da Tabela para Codornas Japonesas e Europeias (</w:t>
      </w:r>
      <w:r w:rsidRPr="00CC5B37">
        <w:rPr>
          <w:rFonts w:ascii="Arial" w:hAnsi="Arial" w:cs="Arial"/>
          <w:color w:val="000000"/>
          <w:sz w:val="24"/>
          <w:szCs w:val="24"/>
        </w:rPr>
        <w:t>Silva e Costa</w:t>
      </w:r>
      <w:r w:rsidR="0001797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C5B37">
        <w:rPr>
          <w:rFonts w:ascii="Arial" w:hAnsi="Arial" w:cs="Arial"/>
          <w:color w:val="000000"/>
          <w:sz w:val="24"/>
          <w:szCs w:val="24"/>
        </w:rPr>
        <w:t>2009) e na Tabela Brasileira</w:t>
      </w:r>
      <w:r w:rsidR="007E5980">
        <w:rPr>
          <w:rFonts w:ascii="Arial" w:hAnsi="Arial" w:cs="Arial"/>
          <w:color w:val="000000"/>
          <w:sz w:val="24"/>
          <w:szCs w:val="24"/>
        </w:rPr>
        <w:t xml:space="preserve"> para Aves e Suínos</w:t>
      </w:r>
      <w:r w:rsidRPr="00CC5B37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CC5B37">
        <w:rPr>
          <w:rFonts w:ascii="Arial" w:hAnsi="Arial" w:cs="Arial"/>
          <w:color w:val="000000"/>
          <w:sz w:val="24"/>
          <w:szCs w:val="24"/>
        </w:rPr>
        <w:t>Rostagno</w:t>
      </w:r>
      <w:proofErr w:type="spellEnd"/>
      <w:r w:rsidRPr="00CC5B37">
        <w:rPr>
          <w:rFonts w:ascii="Arial" w:hAnsi="Arial" w:cs="Arial"/>
          <w:color w:val="000000"/>
          <w:sz w:val="24"/>
          <w:szCs w:val="24"/>
        </w:rPr>
        <w:t xml:space="preserve"> et al., 2024). Entre as metodologias, destacam-se a abordagem fatorial e a modelagem do crescimento e da composição corporal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CC5B37">
        <w:rPr>
          <w:rFonts w:ascii="Arial" w:hAnsi="Arial" w:cs="Arial"/>
          <w:color w:val="000000"/>
          <w:sz w:val="24"/>
          <w:szCs w:val="24"/>
        </w:rPr>
        <w:t>Grieser</w:t>
      </w:r>
      <w:proofErr w:type="spellEnd"/>
      <w:r w:rsidRPr="00CC5B37">
        <w:rPr>
          <w:rFonts w:ascii="Arial" w:hAnsi="Arial" w:cs="Arial"/>
          <w:color w:val="000000"/>
          <w:sz w:val="24"/>
          <w:szCs w:val="24"/>
        </w:rPr>
        <w:t xml:space="preserve"> et al., 2018).</w:t>
      </w:r>
    </w:p>
    <w:p w14:paraId="56437828" w14:textId="055CBC36" w:rsidR="00F64926" w:rsidRDefault="00F64926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 w:rsidRPr="00F64926">
        <w:rPr>
          <w:rFonts w:ascii="Arial" w:hAnsi="Arial" w:cs="Arial"/>
          <w:color w:val="000000"/>
          <w:sz w:val="24"/>
          <w:szCs w:val="24"/>
        </w:rPr>
        <w:t>Como ponte entre o diagnóstico e o objetivo, destacamos que conectar curvas de crescimento a planos nutricionais requer estimativas dinâmicas de deposição de proteína e lipídeos ao longo d</w:t>
      </w:r>
      <w:r w:rsidR="007E5980">
        <w:rPr>
          <w:rFonts w:ascii="Arial" w:hAnsi="Arial" w:cs="Arial"/>
          <w:color w:val="000000"/>
          <w:sz w:val="24"/>
          <w:szCs w:val="24"/>
        </w:rPr>
        <w:t>os dias</w:t>
      </w:r>
      <w:r w:rsidRPr="00F64926">
        <w:rPr>
          <w:rFonts w:ascii="Arial" w:hAnsi="Arial" w:cs="Arial"/>
          <w:color w:val="000000"/>
          <w:sz w:val="24"/>
          <w:szCs w:val="24"/>
        </w:rPr>
        <w:t>. Métodos como abate comparativo, calorimetria indireta</w:t>
      </w:r>
      <w:r w:rsidR="006154CC">
        <w:rPr>
          <w:rFonts w:ascii="Arial" w:hAnsi="Arial" w:cs="Arial"/>
          <w:color w:val="000000"/>
          <w:sz w:val="24"/>
          <w:szCs w:val="24"/>
        </w:rPr>
        <w:t xml:space="preserve">, direta, </w:t>
      </w:r>
      <w:r w:rsidRPr="00F64926">
        <w:rPr>
          <w:rFonts w:ascii="Arial" w:hAnsi="Arial" w:cs="Arial"/>
          <w:color w:val="000000"/>
          <w:sz w:val="24"/>
          <w:szCs w:val="24"/>
        </w:rPr>
        <w:t>viabilizam quantificar a composição corporal ao parametrizar funções não lineares, esses resultados se traduzem em alvos práticos de formulação por fase (aminoácidos digestíveis e energia), com ajuste a linhagem, sexo e ambiente.</w:t>
      </w:r>
    </w:p>
    <w:p w14:paraId="54BE8863" w14:textId="77D606E8" w:rsidR="005F3021" w:rsidRDefault="00CC5B37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 w:rsidRPr="00CC5B37">
        <w:rPr>
          <w:rFonts w:ascii="Arial" w:hAnsi="Arial" w:cs="Arial"/>
          <w:color w:val="000000"/>
          <w:sz w:val="24"/>
          <w:szCs w:val="24"/>
        </w:rPr>
        <w:t>Embora haja estudos que estabelecem curvas de crescimento (</w:t>
      </w:r>
      <w:r w:rsidR="008757EB">
        <w:rPr>
          <w:rFonts w:ascii="Arial" w:hAnsi="Arial" w:cs="Arial"/>
          <w:color w:val="000000"/>
          <w:sz w:val="24"/>
          <w:szCs w:val="24"/>
        </w:rPr>
        <w:t xml:space="preserve">Finco et al., 2016; </w:t>
      </w:r>
      <w:proofErr w:type="spellStart"/>
      <w:r w:rsidRPr="00CC5B37">
        <w:rPr>
          <w:rFonts w:ascii="Arial" w:hAnsi="Arial" w:cs="Arial"/>
          <w:color w:val="000000"/>
          <w:sz w:val="24"/>
          <w:szCs w:val="24"/>
        </w:rPr>
        <w:t>Grieser</w:t>
      </w:r>
      <w:proofErr w:type="spellEnd"/>
      <w:r w:rsidRPr="00CC5B37">
        <w:rPr>
          <w:rFonts w:ascii="Arial" w:hAnsi="Arial" w:cs="Arial"/>
          <w:color w:val="000000"/>
          <w:sz w:val="24"/>
          <w:szCs w:val="24"/>
        </w:rPr>
        <w:t xml:space="preserve"> et al., 2018</w:t>
      </w:r>
      <w:r w:rsidR="008757EB">
        <w:rPr>
          <w:rFonts w:ascii="Arial" w:hAnsi="Arial" w:cs="Arial"/>
          <w:color w:val="000000"/>
          <w:sz w:val="24"/>
          <w:szCs w:val="24"/>
        </w:rPr>
        <w:t>)</w:t>
      </w:r>
      <w:r w:rsidRPr="00CC5B37">
        <w:rPr>
          <w:rFonts w:ascii="Arial" w:hAnsi="Arial" w:cs="Arial"/>
          <w:color w:val="000000"/>
          <w:sz w:val="24"/>
          <w:szCs w:val="24"/>
        </w:rPr>
        <w:t>, poucos conectam esses resultados a novos planos nutricionais. Assim, objetivamos comparar cinco funções não lineares para a deposição de gordura e proteína na carcaça de codornas. A pesquisa tem alta relevância na região Norte</w:t>
      </w:r>
      <w:r w:rsidR="00F50931">
        <w:rPr>
          <w:rFonts w:ascii="Arial" w:hAnsi="Arial" w:cs="Arial"/>
          <w:color w:val="000000"/>
          <w:sz w:val="24"/>
          <w:szCs w:val="24"/>
        </w:rPr>
        <w:t xml:space="preserve"> do Brasil</w:t>
      </w:r>
      <w:r w:rsidRPr="00CC5B37">
        <w:rPr>
          <w:rFonts w:ascii="Arial" w:hAnsi="Arial" w:cs="Arial"/>
          <w:color w:val="000000"/>
          <w:sz w:val="24"/>
          <w:szCs w:val="24"/>
        </w:rPr>
        <w:t xml:space="preserve">, onde o setor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coturnícula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B37">
        <w:rPr>
          <w:rFonts w:ascii="Arial" w:hAnsi="Arial" w:cs="Arial"/>
          <w:color w:val="000000"/>
          <w:sz w:val="24"/>
          <w:szCs w:val="24"/>
        </w:rPr>
        <w:t>é pouco explorado, oferecendo oportunidade de desenvolvimento e renda para pequenos produtores.</w:t>
      </w:r>
    </w:p>
    <w:p w14:paraId="56C6502F" w14:textId="432128BB" w:rsidR="00F07C5D" w:rsidRDefault="0081094D" w:rsidP="008757EB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</w:t>
      </w:r>
    </w:p>
    <w:p w14:paraId="1D85AD8C" w14:textId="570B7CF9" w:rsidR="00A55587" w:rsidRDefault="00A55587" w:rsidP="00A5558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55587">
        <w:rPr>
          <w:rFonts w:ascii="Arial" w:eastAsia="Arial" w:hAnsi="Arial" w:cs="Arial"/>
          <w:b/>
          <w:bCs/>
          <w:sz w:val="24"/>
          <w:szCs w:val="24"/>
        </w:rPr>
        <w:t xml:space="preserve">BASE TEÓRICA </w:t>
      </w:r>
    </w:p>
    <w:p w14:paraId="3B0E8C44" w14:textId="51AD26FA" w:rsidR="00A55587" w:rsidRDefault="00A55587" w:rsidP="002F6F42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55587">
        <w:rPr>
          <w:rFonts w:ascii="Arial" w:hAnsi="Arial" w:cs="Arial"/>
          <w:sz w:val="24"/>
          <w:szCs w:val="24"/>
        </w:rPr>
        <w:t>A modelagem matemática é ferramenta essencial para auxiliar na compreensão do crescimento e da composição corporal das aves. As funções não lineares mais empregadas na avicultura,</w:t>
      </w:r>
      <w:r>
        <w:rPr>
          <w:rFonts w:ascii="Arial" w:hAnsi="Arial" w:cs="Arial"/>
          <w:sz w:val="24"/>
          <w:szCs w:val="24"/>
        </w:rPr>
        <w:t xml:space="preserve"> </w:t>
      </w:r>
      <w:r w:rsidRPr="00A55587">
        <w:rPr>
          <w:rFonts w:ascii="Arial" w:hAnsi="Arial" w:cs="Arial"/>
          <w:sz w:val="24"/>
          <w:szCs w:val="24"/>
        </w:rPr>
        <w:t>fornecem parâmetros biologicamente interpretáveis — assíntota de peso (a), taxa de crescimento (k) e idade no ponto de inflexão (tᵢ) — que permitem descrever o ritmo de crescimento e a priorização tecidual (</w:t>
      </w:r>
      <w:proofErr w:type="spellStart"/>
      <w:r w:rsidRPr="00A55587">
        <w:rPr>
          <w:rFonts w:ascii="Arial" w:hAnsi="Arial" w:cs="Arial"/>
          <w:sz w:val="24"/>
          <w:szCs w:val="24"/>
        </w:rPr>
        <w:t>Tholon</w:t>
      </w:r>
      <w:proofErr w:type="spellEnd"/>
      <w:r w:rsidRPr="00A55587">
        <w:rPr>
          <w:rFonts w:ascii="Arial" w:hAnsi="Arial" w:cs="Arial"/>
          <w:sz w:val="24"/>
          <w:szCs w:val="24"/>
        </w:rPr>
        <w:t xml:space="preserve"> e Queiroz, 2009). </w:t>
      </w:r>
      <w:r>
        <w:rPr>
          <w:rFonts w:ascii="Arial" w:hAnsi="Arial" w:cs="Arial"/>
          <w:sz w:val="24"/>
          <w:szCs w:val="24"/>
        </w:rPr>
        <w:t>Assim</w:t>
      </w:r>
      <w:r w:rsidRPr="00A55587">
        <w:rPr>
          <w:rFonts w:ascii="Arial" w:hAnsi="Arial" w:cs="Arial"/>
          <w:sz w:val="24"/>
          <w:szCs w:val="24"/>
        </w:rPr>
        <w:t xml:space="preserve">, é de extrema importância a escolha criteriosa do modelo para garantir </w:t>
      </w:r>
      <w:r w:rsidRPr="00A55587">
        <w:rPr>
          <w:rFonts w:ascii="Arial" w:hAnsi="Arial" w:cs="Arial"/>
          <w:sz w:val="24"/>
          <w:szCs w:val="24"/>
        </w:rPr>
        <w:lastRenderedPageBreak/>
        <w:t>coerência biológica e precisão nas recomendações nutricionais específicas da espécie.</w:t>
      </w:r>
    </w:p>
    <w:p w14:paraId="33AD370C" w14:textId="77777777" w:rsidR="00A55587" w:rsidRPr="00A55587" w:rsidRDefault="00A55587" w:rsidP="00A55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7C8CE4" w14:textId="77777777" w:rsidR="00F07C5D" w:rsidRDefault="0081094D" w:rsidP="008757EB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1A5CD4DB" w14:textId="77777777" w:rsidR="009E3F63" w:rsidRDefault="009E3F63" w:rsidP="008757E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Objetivos Gerais: </w:t>
      </w:r>
    </w:p>
    <w:p w14:paraId="20C4857C" w14:textId="1F6C9B9D" w:rsidR="002F09C7" w:rsidRDefault="009E3F63" w:rsidP="00A55587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9E3F63">
        <w:rPr>
          <w:rFonts w:ascii="Arial" w:eastAsia="Arial" w:hAnsi="Arial" w:cs="Arial"/>
          <w:sz w:val="24"/>
          <w:szCs w:val="24"/>
        </w:rPr>
        <w:t>Determinar qual melhor modelo (</w:t>
      </w:r>
      <w:r w:rsidR="002F6F42">
        <w:rPr>
          <w:rFonts w:ascii="Arial" w:eastAsia="Arial" w:hAnsi="Arial" w:cs="Arial"/>
          <w:sz w:val="24"/>
          <w:szCs w:val="24"/>
        </w:rPr>
        <w:t>v</w:t>
      </w:r>
      <w:r w:rsidRPr="009E3F63">
        <w:rPr>
          <w:rFonts w:ascii="Arial" w:eastAsia="Arial" w:hAnsi="Arial" w:cs="Arial"/>
          <w:sz w:val="24"/>
          <w:szCs w:val="24"/>
        </w:rPr>
        <w:t xml:space="preserve">on </w:t>
      </w:r>
      <w:proofErr w:type="spellStart"/>
      <w:r w:rsidRPr="009E3F63">
        <w:rPr>
          <w:rFonts w:ascii="Arial" w:eastAsia="Arial" w:hAnsi="Arial" w:cs="Arial"/>
          <w:sz w:val="24"/>
          <w:szCs w:val="24"/>
        </w:rPr>
        <w:t>Bertalanffy</w:t>
      </w:r>
      <w:proofErr w:type="spellEnd"/>
      <w:r w:rsidRPr="009E3F63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9E3F63">
        <w:rPr>
          <w:rFonts w:ascii="Arial" w:eastAsia="Arial" w:hAnsi="Arial" w:cs="Arial"/>
          <w:sz w:val="24"/>
          <w:szCs w:val="24"/>
        </w:rPr>
        <w:t>Gompertz</w:t>
      </w:r>
      <w:proofErr w:type="spellEnd"/>
      <w:r w:rsidRPr="009E3F63">
        <w:rPr>
          <w:rFonts w:ascii="Arial" w:eastAsia="Arial" w:hAnsi="Arial" w:cs="Arial"/>
          <w:sz w:val="24"/>
          <w:szCs w:val="24"/>
        </w:rPr>
        <w:t>, Logístico</w:t>
      </w:r>
      <w:r w:rsidR="002F6F42">
        <w:rPr>
          <w:rFonts w:ascii="Arial" w:eastAsia="Arial" w:hAnsi="Arial" w:cs="Arial"/>
          <w:sz w:val="24"/>
          <w:szCs w:val="24"/>
        </w:rPr>
        <w:t xml:space="preserve">, </w:t>
      </w:r>
      <w:r w:rsidRPr="009E3F63">
        <w:rPr>
          <w:rFonts w:ascii="Arial" w:eastAsia="Arial" w:hAnsi="Arial" w:cs="Arial"/>
          <w:sz w:val="24"/>
          <w:szCs w:val="24"/>
        </w:rPr>
        <w:t>Richards</w:t>
      </w:r>
      <w:r w:rsidR="002F6F42">
        <w:rPr>
          <w:rFonts w:ascii="Arial" w:eastAsia="Arial" w:hAnsi="Arial" w:cs="Arial"/>
          <w:sz w:val="24"/>
          <w:szCs w:val="24"/>
        </w:rPr>
        <w:t xml:space="preserve"> e Brody</w:t>
      </w:r>
      <w:r w:rsidRPr="009E3F63">
        <w:rPr>
          <w:rFonts w:ascii="Arial" w:eastAsia="Arial" w:hAnsi="Arial" w:cs="Arial"/>
          <w:sz w:val="24"/>
          <w:szCs w:val="24"/>
        </w:rPr>
        <w:t>) para descrever as curvas de deposição de componentes corporais (proteína e gordura) de codornas para postura no período de 01 a 36 dias de idade</w:t>
      </w:r>
      <w:r>
        <w:rPr>
          <w:rFonts w:ascii="Arial" w:eastAsia="Arial" w:hAnsi="Arial" w:cs="Arial"/>
          <w:sz w:val="24"/>
          <w:szCs w:val="24"/>
        </w:rPr>
        <w:t>.</w:t>
      </w:r>
    </w:p>
    <w:p w14:paraId="26F4EAD4" w14:textId="6796D70A" w:rsidR="009E3F63" w:rsidRDefault="009E3F63" w:rsidP="008757E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Objetivos Específicos: </w:t>
      </w:r>
    </w:p>
    <w:p w14:paraId="4FFB1047" w14:textId="7ABD29F8" w:rsidR="00E17D0D" w:rsidRDefault="002A5D6A" w:rsidP="008757EB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Compreender a utilização de nutrientes pelas codornas e com isso sugerir novo</w:t>
      </w:r>
      <w:r w:rsidR="00F40EB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plano</w:t>
      </w:r>
      <w:r w:rsidR="00F40EB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nutriciona</w:t>
      </w:r>
      <w:r w:rsidR="00F40EB9">
        <w:rPr>
          <w:rFonts w:ascii="Arial" w:eastAsia="Arial" w:hAnsi="Arial" w:cs="Arial"/>
          <w:sz w:val="24"/>
          <w:szCs w:val="24"/>
        </w:rPr>
        <w:t>is</w:t>
      </w:r>
      <w:r w:rsidR="008158D7">
        <w:rPr>
          <w:rFonts w:ascii="Arial" w:eastAsia="Arial" w:hAnsi="Arial" w:cs="Arial"/>
          <w:sz w:val="24"/>
          <w:szCs w:val="24"/>
        </w:rPr>
        <w:t>.</w:t>
      </w:r>
      <w:r w:rsidR="0081094D">
        <w:rPr>
          <w:rFonts w:ascii="Arial" w:eastAsia="Arial" w:hAnsi="Arial" w:cs="Arial"/>
          <w:sz w:val="20"/>
          <w:szCs w:val="20"/>
        </w:rPr>
        <w:t xml:space="preserve">    </w:t>
      </w:r>
    </w:p>
    <w:p w14:paraId="110DCA71" w14:textId="4EFCB6BB" w:rsidR="00F07C5D" w:rsidRDefault="0081094D" w:rsidP="008757E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</w:t>
      </w:r>
    </w:p>
    <w:p w14:paraId="6D474426" w14:textId="162EF194" w:rsidR="00D56454" w:rsidRPr="005F3021" w:rsidRDefault="0081094D" w:rsidP="008757EB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652A8CCE" w14:textId="151F730B" w:rsidR="00E41992" w:rsidRDefault="00E41992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1992">
        <w:rPr>
          <w:rFonts w:ascii="Arial" w:hAnsi="Arial" w:cs="Arial"/>
          <w:i/>
          <w:iCs/>
          <w:color w:val="000000"/>
          <w:sz w:val="24"/>
          <w:szCs w:val="24"/>
        </w:rPr>
        <w:t>Aves e alojamento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757EB">
        <w:rPr>
          <w:rFonts w:ascii="Arial" w:hAnsi="Arial" w:cs="Arial"/>
          <w:color w:val="000000"/>
          <w:sz w:val="24"/>
          <w:szCs w:val="24"/>
        </w:rPr>
        <w:t xml:space="preserve">Foram adquiridas 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300 codornas japonesas fêmeas (Granja </w:t>
      </w:r>
      <w:proofErr w:type="spellStart"/>
      <w:r w:rsidRPr="00E41992">
        <w:rPr>
          <w:rFonts w:ascii="Arial" w:hAnsi="Arial" w:cs="Arial"/>
          <w:color w:val="000000"/>
          <w:sz w:val="24"/>
          <w:szCs w:val="24"/>
        </w:rPr>
        <w:t>Fujikura</w:t>
      </w:r>
      <w:proofErr w:type="spellEnd"/>
      <w:r w:rsidRPr="00E41992">
        <w:rPr>
          <w:rFonts w:ascii="Arial" w:hAnsi="Arial" w:cs="Arial"/>
          <w:color w:val="000000"/>
          <w:sz w:val="24"/>
          <w:szCs w:val="24"/>
        </w:rPr>
        <w:t>®)</w:t>
      </w:r>
      <w:r w:rsidR="008757EB">
        <w:rPr>
          <w:rFonts w:ascii="Arial" w:hAnsi="Arial" w:cs="Arial"/>
          <w:color w:val="000000"/>
          <w:sz w:val="24"/>
          <w:szCs w:val="24"/>
        </w:rPr>
        <w:t xml:space="preserve">, que foram alojadas em </w:t>
      </w:r>
      <w:r w:rsidRPr="00E41992">
        <w:rPr>
          <w:rFonts w:ascii="Arial" w:hAnsi="Arial" w:cs="Arial"/>
          <w:color w:val="000000"/>
          <w:sz w:val="24"/>
          <w:szCs w:val="24"/>
        </w:rPr>
        <w:t>15 gaiolas de arame galvanizado (</w:t>
      </w:r>
      <w:r w:rsidR="00E17D0D">
        <w:rPr>
          <w:rFonts w:ascii="Arial" w:hAnsi="Arial" w:cs="Arial"/>
          <w:color w:val="000000"/>
          <w:sz w:val="24"/>
          <w:szCs w:val="24"/>
        </w:rPr>
        <w:t>75</w:t>
      </w:r>
      <w:r w:rsidRPr="00E41992">
        <w:rPr>
          <w:rFonts w:ascii="Arial" w:hAnsi="Arial" w:cs="Arial"/>
          <w:color w:val="000000"/>
          <w:sz w:val="24"/>
          <w:szCs w:val="24"/>
        </w:rPr>
        <w:t>×</w:t>
      </w:r>
      <w:r w:rsidR="00E17D0D">
        <w:rPr>
          <w:rFonts w:ascii="Arial" w:hAnsi="Arial" w:cs="Arial"/>
          <w:color w:val="000000"/>
          <w:sz w:val="24"/>
          <w:szCs w:val="24"/>
        </w:rPr>
        <w:t>80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×20 cm), </w:t>
      </w:r>
      <w:r w:rsidR="008757EB">
        <w:rPr>
          <w:rFonts w:ascii="Arial" w:hAnsi="Arial" w:cs="Arial"/>
          <w:color w:val="000000"/>
          <w:sz w:val="24"/>
          <w:szCs w:val="24"/>
        </w:rPr>
        <w:t xml:space="preserve">com </w:t>
      </w:r>
      <w:r w:rsidRPr="00E41992">
        <w:rPr>
          <w:rFonts w:ascii="Arial" w:hAnsi="Arial" w:cs="Arial"/>
          <w:color w:val="000000"/>
          <w:sz w:val="24"/>
          <w:szCs w:val="24"/>
        </w:rPr>
        <w:t>15 aves/gaiola = 225 aves utilizadas (</w:t>
      </w:r>
      <w:r w:rsidR="00E17D0D">
        <w:rPr>
          <w:rFonts w:ascii="Arial" w:hAnsi="Arial" w:cs="Arial"/>
          <w:color w:val="000000"/>
          <w:sz w:val="24"/>
          <w:szCs w:val="24"/>
        </w:rPr>
        <w:t>400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 cm²/ave). Bebedouros, comedouros e lâmpada</w:t>
      </w:r>
      <w:r w:rsidR="008757EB">
        <w:rPr>
          <w:rFonts w:ascii="Arial" w:hAnsi="Arial" w:cs="Arial"/>
          <w:color w:val="000000"/>
          <w:sz w:val="24"/>
          <w:szCs w:val="24"/>
        </w:rPr>
        <w:t>s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 incandescente</w:t>
      </w:r>
      <w:r w:rsidR="008757EB">
        <w:rPr>
          <w:rFonts w:ascii="Arial" w:hAnsi="Arial" w:cs="Arial"/>
          <w:color w:val="000000"/>
          <w:sz w:val="24"/>
          <w:szCs w:val="24"/>
        </w:rPr>
        <w:t>s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 de 60 W </w:t>
      </w:r>
      <w:r w:rsidR="008757EB">
        <w:rPr>
          <w:rFonts w:ascii="Arial" w:hAnsi="Arial" w:cs="Arial"/>
          <w:color w:val="000000"/>
          <w:sz w:val="24"/>
          <w:szCs w:val="24"/>
        </w:rPr>
        <w:t xml:space="preserve">compunham a estrutura de cada </w:t>
      </w:r>
      <w:r w:rsidRPr="00E41992">
        <w:rPr>
          <w:rFonts w:ascii="Arial" w:hAnsi="Arial" w:cs="Arial"/>
          <w:color w:val="000000"/>
          <w:sz w:val="24"/>
          <w:szCs w:val="24"/>
        </w:rPr>
        <w:t>gaiola. Temperatura e umidade monitoradas por termo-higrômetro digital na altura das gaiolas.</w:t>
      </w:r>
    </w:p>
    <w:p w14:paraId="17F81F3B" w14:textId="77777777" w:rsidR="00F64926" w:rsidRDefault="00E41992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1992">
        <w:rPr>
          <w:rFonts w:ascii="Arial" w:hAnsi="Arial" w:cs="Arial"/>
          <w:i/>
          <w:iCs/>
          <w:color w:val="000000"/>
          <w:sz w:val="24"/>
          <w:szCs w:val="24"/>
        </w:rPr>
        <w:t>Programa de Luz: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 Para evitar postura até 36 dias</w:t>
      </w:r>
      <w:r>
        <w:rPr>
          <w:rFonts w:ascii="Arial" w:hAnsi="Arial" w:cs="Arial"/>
          <w:color w:val="000000"/>
          <w:sz w:val="24"/>
          <w:szCs w:val="24"/>
        </w:rPr>
        <w:t xml:space="preserve"> de idade das codornas</w:t>
      </w:r>
      <w:r w:rsidRPr="00E41992">
        <w:rPr>
          <w:rFonts w:ascii="Arial" w:hAnsi="Arial" w:cs="Arial"/>
          <w:color w:val="000000"/>
          <w:sz w:val="24"/>
          <w:szCs w:val="24"/>
        </w:rPr>
        <w:t>: 24 h de luz nas duas primeiras semanas; depois 12 h/dia até 36 dias (controle com timer analógico)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E673728" w14:textId="600E1994" w:rsidR="008158D7" w:rsidRDefault="00E41992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1992">
        <w:rPr>
          <w:rFonts w:ascii="Arial" w:hAnsi="Arial" w:cs="Arial"/>
          <w:i/>
          <w:iCs/>
          <w:color w:val="000000"/>
          <w:sz w:val="24"/>
          <w:szCs w:val="24"/>
        </w:rPr>
        <w:t>Delineamento e dietas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: Delineamento inteiramente ao acaso; cada 3 gaiolas = 1 repetição. Duas dietas </w:t>
      </w:r>
      <w:r>
        <w:rPr>
          <w:rFonts w:ascii="Arial" w:hAnsi="Arial" w:cs="Arial"/>
          <w:color w:val="000000"/>
          <w:sz w:val="24"/>
          <w:szCs w:val="24"/>
        </w:rPr>
        <w:t xml:space="preserve">formuladas 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conforme </w:t>
      </w:r>
      <w:r w:rsidR="009E1CA2">
        <w:rPr>
          <w:rFonts w:ascii="Arial" w:hAnsi="Arial" w:cs="Arial"/>
          <w:color w:val="000000"/>
          <w:sz w:val="24"/>
          <w:szCs w:val="24"/>
        </w:rPr>
        <w:t>as recomendações da Tabela Brasileira para Aves e Suínos (</w:t>
      </w:r>
      <w:proofErr w:type="spellStart"/>
      <w:r w:rsidRPr="00E41992">
        <w:rPr>
          <w:rFonts w:ascii="Arial" w:hAnsi="Arial" w:cs="Arial"/>
          <w:color w:val="000000"/>
          <w:sz w:val="24"/>
          <w:szCs w:val="24"/>
        </w:rPr>
        <w:t>Rostagno</w:t>
      </w:r>
      <w:proofErr w:type="spellEnd"/>
      <w:r w:rsidRPr="00E41992">
        <w:rPr>
          <w:rFonts w:ascii="Arial" w:hAnsi="Arial" w:cs="Arial"/>
          <w:color w:val="000000"/>
          <w:sz w:val="24"/>
          <w:szCs w:val="24"/>
        </w:rPr>
        <w:t xml:space="preserve"> et al., 2024</w:t>
      </w:r>
      <w:r w:rsidR="009E1CA2">
        <w:rPr>
          <w:rFonts w:ascii="Arial" w:hAnsi="Arial" w:cs="Arial"/>
          <w:color w:val="000000"/>
          <w:sz w:val="24"/>
          <w:szCs w:val="24"/>
        </w:rPr>
        <w:t>)</w:t>
      </w:r>
      <w:r w:rsidRPr="00E41992">
        <w:rPr>
          <w:rFonts w:ascii="Arial" w:hAnsi="Arial" w:cs="Arial"/>
          <w:color w:val="000000"/>
          <w:sz w:val="24"/>
          <w:szCs w:val="24"/>
        </w:rPr>
        <w:t>: fase inicial (1–14</w:t>
      </w:r>
      <w:r>
        <w:rPr>
          <w:rFonts w:ascii="Arial" w:hAnsi="Arial" w:cs="Arial"/>
          <w:color w:val="000000"/>
          <w:sz w:val="24"/>
          <w:szCs w:val="24"/>
        </w:rPr>
        <w:t xml:space="preserve"> dias</w:t>
      </w:r>
      <w:r w:rsidRPr="00E41992">
        <w:rPr>
          <w:rFonts w:ascii="Arial" w:hAnsi="Arial" w:cs="Arial"/>
          <w:color w:val="000000"/>
          <w:sz w:val="24"/>
          <w:szCs w:val="24"/>
        </w:rPr>
        <w:t>) e crescimento (15–36 d</w:t>
      </w:r>
      <w:r>
        <w:rPr>
          <w:rFonts w:ascii="Arial" w:hAnsi="Arial" w:cs="Arial"/>
          <w:color w:val="000000"/>
          <w:sz w:val="24"/>
          <w:szCs w:val="24"/>
        </w:rPr>
        <w:t>ias de idade</w:t>
      </w:r>
      <w:r w:rsidRPr="00E41992">
        <w:rPr>
          <w:rFonts w:ascii="Arial" w:hAnsi="Arial" w:cs="Arial"/>
          <w:color w:val="000000"/>
          <w:sz w:val="24"/>
          <w:szCs w:val="24"/>
        </w:rPr>
        <w:t>).</w:t>
      </w:r>
      <w:r w:rsidR="008158D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ECAF4E" w14:textId="77777777" w:rsidR="00F64926" w:rsidRDefault="00E41992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1992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 xml:space="preserve">Amostragem e abate: 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Em cada ponto amostral, </w:t>
      </w:r>
      <w:r>
        <w:rPr>
          <w:rFonts w:ascii="Arial" w:hAnsi="Arial" w:cs="Arial"/>
          <w:color w:val="000000"/>
          <w:sz w:val="24"/>
          <w:szCs w:val="24"/>
        </w:rPr>
        <w:t xml:space="preserve">codornas </w:t>
      </w:r>
      <w:r w:rsidRPr="00E41992">
        <w:rPr>
          <w:rFonts w:ascii="Arial" w:hAnsi="Arial" w:cs="Arial"/>
          <w:color w:val="000000"/>
          <w:sz w:val="24"/>
          <w:szCs w:val="24"/>
        </w:rPr>
        <w:t>com peso médio (±5%) da repetição foram pesadas às 17h nos dias 1, 3, 6, 9, 12, 15, 18, 21, 24, 27, 30, 33 e 36, submetidas a jejum de 15 h e abatidas às 8h do dia seguinte por deslocamento cervical para peso em jejum.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12FC89" w14:textId="6BE9036D" w:rsidR="008158D7" w:rsidRDefault="00E41992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1992">
        <w:rPr>
          <w:rFonts w:ascii="Arial" w:hAnsi="Arial" w:cs="Arial"/>
          <w:i/>
          <w:iCs/>
          <w:color w:val="000000"/>
          <w:sz w:val="24"/>
          <w:szCs w:val="24"/>
        </w:rPr>
        <w:t>Processamento e análises:</w:t>
      </w:r>
      <w:r w:rsidRPr="00E41992">
        <w:rPr>
          <w:rFonts w:ascii="Arial" w:hAnsi="Arial" w:cs="Arial"/>
          <w:color w:val="000000"/>
          <w:sz w:val="24"/>
          <w:szCs w:val="24"/>
        </w:rPr>
        <w:t xml:space="preserve"> </w:t>
      </w:r>
      <w:r w:rsidR="00D56454" w:rsidRPr="00D56454">
        <w:rPr>
          <w:rFonts w:ascii="Arial" w:hAnsi="Arial" w:cs="Arial"/>
          <w:color w:val="000000"/>
          <w:sz w:val="24"/>
          <w:szCs w:val="24"/>
        </w:rPr>
        <w:t>As carcaças foram devidamente identificadas e congeladas (-20ºC) e posteriormente foram trituradas em moinho de carne industrial para melhor homogeneização da amostra. As análises foram realizadas no Laboratório de Nutrição Animal do Centro de Ciências Agrárias (UFNT).</w:t>
      </w:r>
    </w:p>
    <w:p w14:paraId="54ADE11D" w14:textId="2F356EC7" w:rsidR="002A5D6A" w:rsidRDefault="00D56454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D56454">
        <w:rPr>
          <w:rFonts w:ascii="Arial" w:hAnsi="Arial" w:cs="Arial"/>
          <w:color w:val="000000"/>
          <w:sz w:val="24"/>
          <w:szCs w:val="24"/>
        </w:rPr>
        <w:t>Foram utilizados cinco modelos não lineares</w:t>
      </w:r>
      <w:r w:rsidR="008757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6454">
        <w:rPr>
          <w:rFonts w:ascii="Arial" w:hAnsi="Arial" w:cs="Arial"/>
          <w:color w:val="000000"/>
          <w:sz w:val="24"/>
          <w:szCs w:val="24"/>
        </w:rPr>
        <w:t xml:space="preserve">para estimar a curva de crescimento e dos componentes corporais. Os dados serão analisados com auxílio do Programa </w:t>
      </w:r>
      <w:proofErr w:type="spellStart"/>
      <w:r w:rsidRPr="00D56454">
        <w:rPr>
          <w:rFonts w:ascii="Arial" w:hAnsi="Arial" w:cs="Arial"/>
          <w:color w:val="000000"/>
          <w:sz w:val="24"/>
          <w:szCs w:val="24"/>
        </w:rPr>
        <w:t>Statistical</w:t>
      </w:r>
      <w:proofErr w:type="spellEnd"/>
      <w:r w:rsidRPr="00D5645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56454">
        <w:rPr>
          <w:rFonts w:ascii="Arial" w:hAnsi="Arial" w:cs="Arial"/>
          <w:color w:val="000000"/>
          <w:sz w:val="24"/>
          <w:szCs w:val="24"/>
        </w:rPr>
        <w:t>Analyses</w:t>
      </w:r>
      <w:proofErr w:type="spellEnd"/>
      <w:r w:rsidRPr="00D56454">
        <w:rPr>
          <w:rFonts w:ascii="Arial" w:hAnsi="Arial" w:cs="Arial"/>
          <w:color w:val="000000"/>
          <w:sz w:val="24"/>
          <w:szCs w:val="24"/>
        </w:rPr>
        <w:t xml:space="preserve"> System – SAS (2000). </w:t>
      </w:r>
      <w:r w:rsidR="00376D45" w:rsidRPr="00376D45">
        <w:rPr>
          <w:rFonts w:ascii="Arial" w:hAnsi="Arial" w:cs="Arial"/>
          <w:color w:val="000000"/>
          <w:sz w:val="24"/>
          <w:szCs w:val="24"/>
        </w:rPr>
        <w:t xml:space="preserve">von </w:t>
      </w:r>
      <w:proofErr w:type="spellStart"/>
      <w:r w:rsidR="00376D45" w:rsidRPr="00376D45">
        <w:rPr>
          <w:rFonts w:ascii="Arial" w:hAnsi="Arial" w:cs="Arial"/>
          <w:color w:val="000000"/>
          <w:sz w:val="24"/>
          <w:szCs w:val="24"/>
        </w:rPr>
        <w:t>Bertalanffy</w:t>
      </w:r>
      <w:proofErr w:type="spellEnd"/>
      <w:r w:rsidR="00376D45">
        <w:rPr>
          <w:rFonts w:ascii="Arial" w:hAnsi="Arial" w:cs="Arial"/>
          <w:color w:val="000000"/>
          <w:sz w:val="24"/>
          <w:szCs w:val="24"/>
        </w:rPr>
        <w:t xml:space="preserve"> - </w:t>
      </w:r>
      <w:r w:rsidR="00376D45" w:rsidRPr="002A5D6A">
        <w:rPr>
          <w:rFonts w:ascii="Arial" w:eastAsia="Arial" w:hAnsi="Arial" w:cs="Arial"/>
          <w:sz w:val="24"/>
          <w:szCs w:val="28"/>
        </w:rPr>
        <w:t xml:space="preserve">Y(t) = A × {1 – </w:t>
      </w:r>
      <m:oMath>
        <m:sSup>
          <m:sSupPr>
            <m:ctrlPr>
              <w:rPr>
                <w:rFonts w:ascii="Cambria Math" w:eastAsia="Arial" w:hAnsi="Cambria Math" w:cs="Arial"/>
                <w:iCs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Arial"/>
                <w:sz w:val="24"/>
                <w:szCs w:val="28"/>
              </w:rPr>
              <m:t>e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="Arial" w:hAnsi="Cambria Math" w:cs="Arial"/>
                    <w:iCs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rial" w:hAnsi="Cambria Math" w:cs="Arial"/>
                    <w:sz w:val="24"/>
                    <w:szCs w:val="28"/>
                  </w:rPr>
                  <m:t>-k</m:t>
                </m:r>
                <m:d>
                  <m:dPr>
                    <m:ctrlPr>
                      <w:rPr>
                        <w:rFonts w:ascii="Cambria Math" w:eastAsia="Arial" w:hAnsi="Cambria Math" w:cs="Arial"/>
                        <w:iCs/>
                        <w:sz w:val="24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z w:val="24"/>
                        <w:szCs w:val="28"/>
                      </w:rPr>
                      <m:t>t-ti</m:t>
                    </m:r>
                  </m:e>
                </m:d>
              </m:e>
            </m:d>
          </m:sup>
        </m:sSup>
        <m:r>
          <m:rPr>
            <m:sty m:val="p"/>
          </m:rPr>
          <w:rPr>
            <w:rFonts w:ascii="Cambria Math" w:eastAsia="Arial" w:hAnsi="Cambria Math" w:cs="Arial"/>
            <w:sz w:val="24"/>
            <w:szCs w:val="28"/>
          </w:rPr>
          <m:t>}</m:t>
        </m:r>
      </m:oMath>
      <w:r w:rsidR="00376D45" w:rsidRPr="002A5D6A">
        <w:rPr>
          <w:rFonts w:ascii="Arial" w:eastAsia="Arial" w:hAnsi="Arial" w:cs="Arial"/>
          <w:sz w:val="24"/>
          <w:szCs w:val="28"/>
        </w:rPr>
        <w:t>³</w:t>
      </w:r>
      <w:r w:rsidR="00376D45">
        <w:rPr>
          <w:rFonts w:ascii="Arial" w:eastAsia="Arial" w:hAnsi="Arial" w:cs="Arial"/>
          <w:sz w:val="24"/>
          <w:szCs w:val="28"/>
        </w:rPr>
        <w:t xml:space="preserve">; </w:t>
      </w:r>
      <w:proofErr w:type="spellStart"/>
      <w:r w:rsidR="00376D45" w:rsidRPr="002A5D6A">
        <w:rPr>
          <w:rFonts w:ascii="Arial" w:hAnsi="Arial" w:cs="Arial"/>
          <w:sz w:val="24"/>
          <w:szCs w:val="28"/>
        </w:rPr>
        <w:t>Gompertz</w:t>
      </w:r>
      <w:proofErr w:type="spellEnd"/>
      <w:r w:rsidR="00376D45">
        <w:rPr>
          <w:rFonts w:ascii="Arial" w:hAnsi="Arial" w:cs="Arial"/>
          <w:sz w:val="24"/>
          <w:szCs w:val="28"/>
        </w:rPr>
        <w:t xml:space="preserve"> - </w:t>
      </w:r>
      <w:r w:rsidR="00376D45" w:rsidRPr="002A5D6A">
        <w:rPr>
          <w:rFonts w:ascii="Arial" w:eastAsia="Arial" w:hAnsi="Arial" w:cs="Arial"/>
          <w:sz w:val="24"/>
          <w:szCs w:val="28"/>
        </w:rPr>
        <w:t xml:space="preserve">Y(t) = A × </w:t>
      </w:r>
      <m:oMath>
        <m:sSup>
          <m:sSupPr>
            <m:ctrlPr>
              <w:rPr>
                <w:rFonts w:ascii="Cambria Math" w:eastAsia="Arial" w:hAnsi="Cambria Math" w:cs="Arial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="Arial" w:hAnsi="Cambria Math" w:cs="Arial"/>
                <w:sz w:val="24"/>
                <w:szCs w:val="28"/>
              </w:rPr>
              <m:t>e</m:t>
            </m:r>
          </m:e>
          <m:sup>
            <m:r>
              <w:rPr>
                <w:rFonts w:ascii="Cambria Math" w:eastAsia="Arial" w:hAnsi="Cambria Math" w:cs="Arial"/>
                <w:sz w:val="24"/>
                <w:szCs w:val="28"/>
              </w:rPr>
              <m:t>{-e</m:t>
            </m:r>
            <m:d>
              <m:dPr>
                <m:begChr m:val="["/>
                <m:endChr m:val="]"/>
                <m:ctrlPr>
                  <w:rPr>
                    <w:rFonts w:ascii="Cambria Math" w:eastAsia="Arial" w:hAnsi="Cambria Math" w:cs="Arial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="Arial" w:hAnsi="Cambria Math" w:cs="Arial"/>
                    <w:sz w:val="24"/>
                    <w:szCs w:val="28"/>
                  </w:rPr>
                  <m:t>-k</m:t>
                </m:r>
                <m:d>
                  <m:dPr>
                    <m:ctrlPr>
                      <w:rPr>
                        <w:rFonts w:ascii="Cambria Math" w:eastAsia="Arial" w:hAnsi="Cambria Math" w:cs="Arial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Arial" w:hAnsi="Cambria Math" w:cs="Arial"/>
                        <w:sz w:val="24"/>
                        <w:szCs w:val="28"/>
                      </w:rPr>
                      <m:t>t-ti</m:t>
                    </m:r>
                  </m:e>
                </m:d>
              </m:e>
            </m:d>
            <m:r>
              <w:rPr>
                <w:rFonts w:ascii="Cambria Math" w:eastAsia="Arial" w:hAnsi="Cambria Math" w:cs="Arial"/>
                <w:sz w:val="24"/>
                <w:szCs w:val="28"/>
              </w:rPr>
              <m:t>}</m:t>
            </m:r>
          </m:sup>
        </m:sSup>
      </m:oMath>
      <w:r w:rsidR="00376D45">
        <w:rPr>
          <w:rFonts w:ascii="Arial" w:eastAsia="Arial" w:hAnsi="Arial" w:cs="Arial"/>
          <w:sz w:val="24"/>
          <w:szCs w:val="28"/>
        </w:rPr>
        <w:t xml:space="preserve">; </w:t>
      </w:r>
      <w:proofErr w:type="spellStart"/>
      <w:r w:rsidR="00376D45" w:rsidRPr="00376D45">
        <w:rPr>
          <w:rFonts w:ascii="Arial" w:eastAsia="Arial" w:hAnsi="Arial" w:cs="Arial"/>
          <w:sz w:val="24"/>
          <w:szCs w:val="28"/>
        </w:rPr>
        <w:t>logistic</w:t>
      </w:r>
      <w:proofErr w:type="spellEnd"/>
      <w:r w:rsidR="00376D45">
        <w:rPr>
          <w:rFonts w:ascii="Arial" w:eastAsia="Arial" w:hAnsi="Arial" w:cs="Arial"/>
          <w:sz w:val="24"/>
          <w:szCs w:val="28"/>
        </w:rPr>
        <w:t xml:space="preserve"> - </w:t>
      </w:r>
      <w:r w:rsidR="00376D45" w:rsidRPr="002A5D6A">
        <w:rPr>
          <w:rFonts w:ascii="Arial" w:eastAsia="Arial" w:hAnsi="Arial" w:cs="Arial"/>
          <w:sz w:val="24"/>
          <w:szCs w:val="28"/>
        </w:rPr>
        <w:t xml:space="preserve">Y(t) = </w:t>
      </w:r>
      <m:oMath>
        <m:f>
          <m:fPr>
            <m:ctrlPr>
              <w:rPr>
                <w:rFonts w:ascii="Cambria Math" w:eastAsia="Arial" w:hAnsi="Cambria Math" w:cs="Arial"/>
                <w:iCs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="Arial"/>
                <w:sz w:val="24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Arial" w:hAnsi="Cambria Math" w:cs="Arial"/>
                <w:sz w:val="24"/>
                <w:szCs w:val="28"/>
              </w:rPr>
              <m:t>1+</m:t>
            </m:r>
            <m:sSup>
              <m:sSupPr>
                <m:ctrlPr>
                  <w:rPr>
                    <w:rFonts w:ascii="Cambria Math" w:eastAsia="Arial" w:hAnsi="Cambria Math" w:cs="Arial"/>
                    <w:iCs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rial" w:hAnsi="Cambria Math" w:cs="Arial"/>
                    <w:sz w:val="24"/>
                    <w:szCs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Arial" w:hAnsi="Cambria Math" w:cs="Arial"/>
                    <w:sz w:val="24"/>
                    <w:szCs w:val="28"/>
                  </w:rPr>
                  <m:t>[-k</m:t>
                </m:r>
                <m:d>
                  <m:dPr>
                    <m:ctrlPr>
                      <w:rPr>
                        <w:rFonts w:ascii="Cambria Math" w:eastAsia="Arial" w:hAnsi="Cambria Math" w:cs="Arial"/>
                        <w:iCs/>
                        <w:sz w:val="24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z w:val="24"/>
                        <w:szCs w:val="28"/>
                      </w:rPr>
                      <m:t>t-ti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Arial" w:hAnsi="Cambria Math" w:cs="Arial"/>
                    <w:sz w:val="24"/>
                    <w:szCs w:val="28"/>
                  </w:rPr>
                  <m:t>]</m:t>
                </m:r>
              </m:sup>
            </m:sSup>
          </m:den>
        </m:f>
      </m:oMath>
      <w:r w:rsidR="00376D45">
        <w:rPr>
          <w:rFonts w:ascii="Arial" w:eastAsia="Arial" w:hAnsi="Arial" w:cs="Arial"/>
          <w:sz w:val="24"/>
          <w:szCs w:val="28"/>
        </w:rPr>
        <w:t xml:space="preserve">; </w:t>
      </w:r>
      <w:r w:rsidR="00376D45" w:rsidRPr="002A5D6A">
        <w:rPr>
          <w:rFonts w:ascii="Arial" w:hAnsi="Arial" w:cs="Arial"/>
          <w:sz w:val="24"/>
          <w:szCs w:val="28"/>
        </w:rPr>
        <w:t>Richards</w:t>
      </w:r>
      <w:r w:rsidR="00376D45">
        <w:rPr>
          <w:rFonts w:ascii="Arial" w:hAnsi="Arial" w:cs="Arial"/>
          <w:sz w:val="24"/>
          <w:szCs w:val="28"/>
        </w:rPr>
        <w:t xml:space="preserve"> - </w:t>
      </w:r>
      <w:r w:rsidR="00376D45" w:rsidRPr="00376D45">
        <w:rPr>
          <w:rFonts w:ascii="Arial" w:hAnsi="Arial" w:cs="Arial"/>
          <w:sz w:val="24"/>
          <w:szCs w:val="28"/>
        </w:rPr>
        <w:t xml:space="preserve">Y(t) = A × {1 + m × </w:t>
      </w: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[-k</m:t>
            </m:r>
            <m:d>
              <m:dPr>
                <m:ctrlPr>
                  <w:rPr>
                    <w:rFonts w:ascii="Cambria Math" w:hAnsi="Cambria Math" w:cs="Arial"/>
                    <w:iCs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</w:rPr>
                  <m:t>t-ti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]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8"/>
          </w:rPr>
          <m:t>}</m:t>
        </m:r>
      </m:oMath>
      <w:r w:rsidR="00376D45" w:rsidRPr="00376D45">
        <w:rPr>
          <w:rFonts w:ascii="Arial" w:hAnsi="Arial" w:cs="Arial"/>
          <w:sz w:val="24"/>
          <w:szCs w:val="28"/>
          <w:vertAlign w:val="superscript"/>
        </w:rPr>
        <w:t>(-1/m)</w:t>
      </w:r>
      <w:r w:rsidR="00376D45" w:rsidRPr="00376D45">
        <w:rPr>
          <w:rFonts w:ascii="Arial" w:hAnsi="Arial" w:cs="Arial"/>
          <w:sz w:val="24"/>
          <w:szCs w:val="28"/>
        </w:rPr>
        <w:t>;</w:t>
      </w:r>
      <w:r w:rsidR="00376D45">
        <w:rPr>
          <w:rFonts w:ascii="Arial" w:hAnsi="Arial" w:cs="Arial"/>
          <w:sz w:val="24"/>
          <w:szCs w:val="28"/>
        </w:rPr>
        <w:t xml:space="preserve"> </w:t>
      </w:r>
      <w:r w:rsidR="00376D45" w:rsidRPr="002A5D6A">
        <w:rPr>
          <w:rFonts w:ascii="Arial" w:hAnsi="Arial" w:cs="Arial"/>
          <w:sz w:val="24"/>
          <w:szCs w:val="28"/>
        </w:rPr>
        <w:t>Brody</w:t>
      </w:r>
      <w:r w:rsidR="00376D45">
        <w:rPr>
          <w:rFonts w:ascii="Arial" w:hAnsi="Arial" w:cs="Arial"/>
          <w:sz w:val="24"/>
          <w:szCs w:val="28"/>
        </w:rPr>
        <w:t xml:space="preserve"> - </w:t>
      </w:r>
      <w:r w:rsidR="00376D45" w:rsidRPr="002A5D6A">
        <w:rPr>
          <w:rFonts w:ascii="Arial" w:hAnsi="Arial" w:cs="Arial"/>
          <w:sz w:val="24"/>
          <w:szCs w:val="28"/>
        </w:rPr>
        <w:t xml:space="preserve"> Y(t)=A × {1 - </w:t>
      </w: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[-k</m:t>
            </m:r>
            <m:d>
              <m:dPr>
                <m:ctrlPr>
                  <w:rPr>
                    <w:rFonts w:ascii="Cambria Math" w:hAnsi="Cambria Math" w:cs="Arial"/>
                    <w:iCs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</w:rPr>
                  <m:t>t-ti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]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8"/>
          </w:rPr>
          <m:t>}</m:t>
        </m:r>
      </m:oMath>
      <w:r w:rsidR="00376D45">
        <w:rPr>
          <w:rFonts w:ascii="Arial" w:hAnsi="Arial" w:cs="Arial"/>
          <w:sz w:val="24"/>
          <w:szCs w:val="28"/>
        </w:rPr>
        <w:t>.</w:t>
      </w:r>
    </w:p>
    <w:p w14:paraId="09EB2655" w14:textId="77777777" w:rsidR="00E17D0D" w:rsidRDefault="00E17D0D" w:rsidP="008757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DA82FB4" w14:textId="2C8A252D" w:rsidR="00D56454" w:rsidRPr="005F3021" w:rsidRDefault="0081094D" w:rsidP="008757EB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32C01F38" w14:textId="0C93DA22" w:rsidR="008158D7" w:rsidRDefault="00D56454" w:rsidP="008757EB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56454">
        <w:rPr>
          <w:rFonts w:ascii="Arial" w:hAnsi="Arial" w:cs="Arial"/>
        </w:rPr>
        <w:t xml:space="preserve">Na análise dos modelos aplicados à deposição de proteína, observou-se que o modelo Logístico apresentou melhor desempenho geral, combinando coerência biológica e consistência estatística. A assíntota estimada </w:t>
      </w:r>
      <w:r w:rsidR="00587E98">
        <w:rPr>
          <w:rFonts w:ascii="Arial" w:hAnsi="Arial" w:cs="Arial"/>
        </w:rPr>
        <w:t>em</w:t>
      </w:r>
      <w:r w:rsidRPr="00D56454">
        <w:rPr>
          <w:rFonts w:ascii="Arial" w:hAnsi="Arial" w:cs="Arial"/>
        </w:rPr>
        <w:t xml:space="preserve"> 27,3 g representa valores próximos à realidade da espécie, enquanto o ponto de inflexão, aos 17,5 dias, coincide com a fase de maior exigência proteica</w:t>
      </w:r>
      <w:r w:rsidR="00C5343F">
        <w:rPr>
          <w:rFonts w:ascii="Arial" w:hAnsi="Arial" w:cs="Arial"/>
        </w:rPr>
        <w:t xml:space="preserve">. </w:t>
      </w:r>
    </w:p>
    <w:p w14:paraId="5A8036A2" w14:textId="03BCD852" w:rsidR="008225A2" w:rsidRDefault="00D56454" w:rsidP="008225A2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56454">
        <w:rPr>
          <w:rFonts w:ascii="Arial" w:hAnsi="Arial" w:cs="Arial"/>
        </w:rPr>
        <w:t>O modelo Richards destacou-se como o mais adequado para representar a deposição de gordura, conciliando ótimo ajuste estatístico (r² = 0,979; AIC = -24,93; BIC = -16,23; IA = -63,38) e parâmetros biologicamente plausíveis. A assíntota estimada de 11,7 g e o ponto de inflexão em 35,6 dias confirmam que a deposição lipídica ocorre de forma tardia, intensificando-se apenas no final do período de crescimento</w:t>
      </w:r>
      <w:r w:rsidRPr="008158D7">
        <w:rPr>
          <w:rFonts w:ascii="Arial" w:hAnsi="Arial" w:cs="Arial"/>
        </w:rPr>
        <w:t>.</w:t>
      </w:r>
    </w:p>
    <w:p w14:paraId="507DA093" w14:textId="44D5C848" w:rsidR="008158D7" w:rsidRDefault="00295FF9" w:rsidP="008757EB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295FF9">
        <w:rPr>
          <w:rFonts w:ascii="Arial" w:hAnsi="Arial" w:cs="Arial"/>
        </w:rPr>
        <w:lastRenderedPageBreak/>
        <w:t xml:space="preserve">A deposição diária de proteína </w:t>
      </w:r>
      <w:r w:rsidR="008158D7" w:rsidRPr="008158D7">
        <w:rPr>
          <w:rFonts w:ascii="Arial" w:hAnsi="Arial" w:cs="Arial"/>
        </w:rPr>
        <w:t>(Figura 1)</w:t>
      </w:r>
      <w:r w:rsidR="00587E98">
        <w:rPr>
          <w:rFonts w:ascii="Arial" w:hAnsi="Arial" w:cs="Arial"/>
        </w:rPr>
        <w:t xml:space="preserve"> estima a partir dos modelos propostos,</w:t>
      </w:r>
      <w:r w:rsidR="008158D7" w:rsidRPr="008158D7">
        <w:rPr>
          <w:rFonts w:ascii="Arial" w:hAnsi="Arial" w:cs="Arial"/>
        </w:rPr>
        <w:t xml:space="preserve"> </w:t>
      </w:r>
      <w:r w:rsidRPr="00295FF9">
        <w:rPr>
          <w:rFonts w:ascii="Arial" w:hAnsi="Arial" w:cs="Arial"/>
        </w:rPr>
        <w:t>atingiu o pico de 1,082 g/dia aos 18 dias de idade, enquanto a deposição de cinzas (0,162 g/dia) estabiliz</w:t>
      </w:r>
      <w:r w:rsidR="00587E98">
        <w:rPr>
          <w:rFonts w:ascii="Arial" w:hAnsi="Arial" w:cs="Arial"/>
        </w:rPr>
        <w:t>ando</w:t>
      </w:r>
      <w:r w:rsidRPr="00295FF9">
        <w:rPr>
          <w:rFonts w:ascii="Arial" w:hAnsi="Arial" w:cs="Arial"/>
        </w:rPr>
        <w:t>-se mais cedo, por volta de 15 a 16 dias. A partir desse ponto, as taxas diárias de deposição de proteína e cinzas declinam progressivamente, enquanto a deposição de gordura aumenta</w:t>
      </w:r>
      <w:r w:rsidR="00587E98">
        <w:rPr>
          <w:rFonts w:ascii="Arial" w:hAnsi="Arial" w:cs="Arial"/>
        </w:rPr>
        <w:t>va</w:t>
      </w:r>
      <w:r w:rsidRPr="00295FF9">
        <w:rPr>
          <w:rFonts w:ascii="Arial" w:hAnsi="Arial" w:cs="Arial"/>
        </w:rPr>
        <w:t xml:space="preserve"> acentuadamente, atingindo cerca de 1,241 g/dia aos 35 dias (Figura 1). Padrões semelhantes foram descritos por </w:t>
      </w:r>
      <w:proofErr w:type="spellStart"/>
      <w:r w:rsidR="00C91D7B" w:rsidRPr="008158D7">
        <w:rPr>
          <w:rFonts w:ascii="Arial" w:hAnsi="Arial" w:cs="Arial"/>
        </w:rPr>
        <w:t>Grieser</w:t>
      </w:r>
      <w:proofErr w:type="spellEnd"/>
      <w:r w:rsidR="00C91D7B" w:rsidRPr="008158D7">
        <w:rPr>
          <w:rFonts w:ascii="Arial" w:hAnsi="Arial" w:cs="Arial"/>
        </w:rPr>
        <w:t xml:space="preserve"> et al. (2018)</w:t>
      </w:r>
      <w:r w:rsidRPr="00295FF9">
        <w:rPr>
          <w:rFonts w:ascii="Arial" w:hAnsi="Arial" w:cs="Arial"/>
        </w:rPr>
        <w:t>.</w:t>
      </w:r>
    </w:p>
    <w:p w14:paraId="2E2027ED" w14:textId="77777777" w:rsidR="00EA5AF0" w:rsidRDefault="00EA5AF0" w:rsidP="00EA5AF0">
      <w:pPr>
        <w:pStyle w:val="NormalWeb"/>
        <w:spacing w:beforeAutospacing="0" w:after="0" w:afterAutospacing="0" w:line="360" w:lineRule="auto"/>
        <w:rPr>
          <w:rFonts w:ascii="Arial" w:hAnsi="Arial" w:cs="Arial"/>
        </w:rPr>
      </w:pPr>
    </w:p>
    <w:p w14:paraId="16F646D4" w14:textId="36CDEE88" w:rsidR="008225A2" w:rsidRDefault="008225A2" w:rsidP="00EA5AF0">
      <w:pPr>
        <w:pStyle w:val="NormalWeb"/>
        <w:spacing w:beforeAutospacing="0" w:after="0" w:afterAutospacing="0" w:line="276" w:lineRule="auto"/>
        <w:rPr>
          <w:rFonts w:ascii="Arial" w:hAnsi="Arial" w:cs="Arial"/>
        </w:rPr>
      </w:pPr>
      <w:r w:rsidRPr="008158D7">
        <w:rPr>
          <w:rFonts w:ascii="Arial" w:hAnsi="Arial" w:cs="Arial"/>
        </w:rPr>
        <w:t>Figura 1. Curva de peso e deposição de nutrientes em codornas japonesas de 01</w:t>
      </w:r>
      <w:r w:rsidR="00EA5AF0">
        <w:rPr>
          <w:rFonts w:ascii="Arial" w:hAnsi="Arial" w:cs="Arial"/>
        </w:rPr>
        <w:t xml:space="preserve"> </w:t>
      </w:r>
      <w:r w:rsidRPr="008158D7">
        <w:rPr>
          <w:rFonts w:ascii="Arial" w:hAnsi="Arial" w:cs="Arial"/>
        </w:rPr>
        <w:t>a 36 dias de idade.</w:t>
      </w:r>
    </w:p>
    <w:p w14:paraId="2AEF6974" w14:textId="39EE70AE" w:rsidR="008225A2" w:rsidRDefault="008225A2" w:rsidP="008757EB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158D7">
        <w:rPr>
          <w:rFonts w:ascii="Arial" w:hAnsi="Arial" w:cs="Arial"/>
          <w:noProof/>
        </w:rPr>
        <w:drawing>
          <wp:inline distT="0" distB="0" distL="0" distR="0" wp14:anchorId="0B6586CD" wp14:editId="46BD0250">
            <wp:extent cx="5040201" cy="2941320"/>
            <wp:effectExtent l="0" t="0" r="8255" b="0"/>
            <wp:docPr id="926477765" name="Imagem 1" descr="Interface gráfica do usuário, 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77765" name="Imagem 1" descr="Interface gráfica do usuário, Gráfico, Gráfico de linhas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596" cy="296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0BF1" w14:textId="6ECE68F2" w:rsidR="00EA5AF0" w:rsidRPr="00EA5AF0" w:rsidRDefault="00EA5AF0" w:rsidP="00EA5AF0">
      <w:pPr>
        <w:pStyle w:val="NormalWeb"/>
        <w:spacing w:beforeAutospacing="0" w:after="24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EA5AF0">
        <w:rPr>
          <w:rFonts w:ascii="Arial" w:hAnsi="Arial" w:cs="Arial"/>
          <w:sz w:val="20"/>
          <w:szCs w:val="20"/>
        </w:rPr>
        <w:t>Fonte: Elaboração dos autores</w:t>
      </w:r>
    </w:p>
    <w:p w14:paraId="43636C14" w14:textId="71134DE4" w:rsidR="008158D7" w:rsidRDefault="00295FF9" w:rsidP="008757EB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295FF9">
        <w:rPr>
          <w:rFonts w:ascii="Arial" w:hAnsi="Arial" w:cs="Arial"/>
        </w:rPr>
        <w:t>A inversão na dinâmica de deposição (Figura 1), quando a deposição de gordura</w:t>
      </w:r>
      <w:r w:rsidR="008158D7">
        <w:rPr>
          <w:rFonts w:ascii="Arial" w:hAnsi="Arial" w:cs="Arial"/>
        </w:rPr>
        <w:t xml:space="preserve"> </w:t>
      </w:r>
      <w:r w:rsidRPr="00295FF9">
        <w:rPr>
          <w:rFonts w:ascii="Arial" w:hAnsi="Arial" w:cs="Arial"/>
        </w:rPr>
        <w:t xml:space="preserve">por volta dos 28,7 dias, </w:t>
      </w:r>
      <w:r w:rsidR="008158D7">
        <w:rPr>
          <w:rFonts w:ascii="Arial" w:hAnsi="Arial" w:cs="Arial"/>
        </w:rPr>
        <w:t xml:space="preserve">sobrepõe a deposição de proteína, ou seja, </w:t>
      </w:r>
      <w:r w:rsidRPr="00295FF9">
        <w:rPr>
          <w:rFonts w:ascii="Arial" w:hAnsi="Arial" w:cs="Arial"/>
        </w:rPr>
        <w:t>o metabolismo das codornas passa a priorizar o armazenamento de energia. Essa transição metabólica</w:t>
      </w:r>
      <w:r w:rsidR="008158D7">
        <w:rPr>
          <w:rFonts w:ascii="Arial" w:hAnsi="Arial" w:cs="Arial"/>
        </w:rPr>
        <w:t xml:space="preserve">, </w:t>
      </w:r>
      <w:r w:rsidRPr="00295FF9">
        <w:rPr>
          <w:rFonts w:ascii="Arial" w:hAnsi="Arial" w:cs="Arial"/>
        </w:rPr>
        <w:t xml:space="preserve">também observada em frangos de corte </w:t>
      </w:r>
      <w:r w:rsidR="00C91D7B" w:rsidRPr="008158D7">
        <w:rPr>
          <w:rFonts w:ascii="Arial" w:hAnsi="Arial" w:cs="Arial"/>
        </w:rPr>
        <w:t>(Finco et al., 2016)</w:t>
      </w:r>
      <w:r w:rsidR="00587E98">
        <w:rPr>
          <w:rFonts w:ascii="Arial" w:hAnsi="Arial" w:cs="Arial"/>
        </w:rPr>
        <w:t xml:space="preserve">, mas </w:t>
      </w:r>
      <w:r w:rsidR="00587E98">
        <w:rPr>
          <w:rFonts w:ascii="Arial" w:hAnsi="Arial" w:cs="Arial"/>
        </w:rPr>
        <w:lastRenderedPageBreak/>
        <w:t>não na mesma idade, e</w:t>
      </w:r>
      <w:r w:rsidR="00C91D7B" w:rsidRPr="008158D7">
        <w:rPr>
          <w:rFonts w:ascii="Arial" w:hAnsi="Arial" w:cs="Arial"/>
        </w:rPr>
        <w:t xml:space="preserve"> </w:t>
      </w:r>
      <w:r w:rsidRPr="00295FF9">
        <w:rPr>
          <w:rFonts w:ascii="Arial" w:hAnsi="Arial" w:cs="Arial"/>
        </w:rPr>
        <w:t>coincide com a redução na eficiência de utilização da proteína dietética e o aumento da lipogênese.</w:t>
      </w:r>
    </w:p>
    <w:p w14:paraId="626E246C" w14:textId="22A88A4A" w:rsidR="00E17D0D" w:rsidRPr="00295FF9" w:rsidRDefault="008158D7" w:rsidP="00EA5AF0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295FF9">
        <w:rPr>
          <w:rFonts w:ascii="Arial" w:hAnsi="Arial" w:cs="Arial"/>
        </w:rPr>
        <w:t xml:space="preserve">Para fins de comparação, </w:t>
      </w:r>
      <w:r w:rsidRPr="008158D7">
        <w:rPr>
          <w:rFonts w:ascii="Arial" w:hAnsi="Arial" w:cs="Arial"/>
        </w:rPr>
        <w:t>(</w:t>
      </w:r>
      <w:proofErr w:type="spellStart"/>
      <w:r w:rsidRPr="008158D7">
        <w:rPr>
          <w:rFonts w:ascii="Arial" w:hAnsi="Arial" w:cs="Arial"/>
        </w:rPr>
        <w:t>Grieser</w:t>
      </w:r>
      <w:proofErr w:type="spellEnd"/>
      <w:r w:rsidRPr="008158D7">
        <w:rPr>
          <w:rFonts w:ascii="Arial" w:hAnsi="Arial" w:cs="Arial"/>
        </w:rPr>
        <w:t xml:space="preserve"> et al., 2018) </w:t>
      </w:r>
      <w:r w:rsidRPr="00295FF9">
        <w:rPr>
          <w:rFonts w:ascii="Arial" w:hAnsi="Arial" w:cs="Arial"/>
        </w:rPr>
        <w:t>relatou que, na linhagem amarela, o pico de deposição de proteína ocorreu aos 18,4 dias (≈0,83 g/dia), com ganho de peso máximo aos 21 dias (4,10 g/dia). Na linhagem vermelha, os picos ocorreram aos 17,8 dias para proteína (≈0,93 g/dia), sendo o ganho de peso máximo também aos 21 dias (4,52 g/dia). No presente estudo, o ganho de peso máximo das codornas japonesas (4,86 g/dia) foi observado aos 16 dias de idade.</w:t>
      </w:r>
    </w:p>
    <w:p w14:paraId="58BEA018" w14:textId="3C0F1A91" w:rsidR="00BA496E" w:rsidRPr="008158D7" w:rsidRDefault="00BA496E" w:rsidP="008757EB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158D7">
        <w:rPr>
          <w:rFonts w:ascii="Arial" w:hAnsi="Arial" w:cs="Arial"/>
        </w:rPr>
        <w:t xml:space="preserve">Em termos nutricionais, os achados deste estudo sugerem a necessidade de revisão do atual programa alimentar para codornas japonesas. O esquema </w:t>
      </w:r>
      <w:r w:rsidR="00C71BE3">
        <w:rPr>
          <w:rFonts w:ascii="Arial" w:hAnsi="Arial" w:cs="Arial"/>
        </w:rPr>
        <w:t xml:space="preserve">em duas fases </w:t>
      </w:r>
      <w:r w:rsidRPr="008158D7">
        <w:rPr>
          <w:rFonts w:ascii="Arial" w:hAnsi="Arial" w:cs="Arial"/>
        </w:rPr>
        <w:t xml:space="preserve">recomendado pela </w:t>
      </w:r>
      <w:r w:rsidRPr="008158D7">
        <w:rPr>
          <w:rStyle w:val="nfase"/>
          <w:rFonts w:ascii="Arial" w:hAnsi="Arial" w:cs="Arial"/>
        </w:rPr>
        <w:t>Tabela Brasileira para Aves e Suínos</w:t>
      </w:r>
      <w:r w:rsidRPr="008158D7">
        <w:rPr>
          <w:rFonts w:ascii="Arial" w:hAnsi="Arial" w:cs="Arial"/>
        </w:rPr>
        <w:t xml:space="preserve"> (</w:t>
      </w:r>
      <w:proofErr w:type="spellStart"/>
      <w:r w:rsidRPr="008158D7">
        <w:rPr>
          <w:rFonts w:ascii="Arial" w:hAnsi="Arial" w:cs="Arial"/>
        </w:rPr>
        <w:t>Rostagno</w:t>
      </w:r>
      <w:proofErr w:type="spellEnd"/>
      <w:r w:rsidRPr="008158D7">
        <w:rPr>
          <w:rFonts w:ascii="Arial" w:hAnsi="Arial" w:cs="Arial"/>
        </w:rPr>
        <w:t xml:space="preserve"> et al., 2024), dividido em 1–14 e 15–35 dias, pode não atender plenamente às exigências fisiológicas de crescimento. Com base nos pontos de inflexão observados, propõe-se a adoção de um modelo </w:t>
      </w:r>
      <w:r w:rsidR="00C71BE3">
        <w:rPr>
          <w:rFonts w:ascii="Arial" w:hAnsi="Arial" w:cs="Arial"/>
        </w:rPr>
        <w:t xml:space="preserve">em três fases de </w:t>
      </w:r>
      <w:r w:rsidRPr="008158D7">
        <w:rPr>
          <w:rFonts w:ascii="Arial" w:hAnsi="Arial" w:cs="Arial"/>
        </w:rPr>
        <w:t>alimentação, dividido em: (</w:t>
      </w:r>
      <w:r w:rsidR="00E41992" w:rsidRPr="008158D7">
        <w:rPr>
          <w:rFonts w:ascii="Arial" w:hAnsi="Arial" w:cs="Arial"/>
        </w:rPr>
        <w:t>i</w:t>
      </w:r>
      <w:r w:rsidRPr="008158D7">
        <w:rPr>
          <w:rFonts w:ascii="Arial" w:hAnsi="Arial" w:cs="Arial"/>
        </w:rPr>
        <w:t>) 1 a 18 dias, priorizando proteína e aminoácidos essenciais, correspondendo ao pico de deposição proteica; (</w:t>
      </w:r>
      <w:proofErr w:type="spellStart"/>
      <w:r w:rsidR="00E41992" w:rsidRPr="008158D7">
        <w:rPr>
          <w:rFonts w:ascii="Arial" w:hAnsi="Arial" w:cs="Arial"/>
        </w:rPr>
        <w:t>ii</w:t>
      </w:r>
      <w:proofErr w:type="spellEnd"/>
      <w:r w:rsidR="00E41992" w:rsidRPr="008158D7">
        <w:rPr>
          <w:rFonts w:ascii="Arial" w:hAnsi="Arial" w:cs="Arial"/>
        </w:rPr>
        <w:t>)</w:t>
      </w:r>
      <w:r w:rsidRPr="008158D7">
        <w:rPr>
          <w:rFonts w:ascii="Arial" w:hAnsi="Arial" w:cs="Arial"/>
        </w:rPr>
        <w:t xml:space="preserve"> 19 a 29 dias, com equilíbrio entre proteína e energia, mantendo o ritmo de crescimento muscular; e (</w:t>
      </w:r>
      <w:proofErr w:type="spellStart"/>
      <w:r w:rsidR="00E41992" w:rsidRPr="008158D7">
        <w:rPr>
          <w:rFonts w:ascii="Arial" w:hAnsi="Arial" w:cs="Arial"/>
        </w:rPr>
        <w:t>iii</w:t>
      </w:r>
      <w:proofErr w:type="spellEnd"/>
      <w:r w:rsidRPr="008158D7">
        <w:rPr>
          <w:rFonts w:ascii="Arial" w:hAnsi="Arial" w:cs="Arial"/>
        </w:rPr>
        <w:t>) 30 a 36 dias, com maior aporte energético, acompanhando o aumento da deposição lipídica e o início da fase de produção de ovos.</w:t>
      </w:r>
    </w:p>
    <w:p w14:paraId="0E5BB805" w14:textId="77777777" w:rsidR="00F07C5D" w:rsidRDefault="00F07C5D" w:rsidP="008757E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8C5214B" w14:textId="54F7981C" w:rsidR="00DD7648" w:rsidRPr="005F3021" w:rsidRDefault="0081094D" w:rsidP="00F95836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</w:t>
      </w:r>
    </w:p>
    <w:p w14:paraId="0B1C6769" w14:textId="5CEABD6A" w:rsidR="00F07C5D" w:rsidRDefault="00376D45" w:rsidP="00F95836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D63B23">
        <w:rPr>
          <w:rFonts w:ascii="Arial" w:eastAsia="Arial" w:hAnsi="Arial" w:cs="Arial"/>
          <w:sz w:val="24"/>
          <w:szCs w:val="24"/>
        </w:rPr>
        <w:t>Para a deposição de proteína (</w:t>
      </w:r>
      <w:proofErr w:type="spellStart"/>
      <w:r w:rsidR="00B86C14">
        <w:rPr>
          <w:rFonts w:ascii="Arial" w:eastAsia="Arial" w:hAnsi="Arial" w:cs="Arial"/>
          <w:sz w:val="24"/>
          <w:szCs w:val="24"/>
        </w:rPr>
        <w:t>Dp</w:t>
      </w:r>
      <w:proofErr w:type="spellEnd"/>
      <w:r w:rsidRPr="00D63B23">
        <w:rPr>
          <w:rFonts w:ascii="Arial" w:eastAsia="Arial" w:hAnsi="Arial" w:cs="Arial"/>
          <w:sz w:val="24"/>
          <w:szCs w:val="24"/>
        </w:rPr>
        <w:t xml:space="preserve">) o modelo logístico </w:t>
      </w:r>
      <w:r w:rsidR="00E30ABC">
        <w:rPr>
          <w:rFonts w:ascii="Arial" w:eastAsia="Arial" w:hAnsi="Arial" w:cs="Arial"/>
          <w:sz w:val="24"/>
          <w:szCs w:val="24"/>
        </w:rPr>
        <w:t xml:space="preserve">foi: </w:t>
      </w:r>
      <w:proofErr w:type="spellStart"/>
      <w:r w:rsidR="00B86C14" w:rsidRPr="00D74CEA">
        <w:rPr>
          <w:rFonts w:ascii="Arial" w:eastAsia="Arial" w:hAnsi="Arial" w:cs="Arial"/>
          <w:sz w:val="24"/>
          <w:szCs w:val="28"/>
        </w:rPr>
        <w:t>Dp</w:t>
      </w:r>
      <w:proofErr w:type="spellEnd"/>
      <w:r w:rsidRPr="00D74CEA">
        <w:rPr>
          <w:rFonts w:ascii="Arial" w:eastAsia="Arial" w:hAnsi="Arial" w:cs="Arial"/>
          <w:sz w:val="24"/>
          <w:szCs w:val="28"/>
        </w:rPr>
        <w:t>(t) =</w:t>
      </w:r>
      <w:r w:rsidR="00D74CEA" w:rsidRPr="00D74CEA">
        <w:rPr>
          <w:rFonts w:ascii="Arial" w:eastAsia="Arial" w:hAnsi="Arial" w:cs="Arial"/>
          <w:sz w:val="24"/>
          <w:szCs w:val="28"/>
        </w:rPr>
        <w:t xml:space="preserve"> </w:t>
      </w:r>
      <m:oMath>
        <m:f>
          <m:fPr>
            <m:ctrlPr>
              <w:rPr>
                <w:rFonts w:ascii="Cambria Math" w:eastAsia="Arial" w:hAnsi="Cambria Math" w:cs="Arial"/>
                <w:iCs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="Arial"/>
                <w:sz w:val="24"/>
                <w:szCs w:val="28"/>
              </w:rPr>
              <m:t>27,3</m:t>
            </m:r>
          </m:num>
          <m:den>
            <m:r>
              <m:rPr>
                <m:sty m:val="p"/>
              </m:rPr>
              <w:rPr>
                <w:rFonts w:ascii="Cambria Math" w:eastAsia="Arial" w:hAnsi="Cambria Math" w:cs="Arial"/>
                <w:sz w:val="24"/>
                <w:szCs w:val="28"/>
              </w:rPr>
              <m:t>1+</m:t>
            </m:r>
            <m:sSup>
              <m:sSupPr>
                <m:ctrlPr>
                  <w:rPr>
                    <w:rFonts w:ascii="Cambria Math" w:eastAsia="Arial" w:hAnsi="Cambria Math" w:cs="Arial"/>
                    <w:iCs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rial" w:hAnsi="Cambria Math" w:cs="Arial"/>
                    <w:sz w:val="24"/>
                    <w:szCs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Arial" w:hAnsi="Cambria Math" w:cs="Arial"/>
                    <w:sz w:val="24"/>
                    <w:szCs w:val="28"/>
                  </w:rPr>
                  <m:t>[-0,1586</m:t>
                </m:r>
                <m:d>
                  <m:dPr>
                    <m:ctrlPr>
                      <w:rPr>
                        <w:rFonts w:ascii="Cambria Math" w:eastAsia="Arial" w:hAnsi="Cambria Math" w:cs="Arial"/>
                        <w:iCs/>
                        <w:sz w:val="24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z w:val="24"/>
                        <w:szCs w:val="28"/>
                      </w:rPr>
                      <m:t>t-17,494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Arial" w:hAnsi="Cambria Math" w:cs="Arial"/>
                    <w:sz w:val="24"/>
                    <w:szCs w:val="28"/>
                  </w:rPr>
                  <m:t>]</m:t>
                </m:r>
              </m:sup>
            </m:sSup>
          </m:den>
        </m:f>
      </m:oMath>
      <w:r w:rsidR="00D74CEA">
        <w:rPr>
          <w:rFonts w:ascii="Arial" w:eastAsia="Arial" w:hAnsi="Arial" w:cs="Arial"/>
          <w:sz w:val="24"/>
          <w:szCs w:val="28"/>
        </w:rPr>
        <w:t xml:space="preserve">. </w:t>
      </w:r>
      <w:r w:rsidR="00E30ABC">
        <w:rPr>
          <w:rFonts w:ascii="Arial" w:eastAsia="Arial" w:hAnsi="Arial" w:cs="Arial"/>
          <w:sz w:val="24"/>
          <w:szCs w:val="28"/>
        </w:rPr>
        <w:t>Para deposição ode gordura (Dg) o</w:t>
      </w:r>
      <w:r w:rsidRPr="00D63B23">
        <w:rPr>
          <w:rFonts w:ascii="Arial" w:eastAsia="Arial" w:hAnsi="Arial" w:cs="Arial"/>
          <w:sz w:val="24"/>
          <w:szCs w:val="24"/>
        </w:rPr>
        <w:t xml:space="preserve"> modelo de Richards </w:t>
      </w:r>
      <w:r w:rsidR="00E30ABC">
        <w:rPr>
          <w:rFonts w:ascii="Arial" w:eastAsia="Arial" w:hAnsi="Arial" w:cs="Arial"/>
          <w:sz w:val="24"/>
          <w:szCs w:val="24"/>
        </w:rPr>
        <w:t xml:space="preserve">foi: </w:t>
      </w:r>
      <w:r w:rsidR="00B86C14">
        <w:rPr>
          <w:rFonts w:ascii="Arial" w:eastAsia="Arial" w:hAnsi="Arial" w:cs="Arial"/>
          <w:sz w:val="24"/>
          <w:szCs w:val="24"/>
        </w:rPr>
        <w:t>Dg</w:t>
      </w:r>
      <w:r w:rsidRPr="00D74CEA">
        <w:rPr>
          <w:rFonts w:ascii="Arial" w:eastAsia="Arial" w:hAnsi="Arial" w:cs="Arial"/>
          <w:sz w:val="24"/>
          <w:szCs w:val="28"/>
        </w:rPr>
        <w:t>(t) =</w:t>
      </w:r>
      <w:r w:rsidR="00D63B23" w:rsidRPr="00D63B23">
        <w:rPr>
          <w:rFonts w:ascii="Arial" w:hAnsi="Arial" w:cs="Arial"/>
          <w:sz w:val="24"/>
          <w:szCs w:val="28"/>
        </w:rPr>
        <w:t xml:space="preserve"> 11,7 × {1 + 142,2 × </w:t>
      </w: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[-17,919</m:t>
            </m:r>
            <m:d>
              <m:dPr>
                <m:ctrlPr>
                  <w:rPr>
                    <w:rFonts w:ascii="Cambria Math" w:hAnsi="Cambria Math" w:cs="Arial"/>
                    <w:iCs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</w:rPr>
                  <m:t>t-35,597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]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8"/>
          </w:rPr>
          <m:t>}</m:t>
        </m:r>
      </m:oMath>
      <w:r w:rsidR="00D63B23" w:rsidRPr="00D63B23">
        <w:rPr>
          <w:rFonts w:ascii="Arial" w:hAnsi="Arial" w:cs="Arial"/>
          <w:sz w:val="24"/>
          <w:szCs w:val="28"/>
          <w:vertAlign w:val="superscript"/>
        </w:rPr>
        <w:t>(-1/142,2)</w:t>
      </w:r>
      <w:r w:rsidR="00D63B23" w:rsidRPr="00D63B23">
        <w:rPr>
          <w:rFonts w:ascii="Arial" w:eastAsia="Arial" w:hAnsi="Arial" w:cs="Arial"/>
          <w:sz w:val="24"/>
          <w:szCs w:val="24"/>
        </w:rPr>
        <w:t xml:space="preserve">. </w:t>
      </w:r>
    </w:p>
    <w:p w14:paraId="07E13B29" w14:textId="77777777" w:rsidR="00320A0D" w:rsidRDefault="00320A0D" w:rsidP="00F95836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</w:p>
    <w:p w14:paraId="4C7FCD94" w14:textId="619A2983" w:rsidR="00DD7648" w:rsidRPr="005F3021" w:rsidRDefault="0081094D" w:rsidP="008B6773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484D4564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  <w:r w:rsidRPr="00F95836">
        <w:rPr>
          <w:rFonts w:ascii="Arial" w:eastAsia="Arial" w:hAnsi="Arial" w:cs="Arial"/>
          <w:sz w:val="24"/>
          <w:szCs w:val="24"/>
        </w:rPr>
        <w:lastRenderedPageBreak/>
        <w:t xml:space="preserve">FINCO, E. M.; MARCATO, S. M.; FURLAN, A. C.; ROSSI, R. M.; GRIESER, D. O.; ZANCANELA, V.; et al. </w:t>
      </w:r>
      <w:r w:rsidRPr="00F95836">
        <w:rPr>
          <w:rFonts w:ascii="Arial" w:eastAsia="Arial" w:hAnsi="Arial" w:cs="Arial"/>
          <w:sz w:val="24"/>
          <w:szCs w:val="24"/>
          <w:lang w:val="en-US"/>
        </w:rPr>
        <w:t xml:space="preserve">Adjustment of four growth models through Bayesian inference on weight and body nutrient depositions in laying quail. </w:t>
      </w:r>
      <w:r w:rsidRPr="00F95836">
        <w:rPr>
          <w:rFonts w:ascii="Arial" w:eastAsia="Arial" w:hAnsi="Arial" w:cs="Arial"/>
          <w:sz w:val="24"/>
          <w:szCs w:val="24"/>
        </w:rPr>
        <w:t>Revista Brasileira de Zootecnia, v. 45, p. 737–744, 2016. DOI: 10.1590/S1806-92902016001200002.</w:t>
      </w:r>
    </w:p>
    <w:p w14:paraId="576BD64F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</w:p>
    <w:p w14:paraId="5F096B64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  <w:r w:rsidRPr="00F95836">
        <w:rPr>
          <w:rFonts w:ascii="Arial" w:eastAsia="Arial" w:hAnsi="Arial" w:cs="Arial"/>
          <w:sz w:val="24"/>
          <w:szCs w:val="24"/>
        </w:rPr>
        <w:t xml:space="preserve">GRIESER, D. O.; MARCATO, S. M.; FURLAN, A. C.; ZANCANELA, V.; GASPARINO, E.; DEL VESCO, A. P.; et al. </w:t>
      </w:r>
      <w:r w:rsidRPr="00F95836">
        <w:rPr>
          <w:rFonts w:ascii="Arial" w:eastAsia="Arial" w:hAnsi="Arial" w:cs="Arial"/>
          <w:sz w:val="24"/>
          <w:szCs w:val="24"/>
          <w:lang w:val="en-US"/>
        </w:rPr>
        <w:t xml:space="preserve">Adjustment of nonlinear models and growth parameters and body nutrient deposition in meat-type and laying quail. </w:t>
      </w:r>
      <w:r w:rsidRPr="00F95836">
        <w:rPr>
          <w:rFonts w:ascii="Arial" w:eastAsia="Arial" w:hAnsi="Arial" w:cs="Arial"/>
          <w:sz w:val="24"/>
          <w:szCs w:val="24"/>
        </w:rPr>
        <w:t>Revista Brasileira de Zootecnia, v. 47, e20170244, 2018. DOI: 10.1590/rbz4720170244.</w:t>
      </w:r>
    </w:p>
    <w:p w14:paraId="0769BB3D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</w:p>
    <w:p w14:paraId="7E40D9D0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95836">
        <w:rPr>
          <w:rFonts w:ascii="Arial" w:eastAsia="Arial" w:hAnsi="Arial" w:cs="Arial"/>
          <w:sz w:val="24"/>
          <w:szCs w:val="24"/>
        </w:rPr>
        <w:t xml:space="preserve">ROSTAGNO, H. S.; ALBINO, L. F. T.; HANNAS, M. I.; DONZELE, J. L.; SAKOMURA, N. K.; PERAZZO, F. G.; et al. </w:t>
      </w:r>
      <w:r w:rsidRPr="00F95836">
        <w:rPr>
          <w:rFonts w:ascii="Arial" w:eastAsia="Arial" w:hAnsi="Arial" w:cs="Arial"/>
          <w:sz w:val="24"/>
          <w:szCs w:val="24"/>
          <w:lang w:val="en-US"/>
        </w:rPr>
        <w:t xml:space="preserve">Brazilian Tables for Poultry and Pigs: Composition of Feedstuffs and Nutrient Requirements. 5. ed. </w:t>
      </w:r>
      <w:proofErr w:type="spellStart"/>
      <w:r w:rsidRPr="00F95836">
        <w:rPr>
          <w:rFonts w:ascii="Arial" w:eastAsia="Arial" w:hAnsi="Arial" w:cs="Arial"/>
          <w:sz w:val="24"/>
          <w:szCs w:val="24"/>
          <w:lang w:val="en-US"/>
        </w:rPr>
        <w:t>Viçosa</w:t>
      </w:r>
      <w:proofErr w:type="spellEnd"/>
      <w:r w:rsidRPr="00F95836">
        <w:rPr>
          <w:rFonts w:ascii="Arial" w:eastAsia="Arial" w:hAnsi="Arial" w:cs="Arial"/>
          <w:sz w:val="24"/>
          <w:szCs w:val="24"/>
          <w:lang w:val="en-US"/>
        </w:rPr>
        <w:t>, MG: UFV, 2024.</w:t>
      </w:r>
    </w:p>
    <w:p w14:paraId="18F10BC8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725DBE03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95836">
        <w:rPr>
          <w:rFonts w:ascii="Arial" w:eastAsia="Arial" w:hAnsi="Arial" w:cs="Arial"/>
          <w:sz w:val="24"/>
          <w:szCs w:val="24"/>
          <w:lang w:val="en-US"/>
        </w:rPr>
        <w:t>SAS INSTITUTE. SAS/STAT User’s Guide. Version 8. Cary, NC: SAS Institute Inc., 2000.</w:t>
      </w:r>
    </w:p>
    <w:p w14:paraId="114F6870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2E66412B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95836">
        <w:rPr>
          <w:rFonts w:ascii="Arial" w:eastAsia="Arial" w:hAnsi="Arial" w:cs="Arial"/>
          <w:sz w:val="24"/>
          <w:szCs w:val="24"/>
          <w:lang w:val="en-US"/>
        </w:rPr>
        <w:t xml:space="preserve">SILVA, J. H. V.; COSTA, F. G. P. Tables for Japanese and European Quail. </w:t>
      </w:r>
      <w:proofErr w:type="spellStart"/>
      <w:r w:rsidRPr="00F95836">
        <w:rPr>
          <w:rFonts w:ascii="Arial" w:eastAsia="Arial" w:hAnsi="Arial" w:cs="Arial"/>
          <w:sz w:val="24"/>
          <w:szCs w:val="24"/>
          <w:lang w:val="en-US"/>
        </w:rPr>
        <w:t>Jaboticabal</w:t>
      </w:r>
      <w:proofErr w:type="spellEnd"/>
      <w:r w:rsidRPr="00F95836">
        <w:rPr>
          <w:rFonts w:ascii="Arial" w:eastAsia="Arial" w:hAnsi="Arial" w:cs="Arial"/>
          <w:sz w:val="24"/>
          <w:szCs w:val="24"/>
          <w:lang w:val="en-US"/>
        </w:rPr>
        <w:t>: FUNEP, 2009.</w:t>
      </w:r>
    </w:p>
    <w:p w14:paraId="23DED61B" w14:textId="77777777" w:rsidR="00F95836" w:rsidRPr="00F95836" w:rsidRDefault="00F95836" w:rsidP="008B6773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280522DC" w14:textId="77777777" w:rsidR="00440C1E" w:rsidRDefault="00F95836" w:rsidP="00440C1E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  <w:r w:rsidRPr="00F95836">
        <w:rPr>
          <w:rFonts w:ascii="Arial" w:eastAsia="Arial" w:hAnsi="Arial" w:cs="Arial"/>
          <w:sz w:val="24"/>
          <w:szCs w:val="24"/>
          <w:lang w:val="en-US"/>
        </w:rPr>
        <w:t xml:space="preserve">THOLON, P.; QUEIROZ, S. A. Mathematic models applied to describe growth curves in poultry applied to animal breeding. </w:t>
      </w:r>
      <w:r w:rsidRPr="00440C1E">
        <w:rPr>
          <w:rFonts w:ascii="Arial" w:eastAsia="Arial" w:hAnsi="Arial" w:cs="Arial"/>
          <w:sz w:val="24"/>
          <w:szCs w:val="24"/>
        </w:rPr>
        <w:t>Ciência Rural, v. 39, p. 2261–2269, 2009. DOI: 10.1590/S0103-84782009000700050</w:t>
      </w:r>
    </w:p>
    <w:p w14:paraId="564592A1" w14:textId="77777777" w:rsidR="00440C1E" w:rsidRDefault="00440C1E" w:rsidP="00440C1E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</w:p>
    <w:p w14:paraId="7DB44FCA" w14:textId="41064155" w:rsidR="00440C1E" w:rsidRPr="00440C1E" w:rsidRDefault="00440C1E" w:rsidP="00440C1E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  <w:r w:rsidRPr="00440C1E">
        <w:rPr>
          <w:rFonts w:ascii="Arial" w:eastAsia="Arial" w:hAnsi="Arial" w:cs="Arial"/>
          <w:sz w:val="24"/>
          <w:szCs w:val="24"/>
        </w:rPr>
        <w:t xml:space="preserve">VIEIRA, Danilo Vargas Gonçalves; OLIVEIRA, Everton José do Nascimento; SOUZA, </w:t>
      </w:r>
      <w:proofErr w:type="spellStart"/>
      <w:r w:rsidRPr="00440C1E">
        <w:rPr>
          <w:rFonts w:ascii="Arial" w:eastAsia="Arial" w:hAnsi="Arial" w:cs="Arial"/>
          <w:sz w:val="24"/>
          <w:szCs w:val="24"/>
        </w:rPr>
        <w:t>Rannyelle</w:t>
      </w:r>
      <w:proofErr w:type="spellEnd"/>
      <w:r w:rsidRPr="00440C1E">
        <w:rPr>
          <w:rFonts w:ascii="Arial" w:eastAsia="Arial" w:hAnsi="Arial" w:cs="Arial"/>
          <w:sz w:val="24"/>
          <w:szCs w:val="24"/>
        </w:rPr>
        <w:t xml:space="preserve"> Gomes; et al. </w:t>
      </w:r>
      <w:r w:rsidRPr="00440C1E">
        <w:rPr>
          <w:rFonts w:ascii="Arial" w:eastAsia="Arial" w:hAnsi="Arial" w:cs="Arial"/>
          <w:sz w:val="24"/>
          <w:szCs w:val="24"/>
          <w:lang w:val="en-US"/>
        </w:rPr>
        <w:t xml:space="preserve">Modeling factorial crude protein requirements in Japanese quail. Research, Society and Development, v. 9, n. 8, e763986160, 2020. </w:t>
      </w:r>
      <w:r w:rsidRPr="002F6F42">
        <w:rPr>
          <w:rFonts w:ascii="Arial" w:eastAsia="Arial" w:hAnsi="Arial" w:cs="Arial"/>
          <w:sz w:val="24"/>
          <w:szCs w:val="24"/>
          <w:lang w:val="en-US"/>
        </w:rPr>
        <w:t xml:space="preserve">DOI: 10.33448/rsd-v9i8.6160. </w:t>
      </w:r>
      <w:r w:rsidRPr="00440C1E">
        <w:rPr>
          <w:rFonts w:ascii="Arial" w:eastAsia="Arial" w:hAnsi="Arial" w:cs="Arial"/>
          <w:sz w:val="24"/>
          <w:szCs w:val="24"/>
        </w:rPr>
        <w:t>Disponível em: https://rsdjournal.org/rsd/article/view/6160</w:t>
      </w:r>
    </w:p>
    <w:p w14:paraId="1B9ACADA" w14:textId="0965F957" w:rsidR="00F95836" w:rsidRDefault="00440C1E" w:rsidP="00440C1E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  <w:r w:rsidRPr="00440C1E">
        <w:rPr>
          <w:rFonts w:ascii="Arial" w:eastAsia="Arial" w:hAnsi="Arial" w:cs="Arial"/>
          <w:sz w:val="24"/>
          <w:szCs w:val="24"/>
        </w:rPr>
        <w:t>. Acesso em: 9 out. 2025.</w:t>
      </w:r>
    </w:p>
    <w:p w14:paraId="240545E5" w14:textId="77777777" w:rsidR="00440C1E" w:rsidRPr="00F95836" w:rsidRDefault="00440C1E" w:rsidP="00440C1E">
      <w:pPr>
        <w:spacing w:after="0" w:line="276" w:lineRule="auto"/>
        <w:ind w:hanging="170"/>
        <w:jc w:val="both"/>
        <w:rPr>
          <w:rFonts w:ascii="Arial" w:eastAsia="Arial" w:hAnsi="Arial" w:cs="Arial"/>
          <w:sz w:val="24"/>
          <w:szCs w:val="24"/>
        </w:rPr>
      </w:pPr>
    </w:p>
    <w:p w14:paraId="6A297E73" w14:textId="61F69E39" w:rsidR="00F07C5D" w:rsidRDefault="0081094D" w:rsidP="008B6773">
      <w:pPr>
        <w:numPr>
          <w:ilvl w:val="0"/>
          <w:numId w:val="2"/>
        </w:numPr>
        <w:spacing w:after="0" w:line="276" w:lineRule="auto"/>
        <w:ind w:left="0" w:firstLine="42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3C82B37F" w14:textId="3B0E0DE8" w:rsidR="008B6773" w:rsidRPr="008B6773" w:rsidRDefault="008B6773" w:rsidP="008B6773">
      <w:pPr>
        <w:spacing w:after="0" w:line="276" w:lineRule="auto"/>
        <w:ind w:firstLine="426"/>
        <w:jc w:val="both"/>
        <w:rPr>
          <w:rFonts w:ascii="Arial" w:eastAsia="Arial" w:hAnsi="Arial" w:cs="Arial"/>
          <w:bCs/>
          <w:sz w:val="24"/>
          <w:szCs w:val="24"/>
        </w:rPr>
      </w:pPr>
      <w:r w:rsidRPr="008B6773">
        <w:rPr>
          <w:rFonts w:ascii="Arial" w:eastAsia="Arial" w:hAnsi="Arial" w:cs="Arial"/>
          <w:bCs/>
          <w:sz w:val="24"/>
          <w:szCs w:val="24"/>
        </w:rPr>
        <w:t xml:space="preserve">Agradecemos à PROPESQ/UFNT (Auxílio ao Pesquisador) e ao GEPA/UFNT pelo suporte. Reconhecemos as bolsas da FAPT e do CNPq. Somos gratos à </w:t>
      </w:r>
      <w:proofErr w:type="spellStart"/>
      <w:r w:rsidRPr="008B6773">
        <w:rPr>
          <w:rFonts w:ascii="Arial" w:eastAsia="Arial" w:hAnsi="Arial" w:cs="Arial"/>
          <w:bCs/>
          <w:sz w:val="24"/>
          <w:szCs w:val="24"/>
        </w:rPr>
        <w:t>Fujikura</w:t>
      </w:r>
      <w:proofErr w:type="spellEnd"/>
      <w:r w:rsidRPr="008B6773">
        <w:rPr>
          <w:rFonts w:ascii="Arial" w:eastAsia="Arial" w:hAnsi="Arial" w:cs="Arial"/>
          <w:bCs/>
          <w:sz w:val="24"/>
          <w:szCs w:val="24"/>
        </w:rPr>
        <w:t xml:space="preserve">® e à </w:t>
      </w:r>
      <w:proofErr w:type="spellStart"/>
      <w:r w:rsidRPr="008B6773">
        <w:rPr>
          <w:rFonts w:ascii="Arial" w:eastAsia="Arial" w:hAnsi="Arial" w:cs="Arial"/>
          <w:bCs/>
          <w:sz w:val="24"/>
          <w:szCs w:val="24"/>
        </w:rPr>
        <w:t>Granforte</w:t>
      </w:r>
      <w:proofErr w:type="spellEnd"/>
      <w:r w:rsidRPr="008B6773">
        <w:rPr>
          <w:rFonts w:ascii="Arial" w:eastAsia="Arial" w:hAnsi="Arial" w:cs="Arial"/>
          <w:bCs/>
          <w:sz w:val="24"/>
          <w:szCs w:val="24"/>
        </w:rPr>
        <w:t>® pela parceria que viabilizou o estudo e ao GETA/UFPB pela valiosa colaboração.</w:t>
      </w:r>
    </w:p>
    <w:sectPr w:rsidR="008B6773" w:rsidRPr="008B6773" w:rsidSect="00BA29D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BA30" w14:textId="77777777" w:rsidR="00A877F9" w:rsidRDefault="00A877F9">
      <w:pPr>
        <w:spacing w:after="0" w:line="240" w:lineRule="auto"/>
      </w:pPr>
      <w:r>
        <w:separator/>
      </w:r>
    </w:p>
  </w:endnote>
  <w:endnote w:type="continuationSeparator" w:id="0">
    <w:p w14:paraId="6129A9EB" w14:textId="77777777" w:rsidR="00A877F9" w:rsidRDefault="00A8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B298" w14:textId="77777777" w:rsidR="00F07C5D" w:rsidRDefault="0081094D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AD47" w14:textId="77777777" w:rsidR="00F07C5D" w:rsidRDefault="0081094D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A57B" w14:textId="77777777" w:rsidR="00A877F9" w:rsidRDefault="00A877F9">
      <w:pPr>
        <w:rPr>
          <w:sz w:val="12"/>
        </w:rPr>
      </w:pPr>
      <w:r>
        <w:separator/>
      </w:r>
    </w:p>
  </w:footnote>
  <w:footnote w:type="continuationSeparator" w:id="0">
    <w:p w14:paraId="6A4E2636" w14:textId="77777777" w:rsidR="00A877F9" w:rsidRDefault="00A877F9">
      <w:pPr>
        <w:rPr>
          <w:sz w:val="12"/>
        </w:rPr>
      </w:pPr>
      <w:r>
        <w:continuationSeparator/>
      </w:r>
    </w:p>
  </w:footnote>
  <w:footnote w:id="1">
    <w:p w14:paraId="794D6DF9" w14:textId="3EB4FE61" w:rsidR="00F07C5D" w:rsidRDefault="0081094D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(PIBIC). Universidade Federal do Norte do Tocantins (UFNT), Centro de </w:t>
      </w:r>
      <w:r w:rsidR="00D52503">
        <w:rPr>
          <w:rFonts w:ascii="Arial" w:eastAsia="Arial" w:hAnsi="Arial" w:cs="Arial"/>
          <w:color w:val="000000"/>
          <w:sz w:val="20"/>
          <w:szCs w:val="20"/>
        </w:rPr>
        <w:t>Ciências Agrárias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52503">
        <w:rPr>
          <w:rFonts w:ascii="Arial" w:eastAsia="Arial" w:hAnsi="Arial" w:cs="Arial"/>
          <w:color w:val="000000"/>
          <w:sz w:val="20"/>
          <w:szCs w:val="20"/>
        </w:rPr>
        <w:t>Jessica.ribeiro@</w:t>
      </w:r>
      <w:r w:rsidR="0016102C">
        <w:rPr>
          <w:rFonts w:ascii="Arial" w:eastAsia="Arial" w:hAnsi="Arial" w:cs="Arial"/>
          <w:color w:val="000000"/>
          <w:sz w:val="20"/>
          <w:szCs w:val="20"/>
        </w:rPr>
        <w:t>u</w:t>
      </w:r>
      <w:r w:rsidR="00D52503">
        <w:rPr>
          <w:rFonts w:ascii="Arial" w:eastAsia="Arial" w:hAnsi="Arial" w:cs="Arial"/>
          <w:color w:val="000000"/>
          <w:sz w:val="20"/>
          <w:szCs w:val="20"/>
        </w:rPr>
        <w:t>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14:paraId="2A80D9C7" w14:textId="5FACF496" w:rsidR="00F07C5D" w:rsidRDefault="0081094D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D52503">
        <w:rPr>
          <w:rFonts w:ascii="Arial" w:eastAsia="Arial" w:hAnsi="Arial" w:cs="Arial"/>
          <w:color w:val="000000"/>
          <w:sz w:val="20"/>
          <w:szCs w:val="20"/>
        </w:rPr>
        <w:t xml:space="preserve">Bolsista do Programa de Iniciação Científica (PIBIC). Universidade Federal do Norte do Tocantins (UFNT), Centro de Ciências Agrárias. </w:t>
      </w:r>
      <w:r w:rsidR="004B291B">
        <w:rPr>
          <w:rFonts w:ascii="Arial" w:eastAsia="Arial" w:hAnsi="Arial" w:cs="Arial"/>
          <w:color w:val="000000"/>
          <w:sz w:val="20"/>
          <w:szCs w:val="20"/>
        </w:rPr>
        <w:t>j</w:t>
      </w:r>
      <w:r w:rsidR="00D52503">
        <w:rPr>
          <w:rFonts w:ascii="Arial" w:eastAsia="Arial" w:hAnsi="Arial" w:cs="Arial"/>
          <w:color w:val="000000"/>
          <w:sz w:val="20"/>
          <w:szCs w:val="20"/>
        </w:rPr>
        <w:t>orge.silva@</w:t>
      </w:r>
      <w:r w:rsidR="0016102C">
        <w:rPr>
          <w:rFonts w:ascii="Arial" w:eastAsia="Arial" w:hAnsi="Arial" w:cs="Arial"/>
          <w:color w:val="000000"/>
          <w:sz w:val="20"/>
          <w:szCs w:val="20"/>
        </w:rPr>
        <w:t>u</w:t>
      </w:r>
      <w:r w:rsidR="00D52503">
        <w:rPr>
          <w:rFonts w:ascii="Arial" w:eastAsia="Arial" w:hAnsi="Arial" w:cs="Arial"/>
          <w:color w:val="000000"/>
          <w:sz w:val="20"/>
          <w:szCs w:val="20"/>
        </w:rPr>
        <w:t>fnt.edu.br.</w:t>
      </w:r>
    </w:p>
  </w:footnote>
  <w:footnote w:id="3">
    <w:p w14:paraId="423651BA" w14:textId="0930097E" w:rsidR="00D52503" w:rsidRDefault="0081094D" w:rsidP="001F587F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Professor Doutor </w:t>
      </w:r>
      <w:r w:rsidR="00D52503">
        <w:rPr>
          <w:rFonts w:ascii="Arial" w:eastAsia="Arial" w:hAnsi="Arial" w:cs="Arial"/>
          <w:color w:val="000000"/>
          <w:sz w:val="20"/>
          <w:szCs w:val="20"/>
        </w:rPr>
        <w:t xml:space="preserve">do </w:t>
      </w:r>
      <w:r w:rsidR="00D52503" w:rsidRPr="00737A1D">
        <w:rPr>
          <w:rFonts w:ascii="Arial" w:hAnsi="Arial" w:cs="Arial"/>
          <w:sz w:val="20"/>
          <w:szCs w:val="20"/>
        </w:rPr>
        <w:t xml:space="preserve">Departamento de Zootecnia 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 w:rsidR="00D5250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Universidade Federal </w:t>
      </w:r>
      <w:r w:rsidR="00D52503">
        <w:rPr>
          <w:rFonts w:ascii="Arial" w:eastAsia="Arial" w:hAnsi="Arial" w:cs="Arial"/>
          <w:color w:val="000000"/>
          <w:sz w:val="20"/>
          <w:szCs w:val="20"/>
        </w:rPr>
        <w:t>do Norte do Tocantins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(UF</w:t>
      </w:r>
      <w:r w:rsidR="00D52503"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 w:rsidR="00D52503">
        <w:rPr>
          <w:rFonts w:ascii="Arial" w:eastAsia="Arial" w:hAnsi="Arial" w:cs="Arial"/>
          <w:color w:val="000000"/>
          <w:sz w:val="20"/>
          <w:szCs w:val="20"/>
        </w:rPr>
        <w:t>Centro de Ciências Agrárias.</w:t>
      </w:r>
      <w:r w:rsidR="00BA29D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6102C">
        <w:rPr>
          <w:rFonts w:ascii="Arial" w:hAnsi="Arial" w:cs="Arial"/>
          <w:sz w:val="20"/>
          <w:szCs w:val="20"/>
        </w:rPr>
        <w:t>d</w:t>
      </w:r>
      <w:r w:rsidR="00D52503" w:rsidRPr="00D52503">
        <w:rPr>
          <w:rFonts w:ascii="Arial" w:hAnsi="Arial" w:cs="Arial"/>
          <w:sz w:val="20"/>
          <w:szCs w:val="20"/>
        </w:rPr>
        <w:t>anilo.vieira@ufnt.edu.br</w:t>
      </w:r>
    </w:p>
    <w:p w14:paraId="2C2F658F" w14:textId="38EA32A0" w:rsidR="00F07C5D" w:rsidRDefault="00F07C5D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5993" w14:textId="215BA5FD" w:rsidR="00F07C5D" w:rsidRDefault="0081094D">
    <w:r>
      <w:rPr>
        <w:noProof/>
      </w:rPr>
      <w:drawing>
        <wp:anchor distT="0" distB="0" distL="0" distR="0" simplePos="0" relativeHeight="251657216" behindDoc="0" locked="0" layoutInCell="0" allowOverlap="1" wp14:anchorId="0DDBC6D0" wp14:editId="4366C1A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857437850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5E7D" w14:textId="77777777" w:rsidR="00F07C5D" w:rsidRDefault="0081094D">
    <w:r>
      <w:rPr>
        <w:noProof/>
      </w:rPr>
      <w:drawing>
        <wp:anchor distT="0" distB="0" distL="0" distR="0" simplePos="0" relativeHeight="251658240" behindDoc="0" locked="0" layoutInCell="0" allowOverlap="1" wp14:anchorId="581FDDF6" wp14:editId="59930C5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842086665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CDE4E8" w14:textId="77777777" w:rsidR="00F07C5D" w:rsidRDefault="00F07C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56C0"/>
    <w:multiLevelType w:val="multilevel"/>
    <w:tmpl w:val="7E10C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BA4425"/>
    <w:multiLevelType w:val="multilevel"/>
    <w:tmpl w:val="124C5DF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4F3D1769"/>
    <w:multiLevelType w:val="multilevel"/>
    <w:tmpl w:val="9624467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543759955">
    <w:abstractNumId w:val="1"/>
  </w:num>
  <w:num w:numId="2" w16cid:durableId="26491117">
    <w:abstractNumId w:val="2"/>
  </w:num>
  <w:num w:numId="3" w16cid:durableId="56132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5D"/>
    <w:rsid w:val="00017972"/>
    <w:rsid w:val="00031ECB"/>
    <w:rsid w:val="00150D61"/>
    <w:rsid w:val="00152A17"/>
    <w:rsid w:val="0016102C"/>
    <w:rsid w:val="001829E3"/>
    <w:rsid w:val="001E6D68"/>
    <w:rsid w:val="001F587F"/>
    <w:rsid w:val="00244EE8"/>
    <w:rsid w:val="0025374E"/>
    <w:rsid w:val="002939EA"/>
    <w:rsid w:val="00295FF9"/>
    <w:rsid w:val="002A5D6A"/>
    <w:rsid w:val="002F09C7"/>
    <w:rsid w:val="002F6F42"/>
    <w:rsid w:val="00320A0D"/>
    <w:rsid w:val="00345861"/>
    <w:rsid w:val="00372CAF"/>
    <w:rsid w:val="00376D45"/>
    <w:rsid w:val="00436940"/>
    <w:rsid w:val="00440C1E"/>
    <w:rsid w:val="00440EA9"/>
    <w:rsid w:val="00464F1A"/>
    <w:rsid w:val="00465F03"/>
    <w:rsid w:val="004B291B"/>
    <w:rsid w:val="00587E98"/>
    <w:rsid w:val="005D5F55"/>
    <w:rsid w:val="005F3021"/>
    <w:rsid w:val="006154CC"/>
    <w:rsid w:val="006F5D2C"/>
    <w:rsid w:val="006F655C"/>
    <w:rsid w:val="00781826"/>
    <w:rsid w:val="007E5980"/>
    <w:rsid w:val="0081094D"/>
    <w:rsid w:val="008158D7"/>
    <w:rsid w:val="008225A2"/>
    <w:rsid w:val="008757EB"/>
    <w:rsid w:val="008B6773"/>
    <w:rsid w:val="008D1748"/>
    <w:rsid w:val="00915DD4"/>
    <w:rsid w:val="009A4AE8"/>
    <w:rsid w:val="009E1CA2"/>
    <w:rsid w:val="009E3F63"/>
    <w:rsid w:val="00A55587"/>
    <w:rsid w:val="00A877F9"/>
    <w:rsid w:val="00AD6849"/>
    <w:rsid w:val="00AF223F"/>
    <w:rsid w:val="00B86C14"/>
    <w:rsid w:val="00BA29DD"/>
    <w:rsid w:val="00BA496E"/>
    <w:rsid w:val="00BA7209"/>
    <w:rsid w:val="00BF661D"/>
    <w:rsid w:val="00C06269"/>
    <w:rsid w:val="00C5210C"/>
    <w:rsid w:val="00C5343F"/>
    <w:rsid w:val="00C71BE3"/>
    <w:rsid w:val="00C83874"/>
    <w:rsid w:val="00C91D7B"/>
    <w:rsid w:val="00CC5B37"/>
    <w:rsid w:val="00D52503"/>
    <w:rsid w:val="00D56454"/>
    <w:rsid w:val="00D63B23"/>
    <w:rsid w:val="00D74CEA"/>
    <w:rsid w:val="00DA21D4"/>
    <w:rsid w:val="00DD7648"/>
    <w:rsid w:val="00E17D0D"/>
    <w:rsid w:val="00E30ABC"/>
    <w:rsid w:val="00E41992"/>
    <w:rsid w:val="00E509A7"/>
    <w:rsid w:val="00EA1B96"/>
    <w:rsid w:val="00EA5AF0"/>
    <w:rsid w:val="00F04A87"/>
    <w:rsid w:val="00F07C5D"/>
    <w:rsid w:val="00F40EB9"/>
    <w:rsid w:val="00F41AC8"/>
    <w:rsid w:val="00F50931"/>
    <w:rsid w:val="00F64926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3514"/>
  <w15:docId w15:val="{2B4B890D-38EA-46C7-B364-12B157C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5250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E6D6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6454"/>
    <w:rPr>
      <w:i/>
      <w:iCs/>
    </w:rPr>
  </w:style>
  <w:style w:type="paragraph" w:styleId="Reviso">
    <w:name w:val="Revision"/>
    <w:hidden/>
    <w:uiPriority w:val="99"/>
    <w:semiHidden/>
    <w:rsid w:val="0016102C"/>
    <w:pPr>
      <w:suppressAutoHyphens w:val="0"/>
    </w:pPr>
  </w:style>
  <w:style w:type="character" w:styleId="MenoPendente">
    <w:name w:val="Unresolved Mention"/>
    <w:basedOn w:val="Fontepargpadro"/>
    <w:uiPriority w:val="99"/>
    <w:semiHidden/>
    <w:unhideWhenUsed/>
    <w:rsid w:val="00E3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1767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Jessica Lima Ribeiro</cp:lastModifiedBy>
  <cp:revision>5</cp:revision>
  <dcterms:created xsi:type="dcterms:W3CDTF">2025-10-09T17:39:00Z</dcterms:created>
  <dcterms:modified xsi:type="dcterms:W3CDTF">2025-10-10T14:33:00Z</dcterms:modified>
  <dc:language>pt-BR</dc:language>
</cp:coreProperties>
</file>