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7F352517" w14:textId="0FE38A82" w:rsidR="00310231" w:rsidRDefault="00692B7A" w:rsidP="00692B7A">
      <w:pPr>
        <w:tabs>
          <w:tab w:val="left" w:pos="1320"/>
        </w:tabs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ab/>
      </w:r>
    </w:p>
    <w:p w14:paraId="0CB42176" w14:textId="4B8D496D" w:rsidR="00906234" w:rsidRPr="00310231" w:rsidRDefault="00174444" w:rsidP="00174444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color w:val="000000"/>
        </w:rPr>
        <w:t xml:space="preserve">Quem procura acha: </w:t>
      </w:r>
      <w:proofErr w:type="spellStart"/>
      <w:r>
        <w:rPr>
          <w:rFonts w:ascii="Arial" w:hAnsi="Arial" w:cs="Arial"/>
          <w:b/>
          <w:bCs/>
          <w:color w:val="000000"/>
        </w:rPr>
        <w:t>Otiocerini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Muir</w:t>
      </w:r>
      <w:proofErr w:type="spellEnd"/>
      <w:r>
        <w:rPr>
          <w:rFonts w:ascii="Arial" w:hAnsi="Arial" w:cs="Arial"/>
          <w:b/>
          <w:bCs/>
          <w:color w:val="000000"/>
        </w:rPr>
        <w:t>, 1913 (</w:t>
      </w:r>
      <w:proofErr w:type="spellStart"/>
      <w:r>
        <w:rPr>
          <w:rFonts w:ascii="Arial" w:hAnsi="Arial" w:cs="Arial"/>
          <w:b/>
          <w:bCs/>
          <w:color w:val="000000"/>
        </w:rPr>
        <w:t>Insecta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</w:rPr>
        <w:t>Hemiptera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</w:rPr>
        <w:t>Auchenorrhyncha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</w:rPr>
        <w:t>Fulgoroidea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</w:rPr>
        <w:t>Derbidae</w:t>
      </w:r>
      <w:proofErr w:type="spellEnd"/>
      <w:r>
        <w:rPr>
          <w:rFonts w:ascii="Arial" w:hAnsi="Arial" w:cs="Arial"/>
          <w:b/>
          <w:bCs/>
          <w:color w:val="000000"/>
        </w:rPr>
        <w:t>) na Amazônia Brasileira</w:t>
      </w:r>
    </w:p>
    <w:p w14:paraId="0867CC94" w14:textId="77777777" w:rsidR="00232CEB" w:rsidRPr="00215E77" w:rsidRDefault="00232CEB" w:rsidP="00232CEB">
      <w:pPr>
        <w:jc w:val="center"/>
        <w:rPr>
          <w:rFonts w:ascii="Arial" w:hAnsi="Arial" w:cs="Arial"/>
          <w:bCs/>
          <w:sz w:val="28"/>
          <w:szCs w:val="28"/>
          <w:lang w:eastAsia="pt-BR"/>
        </w:rPr>
      </w:pPr>
    </w:p>
    <w:p w14:paraId="75745D18" w14:textId="26538469" w:rsidR="00906234" w:rsidRDefault="00174444" w:rsidP="00AB0A58">
      <w:pPr>
        <w:ind w:right="-1"/>
        <w:jc w:val="center"/>
        <w:rPr>
          <w:rFonts w:ascii="Arial" w:hAnsi="Arial" w:cs="Arial"/>
          <w:lang w:eastAsia="pt-BR"/>
        </w:rPr>
      </w:pPr>
      <w:proofErr w:type="spellStart"/>
      <w:r>
        <w:rPr>
          <w:rFonts w:ascii="Arial" w:hAnsi="Arial" w:cs="Arial"/>
          <w:bCs/>
          <w:u w:val="single"/>
          <w:lang w:eastAsia="pt-BR"/>
        </w:rPr>
        <w:t>Nájla</w:t>
      </w:r>
      <w:proofErr w:type="spellEnd"/>
      <w:r>
        <w:rPr>
          <w:rFonts w:ascii="Arial" w:hAnsi="Arial" w:cs="Arial"/>
          <w:bCs/>
          <w:u w:val="single"/>
          <w:lang w:eastAsia="pt-BR"/>
        </w:rPr>
        <w:t xml:space="preserve"> Vitória Noronha Lemos</w:t>
      </w:r>
      <w:r w:rsidR="00232CEB" w:rsidRPr="00215E77">
        <w:rPr>
          <w:rFonts w:ascii="Arial" w:hAnsi="Arial" w:cs="Arial"/>
          <w:bCs/>
          <w:vertAlign w:val="superscript"/>
          <w:lang w:eastAsia="pt-BR"/>
        </w:rPr>
        <w:t>1</w:t>
      </w:r>
      <w:r w:rsidR="00232CEB">
        <w:rPr>
          <w:rFonts w:ascii="Arial" w:hAnsi="Arial" w:cs="Arial"/>
          <w:b/>
          <w:lang w:eastAsia="pt-BR"/>
        </w:rPr>
        <w:t xml:space="preserve">; </w:t>
      </w:r>
      <w:r>
        <w:rPr>
          <w:rFonts w:ascii="Arial" w:hAnsi="Arial" w:cs="Arial"/>
          <w:lang w:eastAsia="pt-BR"/>
        </w:rPr>
        <w:t>Eduarda Fernanda Gomes Viegas</w:t>
      </w:r>
      <w:r w:rsidR="00232CEB">
        <w:rPr>
          <w:rFonts w:ascii="Arial" w:hAnsi="Arial" w:cs="Arial"/>
          <w:vertAlign w:val="superscript"/>
          <w:lang w:eastAsia="pt-BR"/>
        </w:rPr>
        <w:t>2</w:t>
      </w:r>
      <w:r>
        <w:rPr>
          <w:rFonts w:ascii="Arial" w:hAnsi="Arial" w:cs="Arial"/>
          <w:lang w:eastAsia="pt-BR"/>
        </w:rPr>
        <w:t xml:space="preserve">; </w:t>
      </w:r>
      <w:proofErr w:type="spellStart"/>
      <w:r>
        <w:rPr>
          <w:rFonts w:ascii="Arial" w:hAnsi="Arial" w:cs="Arial"/>
          <w:lang w:eastAsia="pt-BR"/>
        </w:rPr>
        <w:t>Rosaly</w:t>
      </w:r>
      <w:proofErr w:type="spellEnd"/>
      <w:r>
        <w:rPr>
          <w:rFonts w:ascii="Arial" w:hAnsi="Arial" w:cs="Arial"/>
          <w:lang w:eastAsia="pt-BR"/>
        </w:rPr>
        <w:t xml:space="preserve"> Ale-Rocha</w:t>
      </w:r>
      <w:r>
        <w:rPr>
          <w:rFonts w:ascii="Arial" w:hAnsi="Arial" w:cs="Arial"/>
          <w:vertAlign w:val="superscript"/>
          <w:lang w:eastAsia="pt-BR"/>
        </w:rPr>
        <w:t>2</w:t>
      </w:r>
    </w:p>
    <w:p w14:paraId="0C244886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4DCE330D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1 </w:t>
      </w:r>
      <w:r w:rsidR="00174444">
        <w:rPr>
          <w:rFonts w:ascii="Arial" w:hAnsi="Arial" w:cs="Arial"/>
          <w:lang w:eastAsia="pt-BR"/>
        </w:rPr>
        <w:t xml:space="preserve">Universidade Federal do Amazonas, Manaus, AM, </w:t>
      </w:r>
      <w:r w:rsidR="00174444" w:rsidRPr="00174444">
        <w:rPr>
          <w:rFonts w:ascii="Arial" w:hAnsi="Arial" w:cs="Arial"/>
          <w:color w:val="111111"/>
          <w:shd w:val="clear" w:color="auto" w:fill="FFFFFF"/>
        </w:rPr>
        <w:t>69080-900</w:t>
      </w:r>
    </w:p>
    <w:p w14:paraId="39F10248" w14:textId="22157C5C" w:rsidR="00906234" w:rsidRPr="0017444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2 </w:t>
      </w:r>
      <w:r w:rsidR="00AA3188">
        <w:rPr>
          <w:rFonts w:ascii="Arial" w:hAnsi="Arial" w:cs="Arial"/>
          <w:lang w:eastAsia="pt-BR"/>
        </w:rPr>
        <w:t>Instituto Nacional de Pesquisas da Amazônia</w:t>
      </w:r>
      <w:r w:rsidR="00AA3188">
        <w:rPr>
          <w:rFonts w:ascii="Arial" w:hAnsi="Arial" w:cs="Arial"/>
          <w:lang w:eastAsia="pt-BR"/>
        </w:rPr>
        <w:t xml:space="preserve">, Manaus, AM, </w:t>
      </w:r>
      <w:r w:rsidR="00AA3188">
        <w:rPr>
          <w:rFonts w:ascii="Arial" w:hAnsi="Arial" w:cs="Arial"/>
          <w:color w:val="111111"/>
          <w:shd w:val="clear" w:color="auto" w:fill="FFFFFF"/>
        </w:rPr>
        <w:t>69080-971</w:t>
      </w:r>
    </w:p>
    <w:p w14:paraId="6DF15334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5B13740C" w14:textId="0E98B677" w:rsidR="006F4C80" w:rsidRDefault="00564D23" w:rsidP="00565603">
      <w:pPr>
        <w:jc w:val="both"/>
        <w:rPr>
          <w:rFonts w:ascii="Arial" w:hAnsi="Arial" w:cs="Arial"/>
          <w:lang w:eastAsia="pt-BR"/>
        </w:rPr>
      </w:pPr>
      <w:proofErr w:type="spellStart"/>
      <w:r>
        <w:rPr>
          <w:rFonts w:ascii="Arial" w:hAnsi="Arial" w:cs="Arial"/>
          <w:color w:val="000000"/>
        </w:rPr>
        <w:t>Otiocerini</w:t>
      </w:r>
      <w:proofErr w:type="spellEnd"/>
      <w:r>
        <w:rPr>
          <w:rFonts w:ascii="Arial" w:hAnsi="Arial" w:cs="Arial"/>
          <w:color w:val="000000"/>
        </w:rPr>
        <w:t xml:space="preserve"> é uma tribo de </w:t>
      </w:r>
      <w:proofErr w:type="spellStart"/>
      <w:r>
        <w:rPr>
          <w:rFonts w:ascii="Arial" w:hAnsi="Arial" w:cs="Arial"/>
          <w:color w:val="000000"/>
        </w:rPr>
        <w:t>Derbidae</w:t>
      </w:r>
      <w:proofErr w:type="spellEnd"/>
      <w:r>
        <w:rPr>
          <w:rFonts w:ascii="Arial" w:hAnsi="Arial" w:cs="Arial"/>
          <w:color w:val="000000"/>
        </w:rPr>
        <w:t xml:space="preserve">, com 46 gêneros válidos. Na Região Neotropical é pouco estudada, com somente oito gêneros registrados, três para a América do Sul: </w:t>
      </w:r>
      <w:proofErr w:type="spellStart"/>
      <w:r>
        <w:rPr>
          <w:rFonts w:ascii="Arial" w:hAnsi="Arial" w:cs="Arial"/>
          <w:i/>
          <w:iCs/>
          <w:color w:val="000000"/>
        </w:rPr>
        <w:t>Otiocerus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Kirby</w:t>
      </w:r>
      <w:proofErr w:type="spellEnd"/>
      <w:r>
        <w:rPr>
          <w:rFonts w:ascii="Arial" w:hAnsi="Arial" w:cs="Arial"/>
          <w:color w:val="000000"/>
        </w:rPr>
        <w:t>, 1821 para o Brasil (</w:t>
      </w:r>
      <w:proofErr w:type="spellStart"/>
      <w:r>
        <w:rPr>
          <w:rFonts w:ascii="Arial" w:hAnsi="Arial" w:cs="Arial"/>
          <w:i/>
          <w:iCs/>
          <w:color w:val="000000"/>
        </w:rPr>
        <w:t>Otiocerus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stollii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Kirby</w:t>
      </w:r>
      <w:proofErr w:type="spellEnd"/>
      <w:r>
        <w:rPr>
          <w:rFonts w:ascii="Arial" w:hAnsi="Arial" w:cs="Arial"/>
          <w:color w:val="000000"/>
        </w:rPr>
        <w:t xml:space="preserve">, Bahia), </w:t>
      </w:r>
      <w:proofErr w:type="spellStart"/>
      <w:r>
        <w:rPr>
          <w:rFonts w:ascii="Arial" w:hAnsi="Arial" w:cs="Arial"/>
          <w:i/>
          <w:iCs/>
          <w:color w:val="000000"/>
        </w:rPr>
        <w:t>Kubilaya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Koçak</w:t>
      </w:r>
      <w:proofErr w:type="spellEnd"/>
      <w:r>
        <w:rPr>
          <w:rFonts w:ascii="Arial" w:hAnsi="Arial" w:cs="Arial"/>
          <w:color w:val="000000"/>
        </w:rPr>
        <w:t xml:space="preserve"> &amp; </w:t>
      </w:r>
      <w:proofErr w:type="spellStart"/>
      <w:r>
        <w:rPr>
          <w:rFonts w:ascii="Arial" w:hAnsi="Arial" w:cs="Arial"/>
          <w:color w:val="000000"/>
        </w:rPr>
        <w:t>Kemal</w:t>
      </w:r>
      <w:proofErr w:type="spellEnd"/>
      <w:r>
        <w:rPr>
          <w:rFonts w:ascii="Arial" w:hAnsi="Arial" w:cs="Arial"/>
          <w:color w:val="000000"/>
        </w:rPr>
        <w:t xml:space="preserve">, 2010 para o Peru, e </w:t>
      </w:r>
      <w:proofErr w:type="spellStart"/>
      <w:r>
        <w:rPr>
          <w:rFonts w:ascii="Arial" w:hAnsi="Arial" w:cs="Arial"/>
          <w:i/>
          <w:iCs/>
          <w:color w:val="000000"/>
        </w:rPr>
        <w:t>Platocerella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Fennah</w:t>
      </w:r>
      <w:proofErr w:type="spellEnd"/>
      <w:r>
        <w:rPr>
          <w:rFonts w:ascii="Arial" w:hAnsi="Arial" w:cs="Arial"/>
          <w:color w:val="000000"/>
        </w:rPr>
        <w:t xml:space="preserve">, 1952 para Guiana, sendo este último com ocorrência provável no Brasil. O objetivo deste trabalho foi ampliar o conhecimento de </w:t>
      </w:r>
      <w:proofErr w:type="spellStart"/>
      <w:r>
        <w:rPr>
          <w:rFonts w:ascii="Arial" w:hAnsi="Arial" w:cs="Arial"/>
          <w:color w:val="000000"/>
        </w:rPr>
        <w:t>Otiocerini</w:t>
      </w:r>
      <w:proofErr w:type="spellEnd"/>
      <w:r>
        <w:rPr>
          <w:rFonts w:ascii="Arial" w:hAnsi="Arial" w:cs="Arial"/>
          <w:color w:val="000000"/>
        </w:rPr>
        <w:t xml:space="preserve"> para a Amazônia Brasileira. Os espécimes de </w:t>
      </w:r>
      <w:proofErr w:type="spellStart"/>
      <w:r>
        <w:rPr>
          <w:rFonts w:ascii="Arial" w:hAnsi="Arial" w:cs="Arial"/>
          <w:color w:val="000000"/>
        </w:rPr>
        <w:t>Otiocerini</w:t>
      </w:r>
      <w:proofErr w:type="spellEnd"/>
      <w:r>
        <w:rPr>
          <w:rFonts w:ascii="Arial" w:hAnsi="Arial" w:cs="Arial"/>
          <w:color w:val="000000"/>
        </w:rPr>
        <w:t xml:space="preserve"> fazem parte do acervo da Coleção de Invertebrados do INPA. A identificação dos espécimes seguiu a chave para família de </w:t>
      </w:r>
      <w:proofErr w:type="spellStart"/>
      <w:r>
        <w:rPr>
          <w:rFonts w:ascii="Arial" w:hAnsi="Arial" w:cs="Arial"/>
          <w:color w:val="000000"/>
        </w:rPr>
        <w:t>Grazia</w:t>
      </w:r>
      <w:proofErr w:type="spellEnd"/>
      <w:r>
        <w:rPr>
          <w:rFonts w:ascii="Arial" w:hAnsi="Arial" w:cs="Arial"/>
          <w:color w:val="000000"/>
        </w:rPr>
        <w:t xml:space="preserve"> et al. (2012) e descrições originais e chaves de identificação de </w:t>
      </w:r>
      <w:proofErr w:type="spellStart"/>
      <w:r>
        <w:rPr>
          <w:rFonts w:ascii="Arial" w:hAnsi="Arial" w:cs="Arial"/>
          <w:color w:val="000000"/>
        </w:rPr>
        <w:t>Kirkaldy</w:t>
      </w:r>
      <w:proofErr w:type="spellEnd"/>
      <w:r>
        <w:rPr>
          <w:rFonts w:ascii="Arial" w:hAnsi="Arial" w:cs="Arial"/>
          <w:color w:val="000000"/>
        </w:rPr>
        <w:t xml:space="preserve"> (1906), </w:t>
      </w:r>
      <w:proofErr w:type="spellStart"/>
      <w:r>
        <w:rPr>
          <w:rFonts w:ascii="Arial" w:hAnsi="Arial" w:cs="Arial"/>
          <w:color w:val="000000"/>
        </w:rPr>
        <w:t>Muir</w:t>
      </w:r>
      <w:proofErr w:type="spellEnd"/>
      <w:r>
        <w:rPr>
          <w:rFonts w:ascii="Arial" w:hAnsi="Arial" w:cs="Arial"/>
          <w:color w:val="000000"/>
        </w:rPr>
        <w:t xml:space="preserve"> (1913, 1917), </w:t>
      </w:r>
      <w:proofErr w:type="spellStart"/>
      <w:r>
        <w:rPr>
          <w:rFonts w:ascii="Arial" w:hAnsi="Arial" w:cs="Arial"/>
          <w:color w:val="000000"/>
        </w:rPr>
        <w:t>Metcalf</w:t>
      </w:r>
      <w:proofErr w:type="spellEnd"/>
      <w:r>
        <w:rPr>
          <w:rFonts w:ascii="Arial" w:hAnsi="Arial" w:cs="Arial"/>
          <w:color w:val="000000"/>
        </w:rPr>
        <w:t xml:space="preserve"> (1923), </w:t>
      </w:r>
      <w:proofErr w:type="spellStart"/>
      <w:r>
        <w:rPr>
          <w:rFonts w:ascii="Arial" w:hAnsi="Arial" w:cs="Arial"/>
          <w:color w:val="000000"/>
        </w:rPr>
        <w:t>Fennah</w:t>
      </w:r>
      <w:proofErr w:type="spellEnd"/>
      <w:r>
        <w:rPr>
          <w:rFonts w:ascii="Arial" w:hAnsi="Arial" w:cs="Arial"/>
          <w:color w:val="000000"/>
        </w:rPr>
        <w:t xml:space="preserve"> (1952), Wu et al. (2005), </w:t>
      </w:r>
      <w:proofErr w:type="spellStart"/>
      <w:r>
        <w:rPr>
          <w:rFonts w:ascii="Arial" w:hAnsi="Arial" w:cs="Arial"/>
          <w:color w:val="000000"/>
        </w:rPr>
        <w:t>Bartlett</w:t>
      </w:r>
      <w:proofErr w:type="spellEnd"/>
      <w:r>
        <w:rPr>
          <w:rFonts w:ascii="Arial" w:hAnsi="Arial" w:cs="Arial"/>
          <w:color w:val="000000"/>
        </w:rPr>
        <w:t xml:space="preserve"> et al. (2011), </w:t>
      </w:r>
      <w:proofErr w:type="spellStart"/>
      <w:r>
        <w:rPr>
          <w:rFonts w:ascii="Arial" w:hAnsi="Arial" w:cs="Arial"/>
          <w:color w:val="000000"/>
        </w:rPr>
        <w:t>Bartlett</w:t>
      </w:r>
      <w:proofErr w:type="spellEnd"/>
      <w:r>
        <w:rPr>
          <w:rFonts w:ascii="Arial" w:hAnsi="Arial" w:cs="Arial"/>
          <w:color w:val="000000"/>
        </w:rPr>
        <w:t xml:space="preserve"> et al. (2014), </w:t>
      </w:r>
      <w:proofErr w:type="spellStart"/>
      <w:r>
        <w:rPr>
          <w:rFonts w:ascii="Arial" w:hAnsi="Arial" w:cs="Arial"/>
          <w:color w:val="000000"/>
        </w:rPr>
        <w:t>Banaszkiewicz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Szwedo</w:t>
      </w:r>
      <w:proofErr w:type="spellEnd"/>
      <w:r>
        <w:rPr>
          <w:rFonts w:ascii="Arial" w:hAnsi="Arial" w:cs="Arial"/>
          <w:color w:val="000000"/>
        </w:rPr>
        <w:t xml:space="preserve"> (2005) para os gêneros. A morfologia externa dos espécimes foi estudada com o auxílio de microscópio estereoscópico </w:t>
      </w:r>
      <w:proofErr w:type="spellStart"/>
      <w:r>
        <w:rPr>
          <w:rFonts w:ascii="Arial" w:hAnsi="Arial" w:cs="Arial"/>
          <w:color w:val="000000"/>
        </w:rPr>
        <w:t>Leica</w:t>
      </w:r>
      <w:proofErr w:type="spellEnd"/>
      <w:r>
        <w:rPr>
          <w:rFonts w:ascii="Arial" w:hAnsi="Arial" w:cs="Arial"/>
          <w:color w:val="000000"/>
        </w:rPr>
        <w:t xml:space="preserve">®. Foram obtidas fotografias das estruturas de importância taxonômica com auxílio de </w:t>
      </w:r>
      <w:proofErr w:type="spellStart"/>
      <w:r>
        <w:rPr>
          <w:rFonts w:ascii="Arial" w:hAnsi="Arial" w:cs="Arial"/>
          <w:color w:val="000000"/>
        </w:rPr>
        <w:t>estereomicroscópio</w:t>
      </w:r>
      <w:proofErr w:type="spellEnd"/>
      <w:r>
        <w:rPr>
          <w:rFonts w:ascii="Arial" w:hAnsi="Arial" w:cs="Arial"/>
          <w:color w:val="000000"/>
        </w:rPr>
        <w:t xml:space="preserve"> binocular </w:t>
      </w:r>
      <w:proofErr w:type="spellStart"/>
      <w:r>
        <w:rPr>
          <w:rFonts w:ascii="Arial" w:hAnsi="Arial" w:cs="Arial"/>
          <w:color w:val="000000"/>
        </w:rPr>
        <w:t>Leica</w:t>
      </w:r>
      <w:proofErr w:type="spellEnd"/>
      <w:r>
        <w:rPr>
          <w:rFonts w:ascii="Arial" w:hAnsi="Arial" w:cs="Arial"/>
          <w:color w:val="000000"/>
        </w:rPr>
        <w:t xml:space="preserve">® M205C com câmera digital acoplada. As imagens foram editadas e montadas em pranchas no programa Adobe Photoshop®. Para visualização da distribuição de </w:t>
      </w:r>
      <w:proofErr w:type="spellStart"/>
      <w:r>
        <w:rPr>
          <w:rFonts w:ascii="Arial" w:hAnsi="Arial" w:cs="Arial"/>
          <w:color w:val="000000"/>
        </w:rPr>
        <w:t>Otiocerini</w:t>
      </w:r>
      <w:proofErr w:type="spellEnd"/>
      <w:r>
        <w:rPr>
          <w:rFonts w:ascii="Arial" w:hAnsi="Arial" w:cs="Arial"/>
          <w:color w:val="000000"/>
        </w:rPr>
        <w:t xml:space="preserve"> na Amazônia, foram confeccionados mapas utilizando o programa </w:t>
      </w:r>
      <w:proofErr w:type="spellStart"/>
      <w:r>
        <w:rPr>
          <w:rFonts w:ascii="Arial" w:hAnsi="Arial" w:cs="Arial"/>
          <w:color w:val="000000"/>
        </w:rPr>
        <w:t>SimpleMappr</w:t>
      </w:r>
      <w:proofErr w:type="spellEnd"/>
      <w:r>
        <w:rPr>
          <w:rFonts w:ascii="Arial" w:hAnsi="Arial" w:cs="Arial"/>
          <w:color w:val="000000"/>
        </w:rPr>
        <w:t xml:space="preserve">®, a partir das coordenadas das etiquetas de cada espécime. A chave dicotômica, elaborada com base na análise dos espécimes, através de seus caracteres morfológicos diagnósticos, e descrições originais de cada gênero. Foram analisados 200 espécimes de </w:t>
      </w:r>
      <w:proofErr w:type="spellStart"/>
      <w:r>
        <w:rPr>
          <w:rFonts w:ascii="Arial" w:hAnsi="Arial" w:cs="Arial"/>
          <w:color w:val="000000"/>
        </w:rPr>
        <w:t>Otiocerini</w:t>
      </w:r>
      <w:proofErr w:type="spellEnd"/>
      <w:r>
        <w:rPr>
          <w:rFonts w:ascii="Arial" w:hAnsi="Arial" w:cs="Arial"/>
          <w:color w:val="000000"/>
        </w:rPr>
        <w:t xml:space="preserve"> e identificamos seis gêneros: </w:t>
      </w:r>
      <w:proofErr w:type="spellStart"/>
      <w:r>
        <w:rPr>
          <w:rFonts w:ascii="Arial" w:hAnsi="Arial" w:cs="Arial"/>
          <w:i/>
          <w:iCs/>
          <w:color w:val="000000"/>
        </w:rPr>
        <w:t>Anotia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Kirby</w:t>
      </w:r>
      <w:proofErr w:type="spellEnd"/>
      <w:r>
        <w:rPr>
          <w:rFonts w:ascii="Arial" w:hAnsi="Arial" w:cs="Arial"/>
          <w:color w:val="000000"/>
        </w:rPr>
        <w:t xml:space="preserve">, 1821, </w:t>
      </w:r>
      <w:proofErr w:type="spellStart"/>
      <w:r>
        <w:rPr>
          <w:rFonts w:ascii="Arial" w:hAnsi="Arial" w:cs="Arial"/>
          <w:i/>
          <w:iCs/>
          <w:color w:val="000000"/>
        </w:rPr>
        <w:t>Platonax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Metcalf</w:t>
      </w:r>
      <w:proofErr w:type="spellEnd"/>
      <w:r>
        <w:rPr>
          <w:rFonts w:ascii="Arial" w:hAnsi="Arial" w:cs="Arial"/>
          <w:color w:val="000000"/>
        </w:rPr>
        <w:t xml:space="preserve">, 1938 e </w:t>
      </w:r>
      <w:proofErr w:type="spellStart"/>
      <w:r>
        <w:rPr>
          <w:rFonts w:ascii="Arial" w:hAnsi="Arial" w:cs="Arial"/>
          <w:i/>
          <w:iCs/>
          <w:color w:val="000000"/>
        </w:rPr>
        <w:t>Sayiana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Ball, 1928 primeiros registros para o Brasil, os gêneros </w:t>
      </w:r>
      <w:r>
        <w:rPr>
          <w:rFonts w:ascii="Arial" w:hAnsi="Arial" w:cs="Arial"/>
          <w:i/>
          <w:iCs/>
          <w:color w:val="000000"/>
        </w:rPr>
        <w:t>Apache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Kirkaldy</w:t>
      </w:r>
      <w:proofErr w:type="spellEnd"/>
      <w:r>
        <w:rPr>
          <w:rFonts w:ascii="Arial" w:hAnsi="Arial" w:cs="Arial"/>
          <w:color w:val="000000"/>
        </w:rPr>
        <w:t xml:space="preserve"> 1901 e </w:t>
      </w:r>
      <w:proofErr w:type="spellStart"/>
      <w:r>
        <w:rPr>
          <w:rFonts w:ascii="Arial" w:hAnsi="Arial" w:cs="Arial"/>
          <w:i/>
          <w:iCs/>
          <w:color w:val="000000"/>
        </w:rPr>
        <w:t>Shellenius</w:t>
      </w:r>
      <w:proofErr w:type="spellEnd"/>
      <w:r>
        <w:rPr>
          <w:rFonts w:ascii="Arial" w:hAnsi="Arial" w:cs="Arial"/>
          <w:color w:val="000000"/>
        </w:rPr>
        <w:t xml:space="preserve"> Ball, 1928 primeiros registros para a América do Sul </w:t>
      </w:r>
      <w:proofErr w:type="gramStart"/>
      <w:r>
        <w:rPr>
          <w:rFonts w:ascii="Arial" w:hAnsi="Arial" w:cs="Arial"/>
          <w:color w:val="000000"/>
        </w:rPr>
        <w:t xml:space="preserve">e  </w:t>
      </w:r>
      <w:proofErr w:type="spellStart"/>
      <w:r>
        <w:rPr>
          <w:rFonts w:ascii="Arial" w:hAnsi="Arial" w:cs="Arial"/>
          <w:i/>
          <w:iCs/>
          <w:color w:val="000000"/>
        </w:rPr>
        <w:t>Otiocerus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Muir</w:t>
      </w:r>
      <w:proofErr w:type="spellEnd"/>
      <w:r>
        <w:rPr>
          <w:rFonts w:ascii="Arial" w:hAnsi="Arial" w:cs="Arial"/>
          <w:color w:val="000000"/>
        </w:rPr>
        <w:t>, 1917, primeiro registro para a Amazônia. Os indivíduos foram coletados em diferentes cidades brasileiras dos estados do Amazonas (Manaus, Presidente Figueiredo, Ipixuna, Novo Aripuanã), Acre (</w:t>
      </w:r>
      <w:proofErr w:type="spellStart"/>
      <w:r>
        <w:rPr>
          <w:rFonts w:ascii="Arial" w:hAnsi="Arial" w:cs="Arial"/>
          <w:color w:val="000000"/>
        </w:rPr>
        <w:t>Bujari</w:t>
      </w:r>
      <w:proofErr w:type="spellEnd"/>
      <w:r>
        <w:rPr>
          <w:rFonts w:ascii="Arial" w:hAnsi="Arial" w:cs="Arial"/>
          <w:color w:val="000000"/>
        </w:rPr>
        <w:t>), Roraima (</w:t>
      </w:r>
      <w:proofErr w:type="spellStart"/>
      <w:r>
        <w:rPr>
          <w:rFonts w:ascii="Arial" w:hAnsi="Arial" w:cs="Arial"/>
          <w:color w:val="000000"/>
        </w:rPr>
        <w:t>Auaris</w:t>
      </w:r>
      <w:proofErr w:type="spellEnd"/>
      <w:r>
        <w:rPr>
          <w:rFonts w:ascii="Arial" w:hAnsi="Arial" w:cs="Arial"/>
          <w:color w:val="000000"/>
        </w:rPr>
        <w:t xml:space="preserve">) e Maranhão (Caxias), e no Peru (Cusco).  De acordo com os dados de suas etiquetas, os espécimes foram coletados com maior frequência com armadilhas do tipo </w:t>
      </w:r>
      <w:proofErr w:type="spellStart"/>
      <w:r>
        <w:rPr>
          <w:rFonts w:ascii="Arial" w:hAnsi="Arial" w:cs="Arial"/>
          <w:color w:val="000000"/>
        </w:rPr>
        <w:t>Malaise</w:t>
      </w:r>
      <w:proofErr w:type="spellEnd"/>
      <w:r>
        <w:rPr>
          <w:rFonts w:ascii="Arial" w:hAnsi="Arial" w:cs="Arial"/>
          <w:color w:val="000000"/>
        </w:rPr>
        <w:t>, Suspensa e por varredura, sendo encontrados em florestas, no sub-bosque e no dossel. Este trabalho forneceu o primeiro registro da tribo na Amazônia brasileira.</w:t>
      </w:r>
    </w:p>
    <w:p w14:paraId="6F620CFB" w14:textId="77777777" w:rsidR="00906234" w:rsidRDefault="00906234">
      <w:pPr>
        <w:jc w:val="both"/>
      </w:pPr>
    </w:p>
    <w:p w14:paraId="1F98EC20" w14:textId="6E5A38AF" w:rsidR="00906234" w:rsidRDefault="00906234">
      <w:pPr>
        <w:jc w:val="both"/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r w:rsidR="00AA3188">
        <w:rPr>
          <w:rFonts w:ascii="Arial" w:hAnsi="Arial" w:cs="Arial"/>
          <w:lang w:eastAsia="pt-BR"/>
        </w:rPr>
        <w:t xml:space="preserve">Chave de identificação; </w:t>
      </w:r>
      <w:proofErr w:type="spellStart"/>
      <w:r w:rsidR="00AA3188">
        <w:rPr>
          <w:rFonts w:ascii="Arial" w:hAnsi="Arial" w:cs="Arial"/>
          <w:lang w:eastAsia="pt-BR"/>
        </w:rPr>
        <w:t>Otiocerinae</w:t>
      </w:r>
      <w:proofErr w:type="spellEnd"/>
      <w:r w:rsidR="00AA3188">
        <w:rPr>
          <w:rFonts w:ascii="Arial" w:hAnsi="Arial" w:cs="Arial"/>
          <w:lang w:eastAsia="pt-BR"/>
        </w:rPr>
        <w:t>; Distribuição</w:t>
      </w:r>
    </w:p>
    <w:p w14:paraId="48A753AD" w14:textId="77777777" w:rsidR="00906234" w:rsidRDefault="00906234">
      <w:pPr>
        <w:jc w:val="both"/>
      </w:pPr>
    </w:p>
    <w:p w14:paraId="5641FBB2" w14:textId="7D2A90BC" w:rsidR="00906234" w:rsidRDefault="00906234">
      <w:pPr>
        <w:spacing w:line="360" w:lineRule="auto"/>
        <w:jc w:val="both"/>
      </w:pPr>
      <w:r>
        <w:rPr>
          <w:rFonts w:ascii="Arial" w:hAnsi="Arial" w:cs="Arial"/>
          <w:b/>
          <w:bCs/>
          <w:lang w:eastAsia="pt-BR"/>
        </w:rPr>
        <w:t>Apoio Financeiro:</w:t>
      </w:r>
      <w:r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r w:rsidR="00AA3188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CNPq</w:t>
      </w:r>
      <w:r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.</w:t>
      </w: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30DAE" w14:textId="77777777" w:rsidR="000F155E" w:rsidRDefault="000F155E">
      <w:r>
        <w:separator/>
      </w:r>
    </w:p>
  </w:endnote>
  <w:endnote w:type="continuationSeparator" w:id="0">
    <w:p w14:paraId="62BABD63" w14:textId="77777777" w:rsidR="000F155E" w:rsidRDefault="000F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39EE6" w14:textId="77777777" w:rsidR="000F155E" w:rsidRDefault="000F155E">
      <w:r>
        <w:separator/>
      </w:r>
    </w:p>
  </w:footnote>
  <w:footnote w:type="continuationSeparator" w:id="0">
    <w:p w14:paraId="5E2D77B2" w14:textId="77777777" w:rsidR="000F155E" w:rsidRDefault="000F1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Dezembro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34"/>
    <w:rsid w:val="00025443"/>
    <w:rsid w:val="000865FE"/>
    <w:rsid w:val="000F155E"/>
    <w:rsid w:val="00125BA0"/>
    <w:rsid w:val="00174444"/>
    <w:rsid w:val="001A4A88"/>
    <w:rsid w:val="001C436C"/>
    <w:rsid w:val="00215E77"/>
    <w:rsid w:val="00232CEB"/>
    <w:rsid w:val="00233404"/>
    <w:rsid w:val="002C4F7E"/>
    <w:rsid w:val="00310231"/>
    <w:rsid w:val="00356CD4"/>
    <w:rsid w:val="0042173B"/>
    <w:rsid w:val="004A712B"/>
    <w:rsid w:val="004C4B98"/>
    <w:rsid w:val="005041BB"/>
    <w:rsid w:val="0051121D"/>
    <w:rsid w:val="00564D23"/>
    <w:rsid w:val="00565603"/>
    <w:rsid w:val="005E7F63"/>
    <w:rsid w:val="00607453"/>
    <w:rsid w:val="0063342C"/>
    <w:rsid w:val="006538FF"/>
    <w:rsid w:val="00654E35"/>
    <w:rsid w:val="00692B7A"/>
    <w:rsid w:val="006F4C80"/>
    <w:rsid w:val="007329F9"/>
    <w:rsid w:val="00734B76"/>
    <w:rsid w:val="00760BC0"/>
    <w:rsid w:val="00781DF9"/>
    <w:rsid w:val="00866508"/>
    <w:rsid w:val="008D17EF"/>
    <w:rsid w:val="00906234"/>
    <w:rsid w:val="009B3EBC"/>
    <w:rsid w:val="009C4F71"/>
    <w:rsid w:val="009D1113"/>
    <w:rsid w:val="00AA3188"/>
    <w:rsid w:val="00AA3D23"/>
    <w:rsid w:val="00AB0A58"/>
    <w:rsid w:val="00AE6752"/>
    <w:rsid w:val="00C710B9"/>
    <w:rsid w:val="00D1767B"/>
    <w:rsid w:val="00D91FB1"/>
    <w:rsid w:val="00DF68D2"/>
    <w:rsid w:val="00E0458D"/>
    <w:rsid w:val="00E76B12"/>
    <w:rsid w:val="00EC235F"/>
    <w:rsid w:val="00EC5579"/>
    <w:rsid w:val="00F25337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najla</cp:lastModifiedBy>
  <cp:revision>2</cp:revision>
  <cp:lastPrinted>2007-10-05T18:12:00Z</cp:lastPrinted>
  <dcterms:created xsi:type="dcterms:W3CDTF">2023-11-18T02:29:00Z</dcterms:created>
  <dcterms:modified xsi:type="dcterms:W3CDTF">2023-11-18T02:29:00Z</dcterms:modified>
</cp:coreProperties>
</file>