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AC7C" w14:textId="77777777" w:rsidR="001F3A2D" w:rsidRDefault="00894F4F">
      <w:pPr>
        <w:spacing w:before="260" w:after="12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ENXERTOS ÓSSEOS AUTÓGENOS: UMA ANÁLISE ABRANGENTE DE SUAS PROPRIEDADES E APLICAÇÕES NA RECONSTRUÇÃO PERI-IMPLANTAR</w:t>
      </w:r>
    </w:p>
    <w:p w14:paraId="002F5A4C" w14:textId="1FDCCC69" w:rsidR="009D3C3C" w:rsidRDefault="00894F4F" w:rsidP="009D3C3C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Lu</w:t>
      </w:r>
      <w:r w:rsidR="008871C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iz Eduardo Saturnino Silva¹; Thiago Ferreira de Almeida Xavier</w:t>
      </w:r>
      <w:r w:rsidR="008871C6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8871C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 Evelyn Almeida Nascimento</w:t>
      </w:r>
      <w:r w:rsidR="008871C6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1C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Rafaella Trindade Gomes</w:t>
      </w:r>
      <w:r w:rsidR="008871C6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²;</w:t>
      </w:r>
      <w:r w:rsidR="008871C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067629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Matheus</w:t>
      </w:r>
      <w:r w:rsidR="00CA7335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067629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Pires</w:t>
      </w:r>
      <w:r w:rsidR="00CA7335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067629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Costa Marques</w:t>
      </w:r>
      <w:r w:rsidR="00CA7335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A51D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AB2478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Laura</w:t>
      </w:r>
      <w:r w:rsidR="00A51D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AB2478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Cristina </w:t>
      </w:r>
      <w:r w:rsidR="00A11AC8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Souza da Silva</w:t>
      </w:r>
      <w:r w:rsidR="00A51DBD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A51D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9D3C3C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Lima³.</w:t>
      </w:r>
    </w:p>
    <w:p w14:paraId="33A7BEBF" w14:textId="486B648D" w:rsidR="009D3C3C" w:rsidRDefault="009D3C3C" w:rsidP="009D3C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54D7483" w14:textId="77777777" w:rsidR="009D3C3C" w:rsidRDefault="009D3C3C" w:rsidP="009D3C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477BA69F" w14:textId="77777777" w:rsidR="009D3C3C" w:rsidRDefault="009D3C3C" w:rsidP="009D3C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Mestrando em Periodontia, Centro de Pesquisas Odontológicas São Leopoldo Mandic – SLMandic, Campinas, SP.</w:t>
      </w:r>
    </w:p>
    <w:p w14:paraId="3DC0E6A2" w14:textId="77777777" w:rsidR="001F3A2D" w:rsidRDefault="001F3A2D" w:rsidP="009D3C3C">
      <w:pPr>
        <w:keepNext/>
        <w:widowControl w:val="0"/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5C9EF5" w14:textId="77777777" w:rsidR="001F3A2D" w:rsidRPr="009D3C3C" w:rsidRDefault="00894F4F">
      <w:pPr>
        <w:keepNext/>
        <w:widowControl w:val="0"/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9D3C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Pr="009D3C3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sillvah48@gmail.com</w:t>
      </w:r>
    </w:p>
    <w:p w14:paraId="784AE921" w14:textId="77777777" w:rsidR="001F3A2D" w:rsidRPr="009D3C3C" w:rsidRDefault="001F3A2D">
      <w:pPr>
        <w:spacing w:before="20"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6CDE85CE" w14:textId="77777777" w:rsidR="001F3A2D" w:rsidRPr="009D3C3C" w:rsidRDefault="00894F4F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3C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RESUMO</w:t>
      </w:r>
    </w:p>
    <w:p w14:paraId="2FC0228D" w14:textId="374A1B7E" w:rsidR="001F3A2D" w:rsidRPr="005A541D" w:rsidRDefault="00760DED" w:rsidP="008F7BF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30504D" w:rsidRPr="0030504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9D3C3C">
        <w:rPr>
          <w:rFonts w:ascii="Times New Roman" w:hAnsi="Times New Roman" w:cs="Times New Roman"/>
          <w:sz w:val="24"/>
          <w:szCs w:val="30"/>
          <w:shd w:val="clear" w:color="auto" w:fill="FFFFFF"/>
        </w:rPr>
        <w:t>O o</w:t>
      </w:r>
      <w:r w:rsidR="0030504D" w:rsidRPr="0030504D">
        <w:rPr>
          <w:rFonts w:ascii="Times New Roman" w:hAnsi="Times New Roman" w:cs="Times New Roman"/>
          <w:sz w:val="24"/>
          <w:szCs w:val="30"/>
          <w:shd w:val="clear" w:color="auto" w:fill="FFFFFF"/>
        </w:rPr>
        <w:t>sso alveolar sofre o processo de reabsorção após a perda dentária, que quando severa, geralmente causa dificuldades de instalação e</w:t>
      </w:r>
      <w:r w:rsidR="009D3C3C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30504D" w:rsidRPr="0030504D">
        <w:rPr>
          <w:rFonts w:ascii="Times New Roman" w:hAnsi="Times New Roman" w:cs="Times New Roman"/>
          <w:sz w:val="24"/>
          <w:szCs w:val="30"/>
          <w:shd w:val="clear" w:color="auto" w:fill="FFFFFF"/>
        </w:rPr>
        <w:t>adaptação de próteses</w:t>
      </w:r>
      <w:r w:rsidR="009D3C3C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30504D" w:rsidRPr="0030504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removíveis </w:t>
      </w:r>
      <w:r w:rsidR="009D3C3C">
        <w:rPr>
          <w:rFonts w:ascii="Times New Roman" w:hAnsi="Times New Roman" w:cs="Times New Roman"/>
          <w:sz w:val="24"/>
          <w:szCs w:val="30"/>
          <w:shd w:val="clear" w:color="auto" w:fill="FFFFFF"/>
        </w:rPr>
        <w:t>e</w:t>
      </w:r>
      <w:r w:rsidR="0030504D" w:rsidRPr="0030504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até mesmo implantes dentários</w:t>
      </w:r>
      <w:r w:rsidR="0030504D" w:rsidRPr="0076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3C3C" w:rsidRPr="009D3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Embora o osso tenha a capacidade de se reparar quando lesionado, em casos de perda óssea significativa, essa capacidade natural de reparo torna-se insuficiente para corrigir o defeito. </w:t>
      </w:r>
      <w:r w:rsidRPr="00760DED">
        <w:rPr>
          <w:rFonts w:ascii="Times New Roman" w:hAnsi="Times New Roman" w:cs="Times New Roman"/>
          <w:sz w:val="24"/>
          <w:szCs w:val="24"/>
          <w:shd w:val="clear" w:color="auto" w:fill="FFFFFF"/>
        </w:rPr>
        <w:t>Para restaurar esse dano é necessário realizar o procedimento de enxertia óssea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3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F4F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Este estudo tem como objetivo a compilação e análise dos dados disponíveis na literatura referentes ao uso de enxertos ósseos </w:t>
      </w:r>
      <w:proofErr w:type="spellStart"/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>autógenos</w:t>
      </w:r>
      <w:proofErr w:type="spellEnd"/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reconstrução </w:t>
      </w:r>
      <w:proofErr w:type="spellStart"/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>peri-implantar</w:t>
      </w:r>
      <w:proofErr w:type="spellEnd"/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94F4F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9D3C3C">
        <w:rPr>
          <w:rFonts w:ascii="Times New Roman" w:eastAsia="Times New Roman" w:hAnsi="Times New Roman" w:cs="Times New Roman"/>
          <w:sz w:val="24"/>
          <w:szCs w:val="24"/>
        </w:rPr>
        <w:t>T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>rata-se de uma revisão integrativa de literatura realizada através das bases de dado</w:t>
      </w:r>
      <w:r w:rsidR="009D3C3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354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0C135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9D3C3C">
        <w:rPr>
          <w:rFonts w:ascii="Times New Roman" w:eastAsia="Times New Roman" w:hAnsi="Times New Roman" w:cs="Times New Roman"/>
          <w:sz w:val="24"/>
          <w:szCs w:val="24"/>
        </w:rPr>
        <w:t>Periódicos Capes</w:t>
      </w:r>
      <w:r w:rsidR="005A541D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>tilizou-se os descritores</w:t>
      </w:r>
      <w:r w:rsidR="00273C7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273C75">
        <w:rPr>
          <w:rFonts w:ascii="Times New Roman" w:eastAsia="Times New Roman" w:hAnsi="Times New Roman" w:cs="Times New Roman"/>
          <w:bCs/>
          <w:sz w:val="24"/>
          <w:szCs w:val="24"/>
        </w:rPr>
        <w:t>Implantes artificiais”. “Enxerto de osso alveolar”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9D3C3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>periodontia</w:t>
      </w:r>
      <w:r w:rsidR="009D3C3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 xml:space="preserve">, um lapso temporal de 10 anos e filtro de idiomas inglês e português. </w:t>
      </w:r>
      <w:r w:rsidR="005A541D">
        <w:rPr>
          <w:rFonts w:ascii="Times New Roman" w:eastAsia="Times New Roman" w:hAnsi="Times New Roman" w:cs="Times New Roman"/>
          <w:sz w:val="24"/>
          <w:szCs w:val="24"/>
        </w:rPr>
        <w:t>F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7C3C78">
        <w:rPr>
          <w:rFonts w:ascii="Times New Roman" w:eastAsia="Times New Roman" w:hAnsi="Times New Roman" w:cs="Times New Roman"/>
          <w:sz w:val="24"/>
          <w:szCs w:val="24"/>
        </w:rPr>
        <w:t>m encontrados 9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 xml:space="preserve"> artigos, após </w:t>
      </w:r>
      <w:r w:rsidR="005A541D">
        <w:rPr>
          <w:rFonts w:ascii="Times New Roman" w:eastAsia="Times New Roman" w:hAnsi="Times New Roman" w:cs="Times New Roman"/>
          <w:sz w:val="24"/>
          <w:szCs w:val="24"/>
        </w:rPr>
        <w:t xml:space="preserve">critérios de 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>exclusão</w:t>
      </w:r>
      <w:r w:rsidR="005A54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1354">
        <w:rPr>
          <w:rFonts w:ascii="Times New Roman" w:eastAsia="Times New Roman" w:hAnsi="Times New Roman" w:cs="Times New Roman"/>
          <w:sz w:val="24"/>
          <w:szCs w:val="24"/>
        </w:rPr>
        <w:t xml:space="preserve"> foram selecionados 6 artigos. </w:t>
      </w:r>
      <w:r w:rsidR="00894F4F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 w:rsidR="00894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BF1" w:rsidRPr="008F7BF1">
        <w:rPr>
          <w:rFonts w:ascii="Times New Roman" w:eastAsia="Times New Roman" w:hAnsi="Times New Roman" w:cs="Times New Roman"/>
          <w:sz w:val="24"/>
          <w:szCs w:val="24"/>
        </w:rPr>
        <w:t xml:space="preserve">A seleção da área doadora é guiada pelo volume ósseo desejado, disponível e pela qualidade óssea da região a ser reconstruída. Os enxertos autógenos continuam sendo </w:t>
      </w:r>
      <w:r w:rsidR="008F7BF1">
        <w:rPr>
          <w:rFonts w:ascii="Times New Roman" w:eastAsia="Times New Roman" w:hAnsi="Times New Roman" w:cs="Times New Roman"/>
          <w:sz w:val="24"/>
          <w:szCs w:val="24"/>
        </w:rPr>
        <w:t>o “padrão-ouro”</w:t>
      </w:r>
      <w:r w:rsidR="008F7BF1" w:rsidRPr="008F7BF1">
        <w:rPr>
          <w:rFonts w:ascii="Times New Roman" w:eastAsia="Times New Roman" w:hAnsi="Times New Roman" w:cs="Times New Roman"/>
          <w:sz w:val="24"/>
          <w:szCs w:val="24"/>
        </w:rPr>
        <w:t xml:space="preserve">, especialmente os provenientes de áreas intraorais, devido </w:t>
      </w:r>
      <w:r w:rsidR="008F7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F7BF1" w:rsidRPr="008F7BF1">
        <w:rPr>
          <w:rFonts w:ascii="Times New Roman" w:eastAsia="Times New Roman" w:hAnsi="Times New Roman" w:cs="Times New Roman"/>
          <w:sz w:val="24"/>
          <w:szCs w:val="24"/>
        </w:rPr>
        <w:t>menor morbidade</w:t>
      </w:r>
      <w:r w:rsidR="008F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BF1" w:rsidRPr="008F7BF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F7B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7BF1" w:rsidRPr="008F7BF1">
        <w:rPr>
          <w:rFonts w:ascii="Times New Roman" w:eastAsia="Times New Roman" w:hAnsi="Times New Roman" w:cs="Times New Roman"/>
          <w:sz w:val="24"/>
          <w:szCs w:val="24"/>
        </w:rPr>
        <w:t xml:space="preserve"> biocompatibilidade, promovendo osteogênese, </w:t>
      </w:r>
      <w:r w:rsidR="008F7BF1" w:rsidRPr="008F7BF1">
        <w:rPr>
          <w:rFonts w:ascii="Times New Roman" w:eastAsia="Times New Roman" w:hAnsi="Times New Roman" w:cs="Times New Roman"/>
          <w:sz w:val="24"/>
          <w:szCs w:val="24"/>
        </w:rPr>
        <w:lastRenderedPageBreak/>
        <w:t>osteocondução e osteoindução.</w:t>
      </w:r>
      <w:r w:rsidR="008F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BF1">
        <w:rPr>
          <w:rFonts w:ascii="Times New Roman" w:hAnsi="Times New Roman" w:cs="Times New Roman"/>
          <w:sz w:val="24"/>
          <w:szCs w:val="30"/>
          <w:shd w:val="clear" w:color="auto" w:fill="FFFFFF"/>
        </w:rPr>
        <w:t>Com a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finalidade </w:t>
      </w:r>
      <w:r w:rsidR="008F7BF1">
        <w:rPr>
          <w:rFonts w:ascii="Times New Roman" w:hAnsi="Times New Roman" w:cs="Times New Roman"/>
          <w:sz w:val="24"/>
          <w:szCs w:val="30"/>
          <w:shd w:val="clear" w:color="auto" w:fill="FFFFFF"/>
        </w:rPr>
        <w:t>de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melhorar a </w:t>
      </w:r>
      <w:r w:rsid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fixação do implante 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>e a osseointegração</w:t>
      </w:r>
      <w:r w:rsidR="008F7BF1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, 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>o planejamento e execução de uma técnica de inserção do</w:t>
      </w:r>
      <w:r w:rsidR="009D3C3C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>implante adequada deve</w:t>
      </w:r>
      <w:r w:rsidR="009D3C3C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considerar alguns parâmetros: disponibilidade de volume ósseo, condição oclusal e periodontal, </w:t>
      </w:r>
      <w:r w:rsidR="008F7BF1">
        <w:rPr>
          <w:rFonts w:ascii="Times New Roman" w:hAnsi="Times New Roman" w:cs="Times New Roman"/>
          <w:sz w:val="24"/>
          <w:szCs w:val="30"/>
          <w:shd w:val="clear" w:color="auto" w:fill="FFFFFF"/>
        </w:rPr>
        <w:t>assim como a</w:t>
      </w:r>
      <w:r w:rsidR="00CF21EA" w:rsidRP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rel</w:t>
      </w:r>
      <w:r w:rsidR="00CF21EA">
        <w:rPr>
          <w:rFonts w:ascii="Times New Roman" w:hAnsi="Times New Roman" w:cs="Times New Roman"/>
          <w:sz w:val="24"/>
          <w:szCs w:val="30"/>
          <w:shd w:val="clear" w:color="auto" w:fill="FFFFFF"/>
        </w:rPr>
        <w:t>ação de homeostase de saúde bucal.</w:t>
      </w:r>
      <w:r w:rsidR="00CF21EA" w:rsidRPr="00CF21EA">
        <w:rPr>
          <w:sz w:val="30"/>
          <w:szCs w:val="30"/>
        </w:rPr>
        <w:t xml:space="preserve"> </w:t>
      </w:r>
      <w:r w:rsidR="00894F4F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5A54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541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s enxertos ósseos autógenos </w:t>
      </w:r>
      <w:r w:rsid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são </w:t>
      </w:r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o padrão-ouro para a reconstrução </w:t>
      </w:r>
      <w:proofErr w:type="spellStart"/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>peri-implantar</w:t>
      </w:r>
      <w:proofErr w:type="spellEnd"/>
      <w:r w:rsidR="005A541D">
        <w:rPr>
          <w:rFonts w:ascii="Times New Roman" w:eastAsia="Times New Roman" w:hAnsi="Times New Roman" w:cs="Times New Roman"/>
          <w:bCs/>
          <w:sz w:val="24"/>
          <w:szCs w:val="24"/>
        </w:rPr>
        <w:t xml:space="preserve"> por o</w:t>
      </w:r>
      <w:r w:rsidR="005A541D" w:rsidRPr="005A541D">
        <w:rPr>
          <w:rFonts w:ascii="Times New Roman" w:eastAsia="Times New Roman" w:hAnsi="Times New Roman" w:cs="Times New Roman"/>
          <w:bCs/>
          <w:sz w:val="24"/>
          <w:szCs w:val="24"/>
        </w:rPr>
        <w:t>ferecem biocompatibilidade e promovem osteogênese, osteocondução e osteoindução, fundamentais para a osseointegração dos implantes. Considerações meticulosas sobre a disponibilidade de osso, condições oclusais e periodontais são essenciais para o sucesso dos procedimentos.</w:t>
      </w:r>
    </w:p>
    <w:p w14:paraId="78FA58A8" w14:textId="77777777" w:rsidR="001F3A2D" w:rsidRPr="005A541D" w:rsidRDefault="001F3A2D" w:rsidP="008F7BF1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281247" w14:textId="2076BC2E" w:rsidR="001F3A2D" w:rsidRDefault="00894F4F" w:rsidP="007848EA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273C75">
        <w:rPr>
          <w:rFonts w:ascii="Times New Roman" w:eastAsia="Times New Roman" w:hAnsi="Times New Roman" w:cs="Times New Roman"/>
          <w:bCs/>
          <w:sz w:val="24"/>
          <w:szCs w:val="24"/>
        </w:rPr>
        <w:t>Implantes artificiais. Enxerto de osso alveolar. Periodontia</w:t>
      </w:r>
    </w:p>
    <w:p w14:paraId="17520131" w14:textId="433AE198" w:rsidR="001F3A2D" w:rsidRDefault="00894F4F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BF1">
        <w:rPr>
          <w:rFonts w:ascii="Times New Roman" w:eastAsia="Times New Roman" w:hAnsi="Times New Roman" w:cs="Times New Roman"/>
          <w:sz w:val="24"/>
          <w:szCs w:val="24"/>
        </w:rPr>
        <w:t>Periodontia.</w:t>
      </w:r>
    </w:p>
    <w:p w14:paraId="27A10054" w14:textId="77777777" w:rsidR="00894F4F" w:rsidRDefault="00894F4F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60C7D" w14:textId="34BEA659" w:rsidR="00301A75" w:rsidRDefault="00301A75" w:rsidP="00301A75">
      <w:pPr>
        <w:spacing w:before="20" w:line="360" w:lineRule="auto"/>
        <w:ind w:right="640"/>
        <w:jc w:val="both"/>
        <w:rPr>
          <w:sz w:val="30"/>
          <w:szCs w:val="30"/>
          <w:shd w:val="clear" w:color="auto" w:fill="FFFFFF"/>
        </w:rPr>
      </w:pPr>
    </w:p>
    <w:p w14:paraId="2939D514" w14:textId="77777777" w:rsidR="00301A75" w:rsidRPr="0030504D" w:rsidRDefault="00301A75" w:rsidP="00301A75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01A75" w:rsidRPr="0030504D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65EF" w14:textId="77777777" w:rsidR="000F06A4" w:rsidRDefault="000F06A4">
      <w:pPr>
        <w:spacing w:line="240" w:lineRule="auto"/>
      </w:pPr>
      <w:r>
        <w:separator/>
      </w:r>
    </w:p>
  </w:endnote>
  <w:endnote w:type="continuationSeparator" w:id="0">
    <w:p w14:paraId="1E781C30" w14:textId="77777777" w:rsidR="000F06A4" w:rsidRDefault="000F0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A559" w14:textId="77777777" w:rsidR="00894F4F" w:rsidRDefault="00894F4F">
    <w:r>
      <w:rPr>
        <w:noProof/>
      </w:rPr>
      <w:drawing>
        <wp:anchor distT="0" distB="0" distL="114300" distR="114300" simplePos="0" relativeHeight="251659264" behindDoc="0" locked="0" layoutInCell="1" hidden="0" allowOverlap="1" wp14:anchorId="1EB53C20" wp14:editId="29D056A4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F06E" w14:textId="77777777" w:rsidR="000F06A4" w:rsidRDefault="000F06A4">
      <w:pPr>
        <w:spacing w:line="240" w:lineRule="auto"/>
      </w:pPr>
      <w:r>
        <w:separator/>
      </w:r>
    </w:p>
  </w:footnote>
  <w:footnote w:type="continuationSeparator" w:id="0">
    <w:p w14:paraId="48B6D922" w14:textId="77777777" w:rsidR="000F06A4" w:rsidRDefault="000F0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93FB" w14:textId="77777777" w:rsidR="00894F4F" w:rsidRDefault="00894F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50A87E" wp14:editId="365CBC6C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882"/>
    <w:multiLevelType w:val="hybridMultilevel"/>
    <w:tmpl w:val="925C67B2"/>
    <w:lvl w:ilvl="0" w:tplc="95A8C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3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D"/>
    <w:rsid w:val="00001F23"/>
    <w:rsid w:val="00067629"/>
    <w:rsid w:val="000C1354"/>
    <w:rsid w:val="000F06A4"/>
    <w:rsid w:val="001F3A2D"/>
    <w:rsid w:val="002347F6"/>
    <w:rsid w:val="00264D8D"/>
    <w:rsid w:val="00273C75"/>
    <w:rsid w:val="00301A75"/>
    <w:rsid w:val="0030504D"/>
    <w:rsid w:val="005A541D"/>
    <w:rsid w:val="006A0D83"/>
    <w:rsid w:val="00760DED"/>
    <w:rsid w:val="007848EA"/>
    <w:rsid w:val="007C3C78"/>
    <w:rsid w:val="00850BE4"/>
    <w:rsid w:val="008871C6"/>
    <w:rsid w:val="00894F4F"/>
    <w:rsid w:val="008A4874"/>
    <w:rsid w:val="008F7BF1"/>
    <w:rsid w:val="009D3C3C"/>
    <w:rsid w:val="009F7D56"/>
    <w:rsid w:val="00A11AC8"/>
    <w:rsid w:val="00A51DBD"/>
    <w:rsid w:val="00AB2478"/>
    <w:rsid w:val="00CA7335"/>
    <w:rsid w:val="00CF21EA"/>
    <w:rsid w:val="00E70FEB"/>
    <w:rsid w:val="00E80478"/>
    <w:rsid w:val="00F14A21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6973"/>
  <w15:docId w15:val="{3AECED13-B34B-4060-9968-16ABDE3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94F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4F4F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CF21EA"/>
  </w:style>
  <w:style w:type="character" w:customStyle="1" w:styleId="TtuloChar">
    <w:name w:val="Título Char"/>
    <w:basedOn w:val="Fontepargpadro"/>
    <w:link w:val="Ttulo"/>
    <w:uiPriority w:val="10"/>
    <w:rsid w:val="009D3C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2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0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Trindade</dc:creator>
  <cp:lastModifiedBy>Luiz Eduardo</cp:lastModifiedBy>
  <cp:revision>7</cp:revision>
  <cp:lastPrinted>2024-04-12T15:04:00Z</cp:lastPrinted>
  <dcterms:created xsi:type="dcterms:W3CDTF">2024-04-16T17:40:00Z</dcterms:created>
  <dcterms:modified xsi:type="dcterms:W3CDTF">2024-04-17T16:26:00Z</dcterms:modified>
</cp:coreProperties>
</file>