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443C438A" w:rsidR="004B1236" w:rsidRDefault="00EC08EA" w:rsidP="0045593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Neoplasia maligna de cólon</w:t>
      </w:r>
      <w:r w:rsidR="00D57C9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no Brasil: uma abordagem epidemiológica</w:t>
      </w:r>
    </w:p>
    <w:p w14:paraId="7A4F5700" w14:textId="77777777" w:rsidR="00843283" w:rsidRDefault="008432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695432AC" w:rsidR="004B1236" w:rsidRDefault="00E84CE6" w:rsidP="0045593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Christyan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Polizeli de Souza</w:t>
      </w:r>
      <w:r w:rsidR="00EC08EA">
        <w:rPr>
          <w:rFonts w:ascii="Times New Roman" w:eastAsia="Times New Roman" w:hAnsi="Times New Roman" w:cs="Times New Roman"/>
          <w:sz w:val="24"/>
          <w:szCs w:val="24"/>
        </w:rPr>
        <w:t xml:space="preserve">¹*; </w:t>
      </w:r>
      <w:r>
        <w:rPr>
          <w:rFonts w:ascii="Times New Roman" w:eastAsia="Times New Roman" w:hAnsi="Times New Roman" w:cs="Times New Roman"/>
          <w:sz w:val="24"/>
          <w:szCs w:val="24"/>
        </w:rPr>
        <w:t>Isabel Cristina Borges de Menezes</w:t>
      </w:r>
      <w:r w:rsidR="00EC08EA">
        <w:rPr>
          <w:rFonts w:ascii="Times New Roman" w:eastAsia="Times New Roman" w:hAnsi="Times New Roman" w:cs="Times New Roman"/>
          <w:sz w:val="24"/>
          <w:szCs w:val="24"/>
        </w:rPr>
        <w:t xml:space="preserve">¹; Joaquim Ferreira Fernandes¹; </w:t>
      </w:r>
      <w:proofErr w:type="spellStart"/>
      <w:r w:rsidR="00EC08EA">
        <w:rPr>
          <w:rFonts w:ascii="Times New Roman" w:eastAsia="Times New Roman" w:hAnsi="Times New Roman" w:cs="Times New Roman"/>
          <w:sz w:val="24"/>
          <w:szCs w:val="24"/>
        </w:rPr>
        <w:t>Mercielle</w:t>
      </w:r>
      <w:proofErr w:type="spellEnd"/>
      <w:r w:rsidR="00EC08EA">
        <w:rPr>
          <w:rFonts w:ascii="Times New Roman" w:eastAsia="Times New Roman" w:hAnsi="Times New Roman" w:cs="Times New Roman"/>
          <w:sz w:val="24"/>
          <w:szCs w:val="24"/>
        </w:rPr>
        <w:t xml:space="preserve"> Ferreira Silva Martinelle¹; Raquel Rios de Castro Pontes¹; Antonio Márcio Teodoro Cordeiro Silva²</w:t>
      </w:r>
    </w:p>
    <w:p w14:paraId="00000004" w14:textId="7C7E515B" w:rsidR="004B1236" w:rsidRDefault="00EC08EA" w:rsidP="00455938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¹Pontifícia Universidade Católica de Goiás. Escola de Ciências Médicas, Farmacêuticas e Biomédicas, Curso de Medicina – Goiânia – GO</w:t>
      </w:r>
    </w:p>
    <w:p w14:paraId="58D0E1FF" w14:textId="77777777" w:rsidR="00843283" w:rsidRPr="00FB74A9" w:rsidRDefault="00843283" w:rsidP="0045593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4A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²</w:t>
      </w:r>
      <w:r w:rsidRPr="00FB74A9"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de Rio Verde, campus Aparecida de Goiânia. Curso de Medicina – Aparecida de Goiânia - GO</w:t>
      </w:r>
    </w:p>
    <w:p w14:paraId="00000005" w14:textId="078DB600" w:rsidR="004B1236" w:rsidRDefault="00EC08EA" w:rsidP="00455938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*Autor correspondente:</w:t>
      </w:r>
      <w:r w:rsidR="00843283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</w:t>
      </w:r>
      <w:r w:rsidR="00843283"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</w:rPr>
        <w:t>Christyanpolizeli19@gmail.com</w:t>
      </w:r>
    </w:p>
    <w:p w14:paraId="00000006" w14:textId="77777777" w:rsidR="004B1236" w:rsidRDefault="004B1236" w:rsidP="005973C4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</w:p>
    <w:p w14:paraId="00000007" w14:textId="05926B1E" w:rsidR="004B1236" w:rsidRDefault="00EC08EA" w:rsidP="00E84CE6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highlight w:val="white"/>
        </w:rPr>
        <w:t xml:space="preserve">Introdução: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Atualmente, mesmo diante de grandes avanços na oncologia clínica, o câncer de cólon ainda é uma das principais causas de mortes</w:t>
      </w:r>
      <w:r w:rsidR="00D57C93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no mundo, uma vez que suas células permanecem resistentes a vários </w:t>
      </w:r>
      <w:r w:rsidR="002D5ECB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agentes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citotóxicos (1)</w:t>
      </w:r>
      <w:r w:rsidR="002D5ECB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</w:t>
      </w:r>
      <w:r w:rsidR="002D5ECB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A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incidência dessa neoplasia vem aumentando em vários países, como o Brasil, principalmente</w:t>
      </w:r>
      <w:r w:rsidR="002D5ECB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devido </w:t>
      </w:r>
      <w:r w:rsidR="002D5ECB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dieta e </w:t>
      </w:r>
      <w:r w:rsidR="002D5ECB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a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o estilo de vida ocidentais, sendo que</w:t>
      </w:r>
      <w:r w:rsidR="002D5ECB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a idade, a </w:t>
      </w:r>
      <w:r w:rsidR="002D5ECB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etnia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e o sexo</w:t>
      </w:r>
      <w:r w:rsidR="008930F5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também</w:t>
      </w:r>
      <w:r w:rsidR="008930F5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são fatores que influenciam na incidência da doença (2). O uso de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biomarcadores</w:t>
      </w:r>
      <w:r w:rsidR="00247FC6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r w:rsidR="00247FC6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C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omo</w:t>
      </w:r>
      <w:r w:rsidR="00247FC6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mutação</w:t>
      </w:r>
      <w:r w:rsidR="00247FC6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em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r w:rsidRPr="008930F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highlight w:val="white"/>
        </w:rPr>
        <w:t>KRAS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, </w:t>
      </w:r>
      <w:r w:rsidRPr="00247FC6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highlight w:val="white"/>
        </w:rPr>
        <w:t>NRAS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, </w:t>
      </w:r>
      <w:r w:rsidRPr="00247FC6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highlight w:val="white"/>
        </w:rPr>
        <w:t>BRAF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e o estado de instabilidade de microssatélites associados ao diagnóstico precoce</w:t>
      </w:r>
      <w:r w:rsidR="003337D7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configura-se como avanços essenciais para o direcionamento de tratamentos adequados e, consequenteme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nte, redução da mortalidade (3).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highlight w:val="white"/>
        </w:rPr>
        <w:t xml:space="preserve">Objetivos: </w:t>
      </w:r>
      <w:r w:rsidR="00E202B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Determinar o perfil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epidemiol</w:t>
      </w:r>
      <w:r w:rsidR="009D43DA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ó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gi</w:t>
      </w:r>
      <w:r w:rsidR="009D43DA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co de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</w:t>
      </w:r>
      <w:r w:rsidR="009D43DA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internações e mortalidade, por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câncer de cólon</w:t>
      </w:r>
      <w:r w:rsidR="009D43DA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no Brasil.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highlight w:val="white"/>
        </w:rPr>
        <w:t xml:space="preserve"> Métodos: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Trata-se de estudo </w:t>
      </w:r>
      <w:r w:rsidR="00AD7010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epidemiológico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, </w:t>
      </w:r>
      <w:r w:rsidR="00AD7010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com dados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do Sistema de Informações Hospitalares do SUS (SIH-SUS). Foi analisado o número de internações e a taxa de mortalidade</w:t>
      </w:r>
      <w:r w:rsidR="007B6311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por neoplasia maligna de cólon, no Brasil, de 2008 a 2019; com delimitação de sexo, faixa etária e </w:t>
      </w:r>
      <w:r w:rsidR="007B6311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etnia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highlight w:val="white"/>
        </w:rPr>
        <w:t xml:space="preserve">Resultados: </w:t>
      </w:r>
      <w:r w:rsidR="00473918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No período avaliado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, foram notificados 443.161 casos de câncer de cólon</w:t>
      </w:r>
      <w:r w:rsidR="00473918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no Brasil, sendo que estes aumentaram</w:t>
      </w:r>
      <w:r w:rsidR="00473918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gradativamente, em média, 3.225 casos por ano. </w:t>
      </w:r>
      <w:r w:rsidR="00473918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Em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2008</w:t>
      </w:r>
      <w:r w:rsidR="00473918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foram notificados 22.419 casos e</w:t>
      </w:r>
      <w:r w:rsidR="00473918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em 2019, 48.923 casos. A região mais acometida foi a Sudeste (43,</w:t>
      </w:r>
      <w:r w:rsidR="00473918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4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%), seguida </w:t>
      </w:r>
      <w:r w:rsidR="00473918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das regiões: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Sul (31,</w:t>
      </w:r>
      <w:r w:rsidR="00473918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9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%), Nordeste (12,</w:t>
      </w:r>
      <w:r w:rsidR="00473918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6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%), </w:t>
      </w:r>
      <w:r w:rsidRPr="00EC0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Centro Oeste (6,6%) e Norte (2,5%). Não houve diferença </w:t>
      </w:r>
      <w:r w:rsidR="00473918" w:rsidRPr="00EC0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importante </w:t>
      </w:r>
      <w:r w:rsidRPr="00EC0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entre </w:t>
      </w:r>
      <w:r w:rsidR="00473918" w:rsidRPr="00EC0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o </w:t>
      </w:r>
      <w:r w:rsidRPr="00EC0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sexo feminino (50,2%) e </w:t>
      </w:r>
      <w:r w:rsidR="00200B2E" w:rsidRPr="00EC0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o </w:t>
      </w:r>
      <w:r w:rsidRPr="00EC0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masculino (49,</w:t>
      </w:r>
      <w:r w:rsidR="00200B2E" w:rsidRPr="00EC0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8</w:t>
      </w:r>
      <w:r w:rsidRPr="00EC0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%). Em relação à </w:t>
      </w:r>
      <w:r w:rsidR="00200B2E" w:rsidRPr="00EC0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etnia</w:t>
      </w:r>
      <w:r w:rsidRPr="00EC0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 verificou-se predom</w:t>
      </w:r>
      <w:r w:rsidR="00200B2E" w:rsidRPr="00EC0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ínio da etnia </w:t>
      </w:r>
      <w:r w:rsidRPr="00EC0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branca (54,1%), seguida da parda (25,4%), preta (3,3%), amarela (0,9%) e indígena (0,04%), sendo 16,1% ignoradas. Verificou-se </w:t>
      </w:r>
      <w:r w:rsidR="00284CF7" w:rsidRPr="00EC0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maior número de</w:t>
      </w:r>
      <w:r w:rsidRPr="00EC0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casos na idade de 60</w:t>
      </w:r>
      <w:r w:rsidR="00284CF7" w:rsidRPr="00EC0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a </w:t>
      </w:r>
      <w:r w:rsidRPr="00EC0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69 anos (26,6%)</w:t>
      </w:r>
      <w:r w:rsidR="00807188" w:rsidRPr="00EC0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seguida </w:t>
      </w:r>
      <w:r w:rsidR="00D20C60" w:rsidRPr="00EC0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da faixa etária de</w:t>
      </w:r>
      <w:r w:rsidRPr="00EC0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50</w:t>
      </w:r>
      <w:r w:rsidR="00284CF7" w:rsidRPr="00EC0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a </w:t>
      </w:r>
      <w:r w:rsidRPr="00EC0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59 anos (23,4%). A taxa de mortalidade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 por 100.000 habitantes,</w:t>
      </w:r>
      <w:r w:rsidRPr="00EC0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foi maior no Sudeste (10,06) e menor no Sul (6,02), com predomínio na idade maior de 80 anos (21,38), seguida de 70-79 anos (11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,78), menor que 1 ano (8,60) e 60-69 anos (8,25).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highlight w:val="white"/>
        </w:rPr>
        <w:t xml:space="preserve">Conclusão: </w:t>
      </w:r>
      <w:r w:rsidR="0065083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F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oi possível evidenciar que a prevalência da neoplasia maligna de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lastRenderedPageBreak/>
        <w:t>cólon</w:t>
      </w:r>
      <w:r w:rsidR="0065083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no Brasil</w:t>
      </w:r>
      <w:r w:rsidR="0065083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aumenta com a idade, mas diminui após os 80 anos, sendo o pico entre os 50</w:t>
      </w:r>
      <w:r w:rsidR="0065083C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a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69 anos. Além disso, ocorre</w:t>
      </w:r>
      <w:r w:rsidR="005E616F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u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mais </w:t>
      </w:r>
      <w:r w:rsidR="005E616F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nas etnias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branca e parda, na região Sul e Sudeste, sem predileção por sexo. O tratamento precoce</w:t>
      </w:r>
      <w:r w:rsidR="005E616F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pelo diagnóstico</w:t>
      </w:r>
      <w:r w:rsidR="005E616F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com uso de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biomarcadores</w:t>
      </w:r>
      <w:r w:rsidR="005E616F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como</w:t>
      </w:r>
      <w:r w:rsidR="005D0CF3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r w:rsidR="005E616F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mutações em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r w:rsidRPr="005E616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highlight w:val="white"/>
        </w:rPr>
        <w:t>KRAS</w:t>
      </w:r>
      <w:r w:rsidR="005E616F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r w:rsidRPr="005E616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highlight w:val="white"/>
        </w:rPr>
        <w:t>NRAS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r w:rsidR="005E616F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r w:rsidRPr="005E616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highlight w:val="white"/>
        </w:rPr>
        <w:t>BRAF</w:t>
      </w:r>
      <w:r w:rsidR="005E616F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e com o estado de instabilidade de microssatélites, pode estar relacionado com a menor taxa de mortalidade</w:t>
      </w:r>
      <w:r w:rsidR="005D0CF3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no </w:t>
      </w:r>
      <w:r w:rsidR="005D0CF3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S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ul, mesmo sendo a região com a segunda maior incidência da doença.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Com isso, retrata-se </w:t>
      </w:r>
      <w:r w:rsidR="00243D6E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situação apresentada, aspecto facilitador do desenvolvimento de medidas direcionadas ao diagnóstico precoce</w:t>
      </w:r>
      <w:r w:rsidR="005D0CF3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, por meio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da caracterização de fatores de risco. Sugere-se, além disso, outros estudos para compreensão das diferentes taxas de mortalidade e fatores relacionados.</w:t>
      </w:r>
    </w:p>
    <w:p w14:paraId="00000008" w14:textId="0CE7C520" w:rsidR="004B1236" w:rsidRDefault="00EC08EA" w:rsidP="00E84CE6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highlight w:val="white"/>
        </w:rPr>
        <w:t xml:space="preserve">Palavras-chave: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Neoplasia; Cólon; Epidemiol</w:t>
      </w:r>
      <w:r w:rsidR="00BA1E33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ogia.</w:t>
      </w:r>
    </w:p>
    <w:p w14:paraId="00000009" w14:textId="77777777" w:rsidR="004B1236" w:rsidRDefault="00EC08EA">
      <w:pPr>
        <w:spacing w:before="24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highlight w:val="white"/>
        </w:rPr>
        <w:t xml:space="preserve">REFERÊNCIAS: </w:t>
      </w:r>
    </w:p>
    <w:p w14:paraId="0000000A" w14:textId="77777777" w:rsidR="004B1236" w:rsidRDefault="00EC08EA" w:rsidP="00E84CE6">
      <w:pPr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7EE9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Hatano</w:t>
      </w:r>
      <w:proofErr w:type="spellEnd"/>
      <w:r w:rsidRPr="001A7EE9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Y, Fukuda S, </w:t>
      </w:r>
      <w:proofErr w:type="spellStart"/>
      <w:r w:rsidRPr="001A7EE9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Hisamatsu</w:t>
      </w:r>
      <w:proofErr w:type="spellEnd"/>
      <w:r w:rsidRPr="001A7EE9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K, Hirata A, Hara A. Multifaceted Interpretation of Colon Cancer Stem Cells.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2017;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B" w14:textId="77777777" w:rsidR="004B1236" w:rsidRDefault="00EC08EA" w:rsidP="00E84CE6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I AGDO, I MPC, Iii AK, Carlos J, Iv DO, Rodrigues D. Incidence and mortality from colon and rectal cancer in Midwestern Brazil.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2016;19(201010267000398):779–90. </w:t>
      </w:r>
    </w:p>
    <w:p w14:paraId="0000000C" w14:textId="77777777" w:rsidR="004B1236" w:rsidRDefault="00EC08EA" w:rsidP="00E84CE6">
      <w:pPr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Ciências D, Paulo S. A LEXANDRA K HICHFY A LEX A influência da instabilidade de microssatélites e outros biomarcadores nos desfechos clínicos de pacientes com câncer colorretal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metastático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um estudo caso-controle Tese apresentada à Faculdade de versão original está disponível na Biblioteca da FMUSP ). 2016; </w:t>
      </w:r>
    </w:p>
    <w:p w14:paraId="0000000D" w14:textId="77777777" w:rsidR="004B1236" w:rsidRDefault="004B1236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highlight w:val="white"/>
        </w:rPr>
      </w:pPr>
    </w:p>
    <w:sectPr w:rsidR="004B1236" w:rsidSect="00E84CE6">
      <w:pgSz w:w="11909" w:h="16834"/>
      <w:pgMar w:top="1701" w:right="1418" w:bottom="1418" w:left="1701" w:header="709" w:footer="141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2F1E8" w14:textId="77777777" w:rsidR="00D7310E" w:rsidRDefault="00D7310E">
      <w:pPr>
        <w:spacing w:line="240" w:lineRule="auto"/>
      </w:pPr>
      <w:r>
        <w:separator/>
      </w:r>
    </w:p>
  </w:endnote>
  <w:endnote w:type="continuationSeparator" w:id="0">
    <w:p w14:paraId="7B0FC721" w14:textId="77777777" w:rsidR="00D7310E" w:rsidRDefault="00D731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E16A0" w14:textId="77777777" w:rsidR="00D7310E" w:rsidRDefault="00D7310E">
      <w:pPr>
        <w:spacing w:line="240" w:lineRule="auto"/>
      </w:pPr>
      <w:r>
        <w:separator/>
      </w:r>
    </w:p>
  </w:footnote>
  <w:footnote w:type="continuationSeparator" w:id="0">
    <w:p w14:paraId="6C9B6712" w14:textId="77777777" w:rsidR="00D7310E" w:rsidRDefault="00D731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C7AF8"/>
    <w:multiLevelType w:val="multilevel"/>
    <w:tmpl w:val="901AB5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236"/>
    <w:rsid w:val="001A7EE9"/>
    <w:rsid w:val="00200B2E"/>
    <w:rsid w:val="00243D6E"/>
    <w:rsid w:val="00247FC6"/>
    <w:rsid w:val="00284CF7"/>
    <w:rsid w:val="002D5ECB"/>
    <w:rsid w:val="003337D7"/>
    <w:rsid w:val="00401954"/>
    <w:rsid w:val="00455938"/>
    <w:rsid w:val="00473918"/>
    <w:rsid w:val="004B1236"/>
    <w:rsid w:val="005973C4"/>
    <w:rsid w:val="005D0CF3"/>
    <w:rsid w:val="005E616F"/>
    <w:rsid w:val="0065083C"/>
    <w:rsid w:val="006654C1"/>
    <w:rsid w:val="006978BB"/>
    <w:rsid w:val="007B6311"/>
    <w:rsid w:val="00807188"/>
    <w:rsid w:val="00843283"/>
    <w:rsid w:val="008720B8"/>
    <w:rsid w:val="008930F5"/>
    <w:rsid w:val="009D43DA"/>
    <w:rsid w:val="00AD7010"/>
    <w:rsid w:val="00BA1E33"/>
    <w:rsid w:val="00D20C60"/>
    <w:rsid w:val="00D57C93"/>
    <w:rsid w:val="00D7310E"/>
    <w:rsid w:val="00E202BC"/>
    <w:rsid w:val="00E84CE6"/>
    <w:rsid w:val="00EC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AD6F8"/>
  <w15:docId w15:val="{15AB8A57-32AC-4413-90B3-AC1B692B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45593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5938"/>
  </w:style>
  <w:style w:type="paragraph" w:styleId="Rodap">
    <w:name w:val="footer"/>
    <w:basedOn w:val="Normal"/>
    <w:link w:val="RodapChar"/>
    <w:uiPriority w:val="99"/>
    <w:unhideWhenUsed/>
    <w:rsid w:val="0045593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04EFF-E274-41B2-A940-4656F90A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Marcio Teodoro Cordeiro Silva</dc:creator>
  <cp:lastModifiedBy>Alessandra Polizeli Polizeli</cp:lastModifiedBy>
  <cp:revision>2</cp:revision>
  <dcterms:created xsi:type="dcterms:W3CDTF">2020-09-17T01:25:00Z</dcterms:created>
  <dcterms:modified xsi:type="dcterms:W3CDTF">2020-09-17T01:25:00Z</dcterms:modified>
</cp:coreProperties>
</file>