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246697302"/>
        <w:docPartObj>
          <w:docPartGallery w:val="Cover Pages"/>
          <w:docPartUnique/>
        </w:docPartObj>
      </w:sdtPr>
      <w:sdtContent>
        <w:p w14:paraId="376EA4EB" w14:textId="1A2244EB" w:rsidR="0053021A" w:rsidRDefault="0053021A">
          <w:r>
            <w:rPr>
              <w:noProof/>
            </w:rPr>
            <w:drawing>
              <wp:anchor distT="0" distB="0" distL="114300" distR="114300" simplePos="0" relativeHeight="251663360" behindDoc="1" locked="0" layoutInCell="1" allowOverlap="1" wp14:anchorId="59C5C9E1" wp14:editId="48CC6E7F">
                <wp:simplePos x="0" y="0"/>
                <wp:positionH relativeFrom="column">
                  <wp:posOffset>-1090736</wp:posOffset>
                </wp:positionH>
                <wp:positionV relativeFrom="paragraph">
                  <wp:posOffset>-923925</wp:posOffset>
                </wp:positionV>
                <wp:extent cx="7578284" cy="10711543"/>
                <wp:effectExtent l="0" t="0" r="3810" b="0"/>
                <wp:wrapNone/>
                <wp:docPr id="648995263" name="Imagem 1" descr="Texto, Cart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450805" name="Imagem 1" descr="Texto, Carta&#10;&#10;O conteúdo gerado por IA pode estar incorreto."/>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78284" cy="10711543"/>
                        </a:xfrm>
                        <a:prstGeom prst="rect">
                          <a:avLst/>
                        </a:prstGeom>
                      </pic:spPr>
                    </pic:pic>
                  </a:graphicData>
                </a:graphic>
                <wp14:sizeRelH relativeFrom="page">
                  <wp14:pctWidth>0</wp14:pctWidth>
                </wp14:sizeRelH>
                <wp14:sizeRelV relativeFrom="page">
                  <wp14:pctHeight>0</wp14:pctHeight>
                </wp14:sizeRelV>
              </wp:anchor>
            </w:drawing>
          </w:r>
        </w:p>
        <w:p w14:paraId="75A314E5" w14:textId="2F44A8BA" w:rsidR="0027518C" w:rsidRDefault="00522A40">
          <w:r>
            <w:rPr>
              <w:noProof/>
            </w:rPr>
            <mc:AlternateContent>
              <mc:Choice Requires="wps">
                <w:drawing>
                  <wp:anchor distT="0" distB="0" distL="114300" distR="114300" simplePos="0" relativeHeight="251664384" behindDoc="0" locked="0" layoutInCell="1" allowOverlap="1" wp14:anchorId="5E65D060" wp14:editId="67504117">
                    <wp:simplePos x="0" y="0"/>
                    <wp:positionH relativeFrom="column">
                      <wp:posOffset>1335405</wp:posOffset>
                    </wp:positionH>
                    <wp:positionV relativeFrom="paragraph">
                      <wp:posOffset>6847840</wp:posOffset>
                    </wp:positionV>
                    <wp:extent cx="3694430" cy="1478280"/>
                    <wp:effectExtent l="0" t="0" r="0" b="7620"/>
                    <wp:wrapNone/>
                    <wp:docPr id="10815487" name="Caixa de Texto 2"/>
                    <wp:cNvGraphicFramePr/>
                    <a:graphic xmlns:a="http://schemas.openxmlformats.org/drawingml/2006/main">
                      <a:graphicData uri="http://schemas.microsoft.com/office/word/2010/wordprocessingShape">
                        <wps:wsp>
                          <wps:cNvSpPr txBox="1"/>
                          <wps:spPr>
                            <a:xfrm>
                              <a:off x="0" y="0"/>
                              <a:ext cx="3694430" cy="1478280"/>
                            </a:xfrm>
                            <a:prstGeom prst="rect">
                              <a:avLst/>
                            </a:prstGeom>
                            <a:noFill/>
                            <a:ln w="6350">
                              <a:noFill/>
                            </a:ln>
                          </wps:spPr>
                          <wps:txbx>
                            <w:txbxContent>
                              <w:p w14:paraId="638EDCFA" w14:textId="36A906FE" w:rsidR="0053021A" w:rsidRPr="00733AFB" w:rsidRDefault="00522A40" w:rsidP="00522A40">
                                <w:pPr>
                                  <w:rPr>
                                    <w:rFonts w:ascii="Antonio" w:hAnsi="Antonio"/>
                                    <w:color w:val="1A9B3C"/>
                                    <w:sz w:val="36"/>
                                    <w:szCs w:val="36"/>
                                  </w:rPr>
                                </w:pPr>
                                <w:r w:rsidRPr="00522A40">
                                  <w:rPr>
                                    <w:rFonts w:ascii="Antonio" w:hAnsi="Antonio"/>
                                    <w:color w:val="1A9B3C"/>
                                    <w:sz w:val="36"/>
                                    <w:szCs w:val="36"/>
                                  </w:rPr>
                                  <w:t>RESISTÊNCIAS INDÍGENAS, QUILOMBOLAS E DE POVOS E COMUNIDADE TRADICIONAIS: LUTAS PELA TERRA, ECOLOGIA E CRIATIVIDADE POLÍTICA.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65D060" id="_x0000_t202" coordsize="21600,21600" o:spt="202" path="m,l,21600r21600,l21600,xe">
                    <v:stroke joinstyle="miter"/>
                    <v:path gradientshapeok="t" o:connecttype="rect"/>
                  </v:shapetype>
                  <v:shape id="Caixa de Texto 2" o:spid="_x0000_s1026" type="#_x0000_t202" style="position:absolute;margin-left:105.15pt;margin-top:539.2pt;width:290.9pt;height:116.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" filled="f" stroked="f" strokeweight=".5pt">
                    <v:textbox>
                      <w:txbxContent>
                        <w:p w14:paraId="638EDCFA" w14:textId="36A906FE" w:rsidR="0053021A" w:rsidRPr="00733AFB" w:rsidRDefault="00522A40" w:rsidP="00522A40">
                          <w:pPr>
                            <w:rPr>
                              <w:rFonts w:ascii="Antonio" w:hAnsi="Antonio"/>
                              <w:color w:val="1A9B3C"/>
                              <w:sz w:val="36"/>
                              <w:szCs w:val="36"/>
                            </w:rPr>
                          </w:pPr>
                          <w:r w:rsidRPr="00522A40">
                            <w:rPr>
                              <w:rFonts w:ascii="Antonio" w:hAnsi="Antonio"/>
                              <w:color w:val="1A9B3C"/>
                              <w:sz w:val="36"/>
                              <w:szCs w:val="36"/>
                            </w:rPr>
                            <w:t>RESISTÊNCIAS INDÍGENAS, QUILOMBOLAS E DE POVOS E COMUNIDADE TRADICIONAIS: LUTAS PELA TERRA, ECOLOGIA E CRIATIVIDADE POLÍTICA.</w:t>
                          </w:r>
                        </w:p>
                      </w:txbxContent>
                    </v:textbox>
                  </v:shape>
                </w:pict>
              </mc:Fallback>
            </mc:AlternateContent>
          </w:r>
          <w:r w:rsidR="0053021A">
            <w:rPr>
              <w:noProof/>
            </w:rPr>
            <mc:AlternateContent>
              <mc:Choice Requires="wps">
                <w:drawing>
                  <wp:anchor distT="0" distB="0" distL="114300" distR="114300" simplePos="0" relativeHeight="251667456" behindDoc="1" locked="0" layoutInCell="1" allowOverlap="1" wp14:anchorId="486A8980" wp14:editId="083C58BF">
                    <wp:simplePos x="0" y="0"/>
                    <wp:positionH relativeFrom="column">
                      <wp:posOffset>525171</wp:posOffset>
                    </wp:positionH>
                    <wp:positionV relativeFrom="paragraph">
                      <wp:posOffset>6910096</wp:posOffset>
                    </wp:positionV>
                    <wp:extent cx="709126" cy="382555"/>
                    <wp:effectExtent l="0" t="0" r="2540" b="0"/>
                    <wp:wrapNone/>
                    <wp:docPr id="2128089461" name="Retângulo Arredondado 3"/>
                    <wp:cNvGraphicFramePr/>
                    <a:graphic xmlns:a="http://schemas.openxmlformats.org/drawingml/2006/main">
                      <a:graphicData uri="http://schemas.microsoft.com/office/word/2010/wordprocessingShape">
                        <wps:wsp>
                          <wps:cNvSpPr/>
                          <wps:spPr>
                            <a:xfrm>
                              <a:off x="0" y="0"/>
                              <a:ext cx="709126" cy="382555"/>
                            </a:xfrm>
                            <a:prstGeom prst="roundRect">
                              <a:avLst/>
                            </a:prstGeom>
                            <a:solidFill>
                              <a:srgbClr val="1A9B3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1353DDA" id="Retângulo Arredondado 3" o:spid="_x0000_s1026" style="position:absolute;margin-left:41.35pt;margin-top:544.1pt;width:55.85pt;height:30.1pt;z-index:-251649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" fillcolor="#1a9b3c" stroked="f" strokeweight="1pt">
                    <v:stroke joinstyle="miter"/>
                  </v:roundrect>
                </w:pict>
              </mc:Fallback>
            </mc:AlternateContent>
          </w:r>
          <w:r w:rsidR="0053021A">
            <w:rPr>
              <w:noProof/>
            </w:rPr>
            <mc:AlternateContent>
              <mc:Choice Requires="wps">
                <w:drawing>
                  <wp:anchor distT="0" distB="0" distL="114300" distR="114300" simplePos="0" relativeHeight="251665408" behindDoc="0" locked="0" layoutInCell="1" allowOverlap="1" wp14:anchorId="784170F8" wp14:editId="4F7CE88E">
                    <wp:simplePos x="0" y="0"/>
                    <wp:positionH relativeFrom="column">
                      <wp:posOffset>520894</wp:posOffset>
                    </wp:positionH>
                    <wp:positionV relativeFrom="paragraph">
                      <wp:posOffset>6855460</wp:posOffset>
                    </wp:positionV>
                    <wp:extent cx="811530" cy="494030"/>
                    <wp:effectExtent l="0" t="0" r="0" b="0"/>
                    <wp:wrapNone/>
                    <wp:docPr id="1983561110" name="Caixa de Texto 4"/>
                    <wp:cNvGraphicFramePr/>
                    <a:graphic xmlns:a="http://schemas.openxmlformats.org/drawingml/2006/main">
                      <a:graphicData uri="http://schemas.microsoft.com/office/word/2010/wordprocessingShape">
                        <wps:wsp>
                          <wps:cNvSpPr txBox="1"/>
                          <wps:spPr>
                            <a:xfrm>
                              <a:off x="0" y="0"/>
                              <a:ext cx="811530" cy="494030"/>
                            </a:xfrm>
                            <a:prstGeom prst="rect">
                              <a:avLst/>
                            </a:prstGeom>
                            <a:noFill/>
                            <a:ln w="6350">
                              <a:noFill/>
                            </a:ln>
                          </wps:spPr>
                          <wps:txbx>
                            <w:txbxContent>
                              <w:p w14:paraId="7AC046C5" w14:textId="4602F66D" w:rsidR="0053021A" w:rsidRPr="00733AFB" w:rsidRDefault="0053021A" w:rsidP="0053021A">
                                <w:pPr>
                                  <w:rPr>
                                    <w:rFonts w:ascii="Antonio" w:hAnsi="Antonio"/>
                                    <w:color w:val="F8EDD1"/>
                                    <w:sz w:val="44"/>
                                    <w:szCs w:val="44"/>
                                  </w:rPr>
                                </w:pPr>
                                <w:r w:rsidRPr="00733AFB">
                                  <w:rPr>
                                    <w:rFonts w:ascii="Antonio" w:hAnsi="Antonio"/>
                                    <w:color w:val="F8EDD1"/>
                                    <w:sz w:val="44"/>
                                    <w:szCs w:val="44"/>
                                  </w:rPr>
                                  <w:t>GT</w:t>
                                </w:r>
                                <w:r w:rsidR="0023117E">
                                  <w:rPr>
                                    <w:rFonts w:ascii="Antonio" w:hAnsi="Antonio"/>
                                    <w:color w:val="F8EDD1"/>
                                    <w:sz w:val="44"/>
                                    <w:szCs w:val="44"/>
                                  </w:rPr>
                                  <w:t>2</w:t>
                                </w:r>
                                <w:r w:rsidRPr="00733AFB">
                                  <w:rPr>
                                    <w:rFonts w:ascii="Antonio" w:hAnsi="Antonio"/>
                                    <w:color w:val="F8EDD1"/>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170F8" id="Caixa de Texto 4" o:spid="_x0000_s1027" type="#_x0000_t202" style="position:absolute;margin-left:41pt;margin-top:539.8pt;width:63.9pt;height:38.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" filled="f" stroked="f" strokeweight=".5pt">
                    <v:textbox>
                      <w:txbxContent>
                        <w:p w14:paraId="7AC046C5" w14:textId="4602F66D" w:rsidR="0053021A" w:rsidRPr="00733AFB" w:rsidRDefault="0053021A" w:rsidP="0053021A">
                          <w:pPr>
                            <w:rPr>
                              <w:rFonts w:ascii="Antonio" w:hAnsi="Antonio"/>
                              <w:color w:val="F8EDD1"/>
                              <w:sz w:val="44"/>
                              <w:szCs w:val="44"/>
                            </w:rPr>
                          </w:pPr>
                          <w:r w:rsidRPr="00733AFB">
                            <w:rPr>
                              <w:rFonts w:ascii="Antonio" w:hAnsi="Antonio"/>
                              <w:color w:val="F8EDD1"/>
                              <w:sz w:val="44"/>
                              <w:szCs w:val="44"/>
                            </w:rPr>
                            <w:t>GT</w:t>
                          </w:r>
                          <w:r w:rsidR="0023117E">
                            <w:rPr>
                              <w:rFonts w:ascii="Antonio" w:hAnsi="Antonio"/>
                              <w:color w:val="F8EDD1"/>
                              <w:sz w:val="44"/>
                              <w:szCs w:val="44"/>
                            </w:rPr>
                            <w:t>2</w:t>
                          </w:r>
                          <w:r w:rsidRPr="00733AFB">
                            <w:rPr>
                              <w:rFonts w:ascii="Antonio" w:hAnsi="Antonio"/>
                              <w:color w:val="F8EDD1"/>
                              <w:sz w:val="44"/>
                              <w:szCs w:val="44"/>
                            </w:rPr>
                            <w:t>:</w:t>
                          </w:r>
                        </w:p>
                      </w:txbxContent>
                    </v:textbox>
                  </v:shape>
                </w:pict>
              </mc:Fallback>
            </mc:AlternateContent>
          </w:r>
          <w:r w:rsidR="0053021A">
            <w:br w:type="page"/>
          </w:r>
        </w:p>
      </w:sdtContent>
    </w:sdt>
    <w:p w14:paraId="1BFD7F8E" w14:textId="77777777" w:rsidR="00216EFF" w:rsidRDefault="00216EFF" w:rsidP="00216EFF">
      <w:pPr>
        <w:spacing w:after="240"/>
        <w:jc w:val="center"/>
        <w:rPr>
          <w:rFonts w:ascii="Avenir Book" w:eastAsia="Arial" w:hAnsi="Avenir Book"/>
          <w:b/>
          <w:bCs/>
        </w:rPr>
      </w:pPr>
    </w:p>
    <w:p w14:paraId="72FBEAC2" w14:textId="5E2C2C5A" w:rsidR="00216EFF" w:rsidRPr="00216EFF" w:rsidRDefault="009924C0" w:rsidP="00216EFF">
      <w:pPr>
        <w:spacing w:after="240" w:line="360" w:lineRule="auto"/>
        <w:jc w:val="center"/>
        <w:rPr>
          <w:rFonts w:eastAsia="Arial"/>
          <w:b/>
          <w:bCs/>
        </w:rPr>
      </w:pPr>
      <w:r w:rsidRPr="00236F9B">
        <w:rPr>
          <w:rFonts w:eastAsia="Arial"/>
          <w:b/>
          <w:bCs/>
        </w:rPr>
        <w:t xml:space="preserve">IDENTIDADE, TERRITORIALIDADE E PATRIMÔNIO: </w:t>
      </w:r>
      <w:r>
        <w:rPr>
          <w:rFonts w:eastAsia="Arial"/>
          <w:b/>
          <w:bCs/>
        </w:rPr>
        <w:t>O</w:t>
      </w:r>
      <w:r w:rsidRPr="00236F9B">
        <w:rPr>
          <w:rFonts w:eastAsia="Arial"/>
          <w:b/>
          <w:bCs/>
        </w:rPr>
        <w:t xml:space="preserve"> QUILOMBO VÓ ERNESTINA E A PRESERVAÇÃO DA MEMÓRIA CULTURAL</w:t>
      </w:r>
    </w:p>
    <w:p w14:paraId="50A5D750" w14:textId="155134FD" w:rsidR="00216EFF" w:rsidRPr="00216EFF" w:rsidRDefault="00236F9B" w:rsidP="00216EFF">
      <w:pPr>
        <w:spacing w:line="360" w:lineRule="auto"/>
        <w:ind w:hanging="2"/>
        <w:jc w:val="center"/>
        <w:rPr>
          <w:rFonts w:eastAsia="Arial" w:cs="Arial"/>
          <w:vertAlign w:val="superscript"/>
        </w:rPr>
      </w:pPr>
      <w:r w:rsidRPr="00236F9B">
        <w:rPr>
          <w:rFonts w:eastAsia="Arial" w:cs="Arial"/>
        </w:rPr>
        <w:t>Carlos Eduardo Avila Bauer</w:t>
      </w:r>
      <w:r w:rsidR="00216EFF" w:rsidRPr="00216EFF">
        <w:rPr>
          <w:rStyle w:val="FootnoteReference"/>
          <w:rFonts w:eastAsia="Arial" w:cs="Arial"/>
        </w:rPr>
        <w:footnoteReference w:id="1"/>
      </w:r>
    </w:p>
    <w:p w14:paraId="05420B62" w14:textId="349F548A" w:rsidR="00216EFF" w:rsidRDefault="00236F9B" w:rsidP="00216EFF">
      <w:pPr>
        <w:spacing w:line="360" w:lineRule="auto"/>
        <w:ind w:hanging="2"/>
        <w:jc w:val="center"/>
        <w:rPr>
          <w:rFonts w:eastAsia="Arial" w:cs="Arial"/>
        </w:rPr>
      </w:pPr>
      <w:r w:rsidRPr="00236F9B">
        <w:rPr>
          <w:rFonts w:eastAsia="Arial" w:cs="Arial"/>
        </w:rPr>
        <w:t>Marielen Priscila Kaufman</w:t>
      </w:r>
      <w:r w:rsidR="00216EFF" w:rsidRPr="00216EFF">
        <w:rPr>
          <w:rStyle w:val="FootnoteReference"/>
          <w:rFonts w:eastAsia="Arial" w:cs="Arial"/>
        </w:rPr>
        <w:footnoteReference w:id="2"/>
      </w:r>
    </w:p>
    <w:p w14:paraId="3E782938" w14:textId="7A1F31CD" w:rsidR="00BC2B1E" w:rsidRDefault="00930652" w:rsidP="00216EFF">
      <w:pPr>
        <w:spacing w:line="360" w:lineRule="auto"/>
        <w:ind w:hanging="2"/>
        <w:jc w:val="center"/>
        <w:rPr>
          <w:rFonts w:eastAsia="Arial" w:cs="Arial"/>
          <w:vertAlign w:val="superscript"/>
        </w:rPr>
      </w:pPr>
      <w:r>
        <w:rPr>
          <w:rFonts w:eastAsia="Arial" w:cs="Arial"/>
        </w:rPr>
        <w:t xml:space="preserve">Diego </w:t>
      </w:r>
      <w:r w:rsidR="00AB4A46">
        <w:rPr>
          <w:rFonts w:eastAsia="Arial" w:cs="Arial"/>
        </w:rPr>
        <w:t>Lemos Ribeiro</w:t>
      </w:r>
      <w:r w:rsidR="00EF0BF3">
        <w:rPr>
          <w:rStyle w:val="FootnoteReference"/>
          <w:rFonts w:eastAsia="Arial" w:cs="Arial"/>
        </w:rPr>
        <w:footnoteReference w:id="3"/>
      </w:r>
    </w:p>
    <w:p w14:paraId="0C32F20E" w14:textId="66DFBC25" w:rsidR="00216EFF" w:rsidRDefault="00216EFF" w:rsidP="00236F9B">
      <w:pPr>
        <w:spacing w:line="360" w:lineRule="auto"/>
        <w:ind w:hanging="2"/>
        <w:jc w:val="center"/>
        <w:rPr>
          <w:rFonts w:eastAsia="Arial" w:cs="Arial"/>
          <w:b/>
        </w:rPr>
      </w:pPr>
      <w:r w:rsidRPr="00216EFF">
        <w:rPr>
          <w:rFonts w:eastAsia="Arial" w:cs="Arial"/>
          <w:b/>
        </w:rPr>
        <w:t xml:space="preserve">GT </w:t>
      </w:r>
      <w:r w:rsidR="00236F9B">
        <w:rPr>
          <w:rFonts w:eastAsia="Arial" w:cs="Arial"/>
          <w:b/>
        </w:rPr>
        <w:t xml:space="preserve">02: </w:t>
      </w:r>
      <w:bookmarkStart w:id="0" w:name="_Hlk195258436"/>
      <w:r w:rsidR="00236F9B" w:rsidRPr="00236F9B">
        <w:rPr>
          <w:rFonts w:eastAsia="Arial" w:cs="Arial"/>
          <w:b/>
        </w:rPr>
        <w:t>Resistências indígenas, quilombolas e de povos e comunidade tradicionais: lutas pela terra, ecologia e criatividade política</w:t>
      </w:r>
      <w:r w:rsidR="00236F9B">
        <w:rPr>
          <w:rFonts w:eastAsia="Arial" w:cs="Arial"/>
          <w:b/>
        </w:rPr>
        <w:t>.</w:t>
      </w:r>
    </w:p>
    <w:bookmarkEnd w:id="0"/>
    <w:p w14:paraId="2E34FD58" w14:textId="77777777" w:rsidR="00B95C67" w:rsidRDefault="00B95C67" w:rsidP="00216EFF">
      <w:pPr>
        <w:spacing w:line="360" w:lineRule="auto"/>
        <w:ind w:hanging="2"/>
        <w:jc w:val="center"/>
        <w:rPr>
          <w:rFonts w:eastAsia="Arial" w:cs="Arial"/>
          <w:b/>
        </w:rPr>
      </w:pPr>
    </w:p>
    <w:p w14:paraId="7C618C51" w14:textId="26C9FE7E" w:rsidR="00216EFF" w:rsidRPr="00216EFF" w:rsidRDefault="00216EFF" w:rsidP="00216EFF">
      <w:pPr>
        <w:spacing w:line="360" w:lineRule="auto"/>
        <w:ind w:hanging="2"/>
        <w:jc w:val="center"/>
        <w:rPr>
          <w:rFonts w:eastAsia="Arial" w:cs="Arial"/>
          <w:b/>
        </w:rPr>
      </w:pPr>
      <w:r w:rsidRPr="00216EFF">
        <w:rPr>
          <w:rFonts w:eastAsia="Arial" w:cs="Arial"/>
          <w:b/>
        </w:rPr>
        <w:t xml:space="preserve">RESUMO </w:t>
      </w:r>
    </w:p>
    <w:p w14:paraId="141D4290" w14:textId="2D5CB8F2" w:rsidR="00236F9B" w:rsidRPr="00236F9B" w:rsidRDefault="0023117E" w:rsidP="006903FE">
      <w:pPr>
        <w:spacing w:line="360" w:lineRule="auto"/>
        <w:ind w:hanging="2"/>
        <w:jc w:val="both"/>
        <w:rPr>
          <w:rFonts w:eastAsia="Arial" w:cs="Arial"/>
          <w:color w:val="000000"/>
        </w:rPr>
      </w:pPr>
      <w:r>
        <w:rPr>
          <w:rFonts w:eastAsia="Arial" w:cs="Arial"/>
          <w:color w:val="000000"/>
        </w:rPr>
        <w:t>O artigo busca a</w:t>
      </w:r>
      <w:r w:rsidR="00236F9B" w:rsidRPr="00236F9B">
        <w:rPr>
          <w:rFonts w:eastAsia="Arial" w:cs="Arial"/>
          <w:color w:val="000000"/>
        </w:rPr>
        <w:t>nalisa</w:t>
      </w:r>
      <w:r w:rsidR="006903FE">
        <w:rPr>
          <w:rFonts w:eastAsia="Arial" w:cs="Arial"/>
          <w:color w:val="000000"/>
        </w:rPr>
        <w:t>r</w:t>
      </w:r>
      <w:r w:rsidR="00236F9B" w:rsidRPr="00236F9B">
        <w:rPr>
          <w:rFonts w:eastAsia="Arial" w:cs="Arial"/>
          <w:color w:val="000000"/>
        </w:rPr>
        <w:t xml:space="preserve"> as relações entre identidade, territorialidade e patrimônio cultural no Quilombo Vó Ernestina, localizado em Morro Redondo (RS)</w:t>
      </w:r>
      <w:r w:rsidR="006903FE">
        <w:rPr>
          <w:rFonts w:eastAsia="Arial" w:cs="Arial"/>
          <w:color w:val="000000"/>
        </w:rPr>
        <w:t>, através</w:t>
      </w:r>
      <w:r w:rsidR="00236F9B" w:rsidRPr="00236F9B">
        <w:rPr>
          <w:rFonts w:eastAsia="Arial" w:cs="Arial"/>
          <w:color w:val="000000"/>
        </w:rPr>
        <w:t xml:space="preserve"> de entrevistas </w:t>
      </w:r>
      <w:r w:rsidR="006903FE">
        <w:rPr>
          <w:rFonts w:eastAsia="Arial" w:cs="Arial"/>
          <w:color w:val="000000"/>
        </w:rPr>
        <w:t xml:space="preserve">semiestruturadas </w:t>
      </w:r>
      <w:r w:rsidR="00236F9B" w:rsidRPr="00236F9B">
        <w:rPr>
          <w:rFonts w:eastAsia="Arial" w:cs="Arial"/>
          <w:color w:val="000000"/>
        </w:rPr>
        <w:t>com</w:t>
      </w:r>
      <w:r w:rsidR="006903FE">
        <w:rPr>
          <w:rFonts w:eastAsia="Arial" w:cs="Arial"/>
          <w:color w:val="000000"/>
        </w:rPr>
        <w:t xml:space="preserve"> o Líder</w:t>
      </w:r>
      <w:r w:rsidR="00236F9B" w:rsidRPr="00236F9B">
        <w:rPr>
          <w:rFonts w:eastAsia="Arial" w:cs="Arial"/>
          <w:color w:val="000000"/>
        </w:rPr>
        <w:t xml:space="preserve"> da comunidade e uma </w:t>
      </w:r>
      <w:r w:rsidR="006903FE">
        <w:rPr>
          <w:rFonts w:eastAsia="Arial" w:cs="Arial"/>
          <w:color w:val="000000"/>
        </w:rPr>
        <w:t>Museóloga</w:t>
      </w:r>
      <w:r w:rsidR="00236F9B" w:rsidRPr="00236F9B">
        <w:rPr>
          <w:rFonts w:eastAsia="Arial" w:cs="Arial"/>
          <w:color w:val="000000"/>
        </w:rPr>
        <w:t>, utilizando a metodologia da história oral</w:t>
      </w:r>
      <w:r w:rsidR="00112D81">
        <w:rPr>
          <w:rFonts w:eastAsia="Arial" w:cs="Arial"/>
          <w:color w:val="000000"/>
        </w:rPr>
        <w:t>.</w:t>
      </w:r>
      <w:r w:rsidR="00236F9B" w:rsidRPr="00236F9B">
        <w:rPr>
          <w:rFonts w:eastAsia="Arial" w:cs="Arial"/>
          <w:color w:val="000000"/>
        </w:rPr>
        <w:t xml:space="preserve"> </w:t>
      </w:r>
      <w:r w:rsidR="00112D81">
        <w:rPr>
          <w:rFonts w:eastAsia="Arial" w:cs="Arial"/>
          <w:color w:val="000000"/>
        </w:rPr>
        <w:t>A</w:t>
      </w:r>
      <w:r w:rsidR="00236F9B" w:rsidRPr="00236F9B">
        <w:rPr>
          <w:rFonts w:eastAsia="Arial" w:cs="Arial"/>
          <w:color w:val="000000"/>
        </w:rPr>
        <w:t xml:space="preserve"> pesquisa evidenci</w:t>
      </w:r>
      <w:r w:rsidR="006903FE">
        <w:rPr>
          <w:rFonts w:eastAsia="Arial" w:cs="Arial"/>
          <w:color w:val="000000"/>
        </w:rPr>
        <w:t>ou</w:t>
      </w:r>
      <w:r w:rsidR="00236F9B" w:rsidRPr="00236F9B">
        <w:rPr>
          <w:rFonts w:eastAsia="Arial" w:cs="Arial"/>
          <w:color w:val="000000"/>
        </w:rPr>
        <w:t xml:space="preserve"> </w:t>
      </w:r>
      <w:r w:rsidR="00112D81">
        <w:rPr>
          <w:rFonts w:eastAsia="Arial" w:cs="Arial"/>
          <w:color w:val="000000"/>
        </w:rPr>
        <w:t>o</w:t>
      </w:r>
      <w:r w:rsidR="004273E2">
        <w:rPr>
          <w:rFonts w:eastAsia="Arial" w:cs="Arial"/>
          <w:color w:val="000000"/>
        </w:rPr>
        <w:t>s</w:t>
      </w:r>
      <w:r w:rsidR="00634CEE" w:rsidRPr="00634CEE">
        <w:rPr>
          <w:rFonts w:eastAsia="Arial" w:cs="Arial"/>
          <w:color w:val="000000"/>
        </w:rPr>
        <w:t xml:space="preserve"> desafios no processo de patrimonialização, como a baixa representatividade culturais e o distanciamento simbólico em relação a objetos </w:t>
      </w:r>
      <w:proofErr w:type="spellStart"/>
      <w:r w:rsidR="00634CEE" w:rsidRPr="00634CEE">
        <w:rPr>
          <w:rFonts w:eastAsia="Arial" w:cs="Arial"/>
          <w:color w:val="000000"/>
        </w:rPr>
        <w:t>musealizados</w:t>
      </w:r>
      <w:proofErr w:type="spellEnd"/>
      <w:r w:rsidR="00634CEE" w:rsidRPr="00634CEE">
        <w:rPr>
          <w:rFonts w:eastAsia="Arial" w:cs="Arial"/>
          <w:color w:val="000000"/>
        </w:rPr>
        <w:t>.</w:t>
      </w:r>
      <w:r w:rsidR="00AB0DE3">
        <w:rPr>
          <w:rFonts w:eastAsia="Arial" w:cs="Arial"/>
          <w:color w:val="000000"/>
        </w:rPr>
        <w:t xml:space="preserve"> </w:t>
      </w:r>
      <w:r w:rsidR="005F2C7E">
        <w:rPr>
          <w:rFonts w:eastAsia="Arial" w:cs="Arial"/>
          <w:color w:val="000000"/>
        </w:rPr>
        <w:t xml:space="preserve">Além </w:t>
      </w:r>
      <w:r w:rsidR="00873AEF">
        <w:rPr>
          <w:rFonts w:eastAsia="Arial" w:cs="Arial"/>
          <w:color w:val="000000"/>
        </w:rPr>
        <w:t>das dificuldades</w:t>
      </w:r>
      <w:r w:rsidR="00236F9B" w:rsidRPr="00236F9B">
        <w:rPr>
          <w:rFonts w:eastAsia="Arial" w:cs="Arial"/>
          <w:color w:val="000000"/>
        </w:rPr>
        <w:t xml:space="preserve"> enfrentados na efetivação dos direitos territoriais e na inserção das narrativas quilombolas em políticas patrimoniais e </w:t>
      </w:r>
      <w:r w:rsidR="000B60D4">
        <w:rPr>
          <w:rFonts w:eastAsia="Arial" w:cs="Arial"/>
          <w:color w:val="000000"/>
        </w:rPr>
        <w:t>socioculturais</w:t>
      </w:r>
      <w:r w:rsidR="00236F9B" w:rsidRPr="00236F9B">
        <w:rPr>
          <w:rFonts w:eastAsia="Arial" w:cs="Arial"/>
          <w:color w:val="000000"/>
        </w:rPr>
        <w:t xml:space="preserve">. </w:t>
      </w:r>
      <w:r>
        <w:rPr>
          <w:rFonts w:eastAsia="Arial" w:cs="Arial"/>
          <w:color w:val="000000"/>
        </w:rPr>
        <w:t>O</w:t>
      </w:r>
      <w:r w:rsidR="00AE47D8">
        <w:rPr>
          <w:rFonts w:eastAsia="Arial" w:cs="Arial"/>
          <w:color w:val="000000"/>
        </w:rPr>
        <w:t>s</w:t>
      </w:r>
      <w:r w:rsidR="002E0A16" w:rsidRPr="002E0A16">
        <w:rPr>
          <w:rFonts w:eastAsia="Arial" w:cs="Arial"/>
          <w:color w:val="000000"/>
        </w:rPr>
        <w:t xml:space="preserve"> relatos revelaram</w:t>
      </w:r>
      <w:r>
        <w:rPr>
          <w:rFonts w:eastAsia="Arial" w:cs="Arial"/>
          <w:color w:val="000000"/>
        </w:rPr>
        <w:t xml:space="preserve">, também, </w:t>
      </w:r>
      <w:r w:rsidR="002E0A16" w:rsidRPr="002E0A16">
        <w:rPr>
          <w:rFonts w:eastAsia="Arial" w:cs="Arial"/>
          <w:color w:val="000000"/>
        </w:rPr>
        <w:t xml:space="preserve">que a luta pela terra está profundamente conectada à afirmação identitária e à valorização das práticas culturais </w:t>
      </w:r>
      <w:r w:rsidR="00532067">
        <w:rPr>
          <w:rFonts w:eastAsia="Arial" w:cs="Arial"/>
          <w:color w:val="000000"/>
        </w:rPr>
        <w:t>n</w:t>
      </w:r>
      <w:r w:rsidR="00236F9B" w:rsidRPr="00236F9B">
        <w:rPr>
          <w:rFonts w:eastAsia="Arial" w:cs="Arial"/>
          <w:color w:val="000000"/>
        </w:rPr>
        <w:t>o Quilombo Vó Ernestina</w:t>
      </w:r>
      <w:r w:rsidR="003B5D85">
        <w:rPr>
          <w:rFonts w:eastAsia="Arial" w:cs="Arial"/>
          <w:color w:val="000000"/>
        </w:rPr>
        <w:t>.</w:t>
      </w:r>
      <w:r w:rsidR="00236F9B" w:rsidRPr="00236F9B">
        <w:rPr>
          <w:rFonts w:eastAsia="Arial" w:cs="Arial"/>
          <w:color w:val="000000"/>
        </w:rPr>
        <w:t xml:space="preserve">  </w:t>
      </w:r>
    </w:p>
    <w:p w14:paraId="0DBC4D19" w14:textId="120BD5E7" w:rsidR="00BD041D" w:rsidRDefault="00216EFF" w:rsidP="00BD041D">
      <w:pPr>
        <w:spacing w:line="360" w:lineRule="auto"/>
        <w:ind w:hanging="2"/>
        <w:jc w:val="both"/>
        <w:rPr>
          <w:rFonts w:eastAsia="Arial" w:cs="Arial"/>
        </w:rPr>
      </w:pPr>
      <w:r w:rsidRPr="008B57FA">
        <w:rPr>
          <w:rFonts w:eastAsia="Arial" w:cs="Arial"/>
        </w:rPr>
        <w:t xml:space="preserve">Palavras-chave: </w:t>
      </w:r>
      <w:r w:rsidR="00236F9B" w:rsidRPr="008B57FA">
        <w:rPr>
          <w:rFonts w:eastAsia="Arial" w:cs="Arial"/>
          <w:color w:val="000000"/>
        </w:rPr>
        <w:t xml:space="preserve"> </w:t>
      </w:r>
      <w:r w:rsidR="009924C0" w:rsidRPr="008B57FA">
        <w:rPr>
          <w:rFonts w:eastAsia="Arial" w:cs="Arial"/>
          <w:color w:val="000000"/>
        </w:rPr>
        <w:t>Morro Redondo</w:t>
      </w:r>
      <w:r w:rsidR="00236F9B" w:rsidRPr="008B57FA">
        <w:rPr>
          <w:rFonts w:eastAsia="Arial" w:cs="Arial"/>
          <w:color w:val="000000"/>
        </w:rPr>
        <w:t xml:space="preserve">; Patrimônio imaterial; </w:t>
      </w:r>
      <w:r w:rsidR="003A49A9" w:rsidRPr="008B57FA">
        <w:rPr>
          <w:rFonts w:eastAsia="Arial" w:cs="Arial"/>
          <w:color w:val="000000"/>
        </w:rPr>
        <w:t>Territorialidade</w:t>
      </w:r>
      <w:r w:rsidR="00FD7059">
        <w:rPr>
          <w:rFonts w:eastAsia="Arial" w:cs="Arial"/>
          <w:color w:val="000000"/>
        </w:rPr>
        <w:t>.</w:t>
      </w:r>
    </w:p>
    <w:p w14:paraId="04F42F5F" w14:textId="77777777" w:rsidR="00B95C67" w:rsidRDefault="00B95C67" w:rsidP="00BD041D">
      <w:pPr>
        <w:spacing w:line="360" w:lineRule="auto"/>
        <w:ind w:hanging="2"/>
        <w:jc w:val="both"/>
        <w:rPr>
          <w:rFonts w:eastAsia="Arial" w:cs="Arial"/>
          <w:bCs/>
        </w:rPr>
      </w:pPr>
    </w:p>
    <w:p w14:paraId="25F4F952" w14:textId="7494A112" w:rsidR="00216EFF" w:rsidRPr="008B57FA" w:rsidRDefault="00216EFF" w:rsidP="00BD041D">
      <w:pPr>
        <w:spacing w:line="360" w:lineRule="auto"/>
        <w:ind w:hanging="2"/>
        <w:jc w:val="both"/>
        <w:rPr>
          <w:rFonts w:eastAsia="Arial" w:cs="Arial"/>
          <w:b/>
        </w:rPr>
      </w:pPr>
      <w:r w:rsidRPr="008B57FA">
        <w:rPr>
          <w:rFonts w:eastAsia="Arial" w:cs="Arial"/>
          <w:b/>
        </w:rPr>
        <w:lastRenderedPageBreak/>
        <w:t>INTRODUÇÃO</w:t>
      </w:r>
    </w:p>
    <w:p w14:paraId="219FBC20" w14:textId="77777777" w:rsidR="00EE278E" w:rsidRDefault="006903FE" w:rsidP="0064517D">
      <w:pPr>
        <w:spacing w:line="360" w:lineRule="auto"/>
        <w:ind w:firstLine="709"/>
        <w:jc w:val="both"/>
        <w:rPr>
          <w:rFonts w:eastAsia="Arial" w:cs="Arial"/>
        </w:rPr>
      </w:pPr>
      <w:r w:rsidRPr="006903FE">
        <w:rPr>
          <w:rFonts w:eastAsia="Arial" w:cs="Arial"/>
        </w:rPr>
        <w:t>O Quilombo Vó Ernestina carrega em sua trajetória uma história de resistência, memória e identidade que transcende os limites geográficos e institucionais. Situado no município de Morro Redondo, no Rio Grande do Sul, o quilombo é um espaço vivo de cultura e pertencimento. O estudo dessa comunidade surge da necessidade de compreender como o reconhecimento territorial e patrimonial se entrelaça à identidade cultural do grupo, considerando os desafios e conquistas que marcam essa trajetória.</w:t>
      </w:r>
      <w:r w:rsidR="00956A00">
        <w:rPr>
          <w:rFonts w:eastAsia="Arial" w:cs="Arial"/>
        </w:rPr>
        <w:t xml:space="preserve"> </w:t>
      </w:r>
    </w:p>
    <w:p w14:paraId="55FF1E18" w14:textId="0800E0D5" w:rsidR="0064517D" w:rsidRDefault="00BE637A" w:rsidP="00EE278E">
      <w:pPr>
        <w:spacing w:line="360" w:lineRule="auto"/>
        <w:ind w:firstLine="709"/>
        <w:jc w:val="both"/>
        <w:rPr>
          <w:rFonts w:eastAsia="Arial" w:cs="Arial"/>
        </w:rPr>
      </w:pPr>
      <w:r w:rsidRPr="00BE637A">
        <w:rPr>
          <w:rFonts w:eastAsia="Arial" w:cs="Arial"/>
        </w:rPr>
        <w:t>A motivação para investigar o Quilombo Vó Ernestina surgiu durante a formação em Museologia, quando se constatou a escassa representatividade das tradições quilombolas nas exposições e eventos culturais do município. Essa constatação despertou questionamentos sobre como a comunidade se reconhece no patrimônio — tanto material quanto imaterial — e de que forma sua história é narrada e preservada nos espaços institucionais.</w:t>
      </w:r>
      <w:r w:rsidR="008A3363">
        <w:rPr>
          <w:rFonts w:eastAsia="Arial" w:cs="Arial"/>
        </w:rPr>
        <w:t xml:space="preserve"> </w:t>
      </w:r>
      <w:r w:rsidR="0028070F" w:rsidRPr="0028070F">
        <w:rPr>
          <w:rFonts w:eastAsia="Arial" w:cs="Arial"/>
        </w:rPr>
        <w:t>Nesse contexto, o Museu Histórico de Morro Redondo busca aproximar o quilombo das discussões sobre memória e patrimônio. No entanto, as iniciativas museológicas enfrentam dificuldades para capturar a complexidade da experiência quilombola, que transcende a materialidade dos objetos e se manifesta nos saberes orais, nas práticas cotidianas e na relação simbólica com a terra.</w:t>
      </w:r>
      <w:r w:rsidR="006903FE" w:rsidRPr="006903FE">
        <w:rPr>
          <w:rFonts w:eastAsia="Arial" w:cs="Arial"/>
        </w:rPr>
        <w:t xml:space="preserve"> Segundo Hall (2006), a identidade cultural é constantemente renegociada e construída através das experiências e da memória coletiva, o que reforça a importância de considerar a perspectiva das próprias comunidades no processo de patrimonialização.</w:t>
      </w:r>
      <w:r w:rsidR="007125FD">
        <w:rPr>
          <w:rFonts w:eastAsia="Arial" w:cs="Arial"/>
        </w:rPr>
        <w:t xml:space="preserve"> </w:t>
      </w:r>
    </w:p>
    <w:p w14:paraId="420D7FAD" w14:textId="4F0208BB" w:rsidR="00216EFF" w:rsidRDefault="0064517D" w:rsidP="0064517D">
      <w:pPr>
        <w:spacing w:line="360" w:lineRule="auto"/>
        <w:ind w:firstLine="709"/>
        <w:jc w:val="both"/>
        <w:rPr>
          <w:rFonts w:eastAsia="Arial" w:cs="Arial"/>
        </w:rPr>
      </w:pPr>
      <w:r>
        <w:rPr>
          <w:rFonts w:eastAsia="Arial" w:cs="Arial"/>
          <w:color w:val="000000"/>
        </w:rPr>
        <w:t>O artigo busca a</w:t>
      </w:r>
      <w:r w:rsidRPr="00236F9B">
        <w:rPr>
          <w:rFonts w:eastAsia="Arial" w:cs="Arial"/>
          <w:color w:val="000000"/>
        </w:rPr>
        <w:t>nalisa</w:t>
      </w:r>
      <w:r>
        <w:rPr>
          <w:rFonts w:eastAsia="Arial" w:cs="Arial"/>
          <w:color w:val="000000"/>
        </w:rPr>
        <w:t>r</w:t>
      </w:r>
      <w:r w:rsidRPr="00236F9B">
        <w:rPr>
          <w:rFonts w:eastAsia="Arial" w:cs="Arial"/>
          <w:color w:val="000000"/>
        </w:rPr>
        <w:t xml:space="preserve"> as relações entre identidade, territorialidade e patrimônio cultural no Quilombo Vó Ernestina, localizado em Morro Redondo (RS)</w:t>
      </w:r>
      <w:r>
        <w:rPr>
          <w:rFonts w:eastAsia="Arial" w:cs="Arial"/>
          <w:color w:val="000000"/>
        </w:rPr>
        <w:t xml:space="preserve">. </w:t>
      </w:r>
      <w:r w:rsidR="006903FE" w:rsidRPr="006903FE">
        <w:rPr>
          <w:rFonts w:eastAsia="Arial" w:cs="Arial"/>
        </w:rPr>
        <w:t xml:space="preserve">Portanto, compreender o Quilombo Vó Ernestina não significa apenas reconhecer sua história e seu território, mas também valorizar suas práticas culturais e garantir que suas narrativas sejam incorporadas nas políticas patrimoniais. O patrimônio imaterial, nesse sentido, deve ser visto como uma </w:t>
      </w:r>
      <w:r w:rsidR="006903FE" w:rsidRPr="006903FE">
        <w:rPr>
          <w:rFonts w:eastAsia="Arial" w:cs="Arial"/>
        </w:rPr>
        <w:lastRenderedPageBreak/>
        <w:t>construção coletiva, que não se limita aos objetos expostos nos museus, mas se manifesta nas tradições, nos ritos, na oralidade e nas relações sociais que sustentam a identidade da comunidade.</w:t>
      </w:r>
    </w:p>
    <w:p w14:paraId="78557DDB" w14:textId="77777777" w:rsidR="008B57FA" w:rsidRDefault="008B57FA" w:rsidP="00DD20BE">
      <w:pPr>
        <w:spacing w:line="360" w:lineRule="auto"/>
        <w:jc w:val="both"/>
        <w:rPr>
          <w:rFonts w:eastAsia="Arial" w:cs="Arial"/>
        </w:rPr>
      </w:pPr>
    </w:p>
    <w:p w14:paraId="47A61D4A" w14:textId="4BB44BB6" w:rsidR="00DD20BE" w:rsidRPr="00EE278E" w:rsidRDefault="00EE278E" w:rsidP="00DD20BE">
      <w:pPr>
        <w:spacing w:line="360" w:lineRule="auto"/>
        <w:jc w:val="both"/>
        <w:rPr>
          <w:rFonts w:eastAsia="Arial" w:cs="Arial"/>
          <w:b/>
          <w:bCs/>
        </w:rPr>
      </w:pPr>
      <w:r w:rsidRPr="00EE278E">
        <w:rPr>
          <w:rFonts w:eastAsia="Arial" w:cs="Arial"/>
          <w:b/>
          <w:bCs/>
        </w:rPr>
        <w:t>REVISÃO DE LITERATURA</w:t>
      </w:r>
    </w:p>
    <w:p w14:paraId="346E46BC" w14:textId="69047CA4" w:rsidR="00EE278E" w:rsidRDefault="00DD20BE" w:rsidP="0036057E">
      <w:pPr>
        <w:spacing w:line="360" w:lineRule="auto"/>
        <w:ind w:firstLine="709"/>
        <w:jc w:val="both"/>
        <w:rPr>
          <w:rFonts w:eastAsia="Arial" w:cs="Arial"/>
        </w:rPr>
      </w:pPr>
      <w:r w:rsidRPr="00DD20BE">
        <w:rPr>
          <w:rFonts w:eastAsia="Arial" w:cs="Arial"/>
        </w:rPr>
        <w:t>A luta pelo reconhecimento das comunidades quilombolas no Brasil está intrinsecamente ligada a processos históricos de resistência, construção identitária e disputas territoriais que atravessam gerações. Nesse contexto, o conceito de territorialidade adquire uma dimensão que extrapola a posse fundiária, sendo entendido como uma expressão simbólica e cultural de pertencimento e ancestralidade (</w:t>
      </w:r>
      <w:proofErr w:type="spellStart"/>
      <w:r w:rsidRPr="00DD20BE">
        <w:rPr>
          <w:rFonts w:eastAsia="Arial" w:cs="Arial"/>
        </w:rPr>
        <w:t>O</w:t>
      </w:r>
      <w:r w:rsidR="0036057E" w:rsidRPr="00DD20BE">
        <w:rPr>
          <w:rFonts w:eastAsia="Arial" w:cs="Arial"/>
        </w:rPr>
        <w:t>'dwyer</w:t>
      </w:r>
      <w:proofErr w:type="spellEnd"/>
      <w:r w:rsidRPr="00DD20BE">
        <w:rPr>
          <w:rFonts w:eastAsia="Arial" w:cs="Arial"/>
        </w:rPr>
        <w:t>, 2002). A identidade quilombola, portanto, não se limita a vínculos biológicos, mas incorpora práticas sociais, saberes e memórias coletivas que conectam os indivíduos à terra e à comunidade</w:t>
      </w:r>
      <w:r w:rsidR="00B541B8">
        <w:rPr>
          <w:rFonts w:eastAsia="Arial" w:cs="Arial"/>
        </w:rPr>
        <w:t xml:space="preserve"> (Little, 2003)</w:t>
      </w:r>
      <w:r w:rsidRPr="00DD20BE">
        <w:rPr>
          <w:rFonts w:eastAsia="Arial" w:cs="Arial"/>
        </w:rPr>
        <w:t>.</w:t>
      </w:r>
    </w:p>
    <w:p w14:paraId="5CC1842A" w14:textId="4313C635" w:rsidR="00EE278E" w:rsidRDefault="00DD20BE" w:rsidP="0036057E">
      <w:pPr>
        <w:spacing w:line="360" w:lineRule="auto"/>
        <w:ind w:firstLine="709"/>
        <w:jc w:val="both"/>
        <w:rPr>
          <w:rFonts w:eastAsia="Arial" w:cs="Arial"/>
        </w:rPr>
      </w:pPr>
      <w:r w:rsidRPr="00DD20BE">
        <w:rPr>
          <w:rFonts w:eastAsia="Arial" w:cs="Arial"/>
        </w:rPr>
        <w:t>A Constituição Federal de 1988 representou um marco na garantia dos direitos quilombolas ao estabelecer, no artigo 68 do Ato das Disposições Constitucionais Transitórias, o reconhecimento das terras tradicionalmente ocupadas. Contudo, como aponta Arruti (2006), a implementação desse direito tem enfrentado entraves significativos, como a morosidade burocrática, o racismo institucional e a disputa de interesses econômicos. A promulgação do Decreto nº 4.887/2003, que detalha os procedimentos para titulação dos territórios, foi um avanço jurídico importante, mas também se tornou alvo de pressões e tentativas de revogação, revelando as tensões persistentes em torno da efetivação dos direitos quilombolas.</w:t>
      </w:r>
      <w:r w:rsidR="00956A00">
        <w:rPr>
          <w:rFonts w:eastAsia="Arial" w:cs="Arial"/>
        </w:rPr>
        <w:t xml:space="preserve"> </w:t>
      </w:r>
      <w:r w:rsidRPr="00DD20BE">
        <w:rPr>
          <w:rFonts w:eastAsia="Arial" w:cs="Arial"/>
        </w:rPr>
        <w:t>O debate sobre patrimonialização também emerge como um campo de disputa simbólica e política. Gonçalves (</w:t>
      </w:r>
      <w:r w:rsidR="00B541B8">
        <w:rPr>
          <w:rFonts w:eastAsia="Arial" w:cs="Arial"/>
        </w:rPr>
        <w:t>1996</w:t>
      </w:r>
      <w:r w:rsidRPr="00DD20BE">
        <w:rPr>
          <w:rFonts w:eastAsia="Arial" w:cs="Arial"/>
        </w:rPr>
        <w:t xml:space="preserve">) nos lembra que o patrimônio cultural não é um conjunto neutro de bens, mas o resultado de escolhas sociais que legitimam determinadas memórias em detrimento de outras. Isso se evidencia, por exemplo, na invisibilização da </w:t>
      </w:r>
      <w:r w:rsidRPr="00DD20BE">
        <w:rPr>
          <w:rFonts w:eastAsia="Arial" w:cs="Arial"/>
        </w:rPr>
        <w:lastRenderedPageBreak/>
        <w:t>contribuição das mulheres negras e quilombolas no saber-fazer doceiro da região de Pelotas, ainda que esse ofício tenha sido reconhecido como patrimônio cultural do Brasil. A seletividade do processo de patrimonialização reflete, assim, desigualdades históricas que precisam ser enfrentadas.</w:t>
      </w:r>
      <w:r>
        <w:rPr>
          <w:rFonts w:eastAsia="Arial" w:cs="Arial"/>
        </w:rPr>
        <w:t xml:space="preserve"> </w:t>
      </w:r>
    </w:p>
    <w:p w14:paraId="3A4B0902" w14:textId="7BE5298F" w:rsidR="00B95C67" w:rsidRDefault="00DD20BE" w:rsidP="0036057E">
      <w:pPr>
        <w:spacing w:line="360" w:lineRule="auto"/>
        <w:ind w:firstLine="709"/>
        <w:jc w:val="both"/>
        <w:rPr>
          <w:rFonts w:eastAsia="Arial" w:cs="Arial"/>
        </w:rPr>
      </w:pPr>
      <w:r w:rsidRPr="00DD20BE">
        <w:rPr>
          <w:rFonts w:eastAsia="Arial" w:cs="Arial"/>
        </w:rPr>
        <w:t xml:space="preserve">No que tange às dinâmicas culturais da Serra dos Tapes, autores como </w:t>
      </w:r>
      <w:r w:rsidR="0061439B">
        <w:rPr>
          <w:rFonts w:eastAsia="Arial" w:cs="Arial"/>
        </w:rPr>
        <w:t>Cerqueira</w:t>
      </w:r>
      <w:r w:rsidRPr="00DD20BE">
        <w:rPr>
          <w:rFonts w:eastAsia="Arial" w:cs="Arial"/>
        </w:rPr>
        <w:t xml:space="preserve"> (201</w:t>
      </w:r>
      <w:r w:rsidR="0061439B">
        <w:rPr>
          <w:rFonts w:eastAsia="Arial" w:cs="Arial"/>
        </w:rPr>
        <w:t>0</w:t>
      </w:r>
      <w:r w:rsidRPr="00DD20BE">
        <w:rPr>
          <w:rFonts w:eastAsia="Arial" w:cs="Arial"/>
        </w:rPr>
        <w:t xml:space="preserve">) e </w:t>
      </w:r>
      <w:proofErr w:type="spellStart"/>
      <w:r w:rsidRPr="00DD20BE">
        <w:rPr>
          <w:rFonts w:eastAsia="Arial" w:cs="Arial"/>
        </w:rPr>
        <w:t>Pesavento</w:t>
      </w:r>
      <w:proofErr w:type="spellEnd"/>
      <w:r w:rsidRPr="00DD20BE">
        <w:rPr>
          <w:rFonts w:eastAsia="Arial" w:cs="Arial"/>
        </w:rPr>
        <w:t xml:space="preserve"> (1999) destacam a pluralidade étnica que conforma o território. A região foi historicamente marcada pela presença de diversos grupos — como pomeranos, alemães, italianos e franceses — cujas tradições se entrelaçaram às práticas afro-brasileiras e indígenas, dando origem a uma paisagem cultural heterogênea. Contudo, como observa </w:t>
      </w:r>
      <w:proofErr w:type="spellStart"/>
      <w:r w:rsidRPr="00DD20BE">
        <w:rPr>
          <w:rFonts w:eastAsia="Arial" w:cs="Arial"/>
        </w:rPr>
        <w:t>Woortmann</w:t>
      </w:r>
      <w:proofErr w:type="spellEnd"/>
      <w:r w:rsidR="007F648A">
        <w:rPr>
          <w:rFonts w:eastAsia="Arial" w:cs="Arial"/>
        </w:rPr>
        <w:t xml:space="preserve"> e Wortmann</w:t>
      </w:r>
      <w:r w:rsidRPr="00DD20BE">
        <w:rPr>
          <w:rFonts w:eastAsia="Arial" w:cs="Arial"/>
        </w:rPr>
        <w:t xml:space="preserve"> (1997), essas interações não ocorreram de forma harmônica ou igualitária, mas sim por meio de disputas, acomodações e hierarquizações simbólicas.</w:t>
      </w:r>
      <w:r w:rsidR="00956A00">
        <w:rPr>
          <w:rFonts w:eastAsia="Arial" w:cs="Arial"/>
        </w:rPr>
        <w:t xml:space="preserve"> </w:t>
      </w:r>
      <w:r w:rsidRPr="00DD20BE">
        <w:rPr>
          <w:rFonts w:eastAsia="Arial" w:cs="Arial"/>
        </w:rPr>
        <w:t xml:space="preserve">Diante disso, os museus comunitários assumem um papel estratégico na valorização das memórias silenciadas. Nora (1993) conceitua os “lugares de memória” como espaços de cristalização simbólica onde o passado é reinterpretado e apropriado coletivamente. O Museu Histórico de Morro Redondo, ao </w:t>
      </w:r>
      <w:r w:rsidR="00B95C67">
        <w:rPr>
          <w:rFonts w:eastAsia="Arial" w:cs="Arial"/>
        </w:rPr>
        <w:t xml:space="preserve">tentar </w:t>
      </w:r>
      <w:r w:rsidRPr="00DD20BE">
        <w:rPr>
          <w:rFonts w:eastAsia="Arial" w:cs="Arial"/>
        </w:rPr>
        <w:t>incorporar a história da comunidade quilombola Vó Ernestina em seu acervo e</w:t>
      </w:r>
      <w:r w:rsidR="00B95C67">
        <w:rPr>
          <w:rFonts w:eastAsia="Arial" w:cs="Arial"/>
        </w:rPr>
        <w:t xml:space="preserve"> com</w:t>
      </w:r>
      <w:r w:rsidRPr="00DD20BE">
        <w:rPr>
          <w:rFonts w:eastAsia="Arial" w:cs="Arial"/>
        </w:rPr>
        <w:t xml:space="preserve"> ações educativas, transforma-se em um agente ativo de resistência cultural, contribuindo para o fortalecimento da identidade quilombola e para a democratização das narrativas históricas locais.</w:t>
      </w:r>
      <w:r>
        <w:rPr>
          <w:rFonts w:eastAsia="Arial" w:cs="Arial"/>
        </w:rPr>
        <w:t xml:space="preserve"> </w:t>
      </w:r>
      <w:r w:rsidRPr="00DD20BE">
        <w:rPr>
          <w:rFonts w:eastAsia="Arial" w:cs="Arial"/>
        </w:rPr>
        <w:t>Nesse entrelaçamento de práticas, memórias e resistências, o saber-fazer doceiro da comunidade quilombola emerge não apenas como atividade econômica, mas como elemento constituinte da identidade coletiva.</w:t>
      </w:r>
    </w:p>
    <w:p w14:paraId="77719F8B" w14:textId="77777777" w:rsidR="00EE278E" w:rsidRDefault="00EE278E" w:rsidP="0036057E">
      <w:pPr>
        <w:spacing w:line="360" w:lineRule="auto"/>
        <w:ind w:firstLine="709"/>
        <w:jc w:val="both"/>
        <w:rPr>
          <w:rFonts w:eastAsia="Arial" w:cs="Arial"/>
        </w:rPr>
      </w:pPr>
    </w:p>
    <w:p w14:paraId="41C8CE0E" w14:textId="6CEA828C" w:rsidR="0051108A" w:rsidRPr="00EE278E" w:rsidRDefault="00EE278E" w:rsidP="00B95C67">
      <w:pPr>
        <w:spacing w:line="360" w:lineRule="auto"/>
        <w:jc w:val="both"/>
        <w:rPr>
          <w:rFonts w:eastAsia="Arial" w:cs="Arial"/>
          <w:b/>
          <w:bCs/>
        </w:rPr>
      </w:pPr>
      <w:r w:rsidRPr="00EE278E">
        <w:rPr>
          <w:rFonts w:eastAsia="Arial" w:cs="Arial"/>
          <w:b/>
          <w:bCs/>
        </w:rPr>
        <w:t xml:space="preserve">METODOLOGIA </w:t>
      </w:r>
    </w:p>
    <w:p w14:paraId="6CD73882" w14:textId="56D9747C" w:rsidR="00EE278E" w:rsidRDefault="00BE77DA" w:rsidP="0064517D">
      <w:pPr>
        <w:spacing w:line="360" w:lineRule="auto"/>
        <w:ind w:firstLine="709"/>
        <w:jc w:val="both"/>
      </w:pPr>
      <w:r w:rsidRPr="00BE77DA">
        <w:rPr>
          <w:rFonts w:eastAsia="Arial" w:cs="Arial"/>
        </w:rPr>
        <w:t xml:space="preserve">As entrevistas </w:t>
      </w:r>
      <w:r w:rsidR="0064517D">
        <w:rPr>
          <w:rFonts w:eastAsia="Arial" w:cs="Arial"/>
        </w:rPr>
        <w:t xml:space="preserve">semiestruturadas </w:t>
      </w:r>
      <w:r w:rsidRPr="00BE77DA">
        <w:rPr>
          <w:rFonts w:eastAsia="Arial" w:cs="Arial"/>
        </w:rPr>
        <w:t xml:space="preserve">ocorreram </w:t>
      </w:r>
      <w:r w:rsidR="007F648A">
        <w:rPr>
          <w:rFonts w:eastAsia="Arial" w:cs="Arial"/>
        </w:rPr>
        <w:t>em</w:t>
      </w:r>
      <w:r w:rsidRPr="00BE77DA">
        <w:rPr>
          <w:rFonts w:eastAsia="Arial" w:cs="Arial"/>
        </w:rPr>
        <w:t xml:space="preserve"> janeiro de 2025, com dois sujeitos essenciais para a compreensão da realidade quilombola: o líder da comunidade Vó Ernestina e uma museóloga, mestre em Memória Social e </w:t>
      </w:r>
      <w:r w:rsidRPr="00BE77DA">
        <w:rPr>
          <w:rFonts w:eastAsia="Arial" w:cs="Arial"/>
        </w:rPr>
        <w:lastRenderedPageBreak/>
        <w:t>Patrimônio Cultural pela Universidade Federal de Pelotas. Ambos demonstraram profundo interesse em compartilhar suas vivências e os conhecimentos adquiridos ao longo dos anos.</w:t>
      </w:r>
      <w:r w:rsidR="002D7634" w:rsidRPr="002D7634">
        <w:t xml:space="preserve"> </w:t>
      </w:r>
    </w:p>
    <w:p w14:paraId="6579E301" w14:textId="77777777" w:rsidR="00EE278E" w:rsidRDefault="002D7634" w:rsidP="0064517D">
      <w:pPr>
        <w:spacing w:line="360" w:lineRule="auto"/>
        <w:ind w:firstLine="709"/>
        <w:jc w:val="both"/>
        <w:rPr>
          <w:rFonts w:eastAsia="Arial" w:cs="Arial"/>
        </w:rPr>
      </w:pPr>
      <w:r w:rsidRPr="002D7634">
        <w:rPr>
          <w:rFonts w:eastAsia="Arial" w:cs="Arial"/>
        </w:rPr>
        <w:t>As entrevistas, previamente autorizadas, seguiram um roteiro semiestruturado que abordou temas como história, identidade, territorialidade e cultura. No decorrer da conversa, esses assuntos emergiram de forma orgânica, conforme propõe Bosi (1994, p. 55), ao afirmar que a memória consiste em "refazer, reconstruir, repensar, com imagens e ideias de hoje, as experiências do passado”.</w:t>
      </w:r>
      <w:r w:rsidR="00956A00">
        <w:rPr>
          <w:rFonts w:eastAsia="Arial" w:cs="Arial"/>
        </w:rPr>
        <w:t xml:space="preserve"> </w:t>
      </w:r>
    </w:p>
    <w:p w14:paraId="08E3221C" w14:textId="179FB89B" w:rsidR="009A6981" w:rsidRDefault="00D0081B" w:rsidP="0064517D">
      <w:pPr>
        <w:spacing w:line="360" w:lineRule="auto"/>
        <w:ind w:firstLine="709"/>
        <w:jc w:val="both"/>
        <w:rPr>
          <w:rFonts w:eastAsia="Arial" w:cs="Arial"/>
        </w:rPr>
      </w:pPr>
      <w:r w:rsidRPr="00D0081B">
        <w:rPr>
          <w:rFonts w:eastAsia="Arial" w:cs="Arial"/>
        </w:rPr>
        <w:t>A análise dos relatos adotou uma abordagem qualitativa, com base na história oral. Conforme Garrido</w:t>
      </w:r>
      <w:r w:rsidR="0017588A">
        <w:rPr>
          <w:rFonts w:eastAsia="Arial" w:cs="Arial"/>
        </w:rPr>
        <w:t xml:space="preserve"> </w:t>
      </w:r>
      <w:r w:rsidR="00441D0F">
        <w:rPr>
          <w:rFonts w:eastAsia="Arial" w:cs="Arial"/>
        </w:rPr>
        <w:t>(1993)</w:t>
      </w:r>
      <w:r w:rsidRPr="00D0081B">
        <w:rPr>
          <w:rFonts w:eastAsia="Arial" w:cs="Arial"/>
        </w:rPr>
        <w:t>, essa metodologia permite resgatar as experiências vividas por sujeitos historicamente marginalizados, cuja contribuição para a história muitas vezes foi silenciada por não deixarem registros escritos</w:t>
      </w:r>
      <w:r w:rsidR="00F549DF">
        <w:rPr>
          <w:rFonts w:eastAsia="Arial" w:cs="Arial"/>
        </w:rPr>
        <w:t>.</w:t>
      </w:r>
    </w:p>
    <w:p w14:paraId="0B90084D" w14:textId="682DDD66" w:rsidR="006E1122" w:rsidRDefault="00F549DF" w:rsidP="00285F26">
      <w:pPr>
        <w:ind w:left="2268"/>
        <w:jc w:val="both"/>
        <w:rPr>
          <w:rFonts w:eastAsia="Arial" w:cs="Arial"/>
        </w:rPr>
      </w:pPr>
      <w:r>
        <w:rPr>
          <w:rFonts w:eastAsia="Arial" w:cs="Arial"/>
          <w:sz w:val="20"/>
          <w:szCs w:val="20"/>
        </w:rPr>
        <w:t>A</w:t>
      </w:r>
      <w:r w:rsidR="0051108A" w:rsidRPr="009A6981">
        <w:rPr>
          <w:rFonts w:eastAsia="Arial" w:cs="Arial"/>
          <w:sz w:val="20"/>
          <w:szCs w:val="20"/>
        </w:rPr>
        <w:t>s experiencias vividas por pessoas do povo – que foram deixadas de lado pela historiografia tradicional, entre outras razões, porque não produziram uma documentação escrita importante - sejam restituídas a um lugar da história que elas contribuíram para fazer</w:t>
      </w:r>
      <w:r w:rsidR="006E1122">
        <w:rPr>
          <w:rFonts w:eastAsia="Arial" w:cs="Arial"/>
          <w:sz w:val="20"/>
          <w:szCs w:val="20"/>
        </w:rPr>
        <w:t xml:space="preserve"> (G</w:t>
      </w:r>
      <w:r>
        <w:rPr>
          <w:rFonts w:eastAsia="Arial" w:cs="Arial"/>
          <w:sz w:val="20"/>
          <w:szCs w:val="20"/>
        </w:rPr>
        <w:t>arrido</w:t>
      </w:r>
      <w:r w:rsidR="006E1122">
        <w:rPr>
          <w:rFonts w:eastAsia="Arial" w:cs="Arial"/>
          <w:sz w:val="20"/>
          <w:szCs w:val="20"/>
        </w:rPr>
        <w:t>, 1993</w:t>
      </w:r>
      <w:r w:rsidR="00A55CB4">
        <w:rPr>
          <w:rFonts w:eastAsia="Arial" w:cs="Arial"/>
          <w:sz w:val="20"/>
          <w:szCs w:val="20"/>
        </w:rPr>
        <w:t xml:space="preserve">, </w:t>
      </w:r>
      <w:r>
        <w:rPr>
          <w:rFonts w:eastAsia="Arial" w:cs="Arial"/>
          <w:sz w:val="20"/>
          <w:szCs w:val="20"/>
        </w:rPr>
        <w:t>p</w:t>
      </w:r>
      <w:r w:rsidR="00A55CB4">
        <w:rPr>
          <w:rFonts w:eastAsia="Arial" w:cs="Arial"/>
          <w:sz w:val="20"/>
          <w:szCs w:val="20"/>
        </w:rPr>
        <w:t>.36).</w:t>
      </w:r>
    </w:p>
    <w:p w14:paraId="66B28E0C" w14:textId="77777777" w:rsidR="00EE278E" w:rsidRDefault="00D11518" w:rsidP="00F549DF">
      <w:pPr>
        <w:spacing w:line="360" w:lineRule="auto"/>
        <w:ind w:firstLine="709"/>
        <w:jc w:val="both"/>
        <w:rPr>
          <w:rFonts w:eastAsia="Arial" w:cs="Arial"/>
        </w:rPr>
      </w:pPr>
      <w:r w:rsidRPr="00D11518">
        <w:rPr>
          <w:rFonts w:eastAsia="Arial" w:cs="Arial"/>
        </w:rPr>
        <w:t xml:space="preserve">As entrevistas, gravadas e transcritas, foram analisadas com base na análise de conteúdo. Segundo Bardin (2011, p. 122-133), essa técnica se desenvolve em três fases: </w:t>
      </w:r>
      <w:proofErr w:type="spellStart"/>
      <w:r w:rsidRPr="00D11518">
        <w:rPr>
          <w:rFonts w:eastAsia="Arial" w:cs="Arial"/>
        </w:rPr>
        <w:t>pré-análise</w:t>
      </w:r>
      <w:proofErr w:type="spellEnd"/>
      <w:r w:rsidRPr="00D11518">
        <w:rPr>
          <w:rFonts w:eastAsia="Arial" w:cs="Arial"/>
        </w:rPr>
        <w:t>, exploração do material e tratamento dos resultados. Com base nesses princípios, foram identificados padrões temáticos recorrentes e relações significativas entre os relatos. Os dados também foram triangulados com fontes documentais e observações de campo.</w:t>
      </w:r>
      <w:r>
        <w:rPr>
          <w:rFonts w:eastAsia="Arial" w:cs="Arial"/>
        </w:rPr>
        <w:t xml:space="preserve"> </w:t>
      </w:r>
      <w:r w:rsidR="0051108A" w:rsidRPr="0051108A">
        <w:rPr>
          <w:rFonts w:eastAsia="Arial" w:cs="Arial"/>
        </w:rPr>
        <w:t>Além disso, a validação dos achados foi realizada através do compartilhamento das análises preliminares com os próprios entrevistados, garantindo que suas perspectivas fossem fielmente representadas.</w:t>
      </w:r>
      <w:r w:rsidR="0077548C">
        <w:rPr>
          <w:rFonts w:eastAsia="Arial" w:cs="Arial"/>
        </w:rPr>
        <w:t xml:space="preserve"> </w:t>
      </w:r>
    </w:p>
    <w:p w14:paraId="23103F78" w14:textId="7DC2E44B" w:rsidR="00285B59" w:rsidRDefault="00285B59" w:rsidP="00F549DF">
      <w:pPr>
        <w:spacing w:line="360" w:lineRule="auto"/>
        <w:ind w:firstLine="709"/>
        <w:jc w:val="both"/>
        <w:rPr>
          <w:rFonts w:eastAsia="Arial" w:cs="Arial"/>
        </w:rPr>
      </w:pPr>
      <w:r w:rsidRPr="00285B59">
        <w:rPr>
          <w:rFonts w:eastAsia="Arial" w:cs="Arial"/>
        </w:rPr>
        <w:t xml:space="preserve">Como destaca </w:t>
      </w:r>
      <w:r w:rsidR="00331583" w:rsidRPr="00331583">
        <w:rPr>
          <w:rFonts w:eastAsia="Arial" w:cs="Arial"/>
        </w:rPr>
        <w:t>M</w:t>
      </w:r>
      <w:r w:rsidR="00331583">
        <w:rPr>
          <w:rFonts w:eastAsia="Arial" w:cs="Arial"/>
        </w:rPr>
        <w:t>oreira</w:t>
      </w:r>
      <w:r w:rsidRPr="00285B59">
        <w:rPr>
          <w:rFonts w:eastAsia="Arial" w:cs="Arial"/>
        </w:rPr>
        <w:t xml:space="preserve"> (</w:t>
      </w:r>
      <w:r w:rsidR="00331583">
        <w:rPr>
          <w:rFonts w:eastAsia="Arial" w:cs="Arial"/>
        </w:rPr>
        <w:t>2005</w:t>
      </w:r>
      <w:r w:rsidRPr="00285B59">
        <w:rPr>
          <w:rFonts w:eastAsia="Arial" w:cs="Arial"/>
        </w:rPr>
        <w:t xml:space="preserve">), a memória é uma reconstrução psíquica e intelectual que expressa uma representação seletiva do passado — construída </w:t>
      </w:r>
      <w:r w:rsidRPr="00285B59">
        <w:rPr>
          <w:rFonts w:eastAsia="Arial" w:cs="Arial"/>
        </w:rPr>
        <w:lastRenderedPageBreak/>
        <w:t>não apenas pelo indivíduo, mas por ele inserido em contextos familiares, sociais e nacionais. Nessa perspectiva, o método histórico se torna essencial para compreender como eventos e instituições do passado moldaram a sociedade contemporânea. Conforme Lakatos e Marconi (2007, p. 107), “as instituições alcançaram sua forma atual através de alterações de suas partes componentes, ao longo do tempo, influenciadas pelo contexto cultural particular de cada época”.</w:t>
      </w:r>
    </w:p>
    <w:p w14:paraId="05FAC0B5" w14:textId="77777777" w:rsidR="00EE278E" w:rsidRPr="00285B59" w:rsidRDefault="00EE278E" w:rsidP="00F549DF">
      <w:pPr>
        <w:spacing w:line="360" w:lineRule="auto"/>
        <w:ind w:firstLine="709"/>
        <w:jc w:val="both"/>
        <w:rPr>
          <w:rFonts w:eastAsia="Arial" w:cs="Arial"/>
        </w:rPr>
      </w:pPr>
    </w:p>
    <w:p w14:paraId="5332CF89" w14:textId="39352544" w:rsidR="0051108A" w:rsidRPr="00EE278E" w:rsidRDefault="00EE278E" w:rsidP="0051108A">
      <w:pPr>
        <w:spacing w:line="360" w:lineRule="auto"/>
        <w:jc w:val="both"/>
        <w:rPr>
          <w:rFonts w:eastAsia="Arial" w:cs="Arial"/>
          <w:b/>
          <w:bCs/>
        </w:rPr>
      </w:pPr>
      <w:r w:rsidRPr="00EE278E">
        <w:rPr>
          <w:rFonts w:eastAsia="Arial" w:cs="Arial"/>
          <w:b/>
          <w:bCs/>
        </w:rPr>
        <w:t>RESULTADOS</w:t>
      </w:r>
    </w:p>
    <w:p w14:paraId="1F917A79" w14:textId="2B14367F" w:rsidR="00EE278E" w:rsidRDefault="0051108A" w:rsidP="0039720E">
      <w:pPr>
        <w:spacing w:line="360" w:lineRule="auto"/>
        <w:ind w:firstLine="709"/>
        <w:jc w:val="both"/>
        <w:rPr>
          <w:rFonts w:eastAsia="Arial" w:cs="Arial"/>
        </w:rPr>
      </w:pPr>
      <w:r w:rsidRPr="0051108A">
        <w:rPr>
          <w:rFonts w:eastAsia="Arial" w:cs="Arial"/>
        </w:rPr>
        <w:t>Co</w:t>
      </w:r>
      <w:r w:rsidR="001229BD">
        <w:rPr>
          <w:rFonts w:eastAsia="Arial" w:cs="Arial"/>
        </w:rPr>
        <w:t>nforme</w:t>
      </w:r>
      <w:r w:rsidRPr="0051108A">
        <w:rPr>
          <w:rFonts w:eastAsia="Arial" w:cs="Arial"/>
        </w:rPr>
        <w:t xml:space="preserve"> relatos</w:t>
      </w:r>
      <w:r w:rsidR="001D236F">
        <w:rPr>
          <w:rFonts w:eastAsia="Arial" w:cs="Arial"/>
        </w:rPr>
        <w:t xml:space="preserve"> dos entrevistados</w:t>
      </w:r>
      <w:r w:rsidRPr="0051108A">
        <w:rPr>
          <w:rFonts w:eastAsia="Arial" w:cs="Arial"/>
        </w:rPr>
        <w:t>, a luta pelo reconhecimento territorial está diretamente ligada à afirmação da identidade quilombola, indo além da posse da terra para abranger também a valorização dos modos de vida e das práticas culturais transmitidas de geração em geração. Além disso, o estudo evid</w:t>
      </w:r>
      <w:r w:rsidR="00025AF8">
        <w:rPr>
          <w:rFonts w:eastAsia="Arial" w:cs="Arial"/>
        </w:rPr>
        <w:t>ê</w:t>
      </w:r>
      <w:r w:rsidRPr="0051108A">
        <w:rPr>
          <w:rFonts w:eastAsia="Arial" w:cs="Arial"/>
        </w:rPr>
        <w:t>ncia</w:t>
      </w:r>
      <w:r w:rsidR="00025AF8">
        <w:rPr>
          <w:rFonts w:eastAsia="Arial" w:cs="Arial"/>
        </w:rPr>
        <w:t xml:space="preserve"> </w:t>
      </w:r>
      <w:r w:rsidRPr="0051108A">
        <w:rPr>
          <w:rFonts w:eastAsia="Arial" w:cs="Arial"/>
        </w:rPr>
        <w:t>como a patrimonialização dos saberes quilombolas ainda enfrenta desafios, especialmente no que diz respeito à inserção dessas narrativas nos espaços de representação cultural.</w:t>
      </w:r>
    </w:p>
    <w:p w14:paraId="35DE9A0D" w14:textId="0E32267A" w:rsidR="00EE278E" w:rsidRDefault="0051108A" w:rsidP="0039720E">
      <w:pPr>
        <w:spacing w:line="360" w:lineRule="auto"/>
        <w:ind w:firstLine="709"/>
        <w:jc w:val="both"/>
        <w:rPr>
          <w:rFonts w:eastAsia="Arial" w:cs="Arial"/>
        </w:rPr>
      </w:pPr>
      <w:r w:rsidRPr="0051108A">
        <w:rPr>
          <w:rFonts w:eastAsia="Arial" w:cs="Arial"/>
        </w:rPr>
        <w:t>O acesso à terra não apenas molda a dinâmica econômica da região, mas também reforça estruturas sociais de dependência no contexto rural contemporâneo. Esses percursos históricos divergentes se refletem no presente, especialmente no fato de que, algumas comunidades quilombolas sejam reconhecidas como remanescentes de quilombo</w:t>
      </w:r>
      <w:r w:rsidR="00420B2F">
        <w:rPr>
          <w:rStyle w:val="FootnoteReference"/>
          <w:rFonts w:eastAsia="Arial" w:cs="Arial"/>
        </w:rPr>
        <w:footnoteReference w:id="4"/>
      </w:r>
      <w:r w:rsidRPr="0051108A">
        <w:rPr>
          <w:rFonts w:eastAsia="Arial" w:cs="Arial"/>
        </w:rPr>
        <w:t>.</w:t>
      </w:r>
      <w:r w:rsidR="00ED0705">
        <w:rPr>
          <w:rFonts w:eastAsia="Arial" w:cs="Arial"/>
        </w:rPr>
        <w:t xml:space="preserve"> </w:t>
      </w:r>
      <w:r w:rsidRPr="0051108A">
        <w:rPr>
          <w:rFonts w:eastAsia="Arial" w:cs="Arial"/>
        </w:rPr>
        <w:t xml:space="preserve">Este termo “remanescente de quilombo” foi ampliado para além de um conceito territorial, adquirindo uma perspectiva étnico-cultural que permite os saberes e fazeres das comunidades em sua relação ancestral com a terra. Essa </w:t>
      </w:r>
      <w:r w:rsidRPr="0051108A">
        <w:rPr>
          <w:rFonts w:eastAsia="Arial" w:cs="Arial"/>
        </w:rPr>
        <w:lastRenderedPageBreak/>
        <w:t xml:space="preserve">abordagem legitima as reivindicações por reconhecimento, valorizando as práticas culturais e os modos de vida que sustentam a identidade quilombola. </w:t>
      </w:r>
    </w:p>
    <w:p w14:paraId="294F427D" w14:textId="77777777" w:rsidR="00EE278E" w:rsidRDefault="0051108A" w:rsidP="0039720E">
      <w:pPr>
        <w:spacing w:line="360" w:lineRule="auto"/>
        <w:ind w:firstLine="709"/>
        <w:jc w:val="both"/>
        <w:rPr>
          <w:rFonts w:eastAsia="Arial" w:cs="Arial"/>
        </w:rPr>
      </w:pPr>
      <w:r w:rsidRPr="0051108A">
        <w:rPr>
          <w:rFonts w:eastAsia="Arial" w:cs="Arial"/>
        </w:rPr>
        <w:t>Segundo O'Dwyer (20</w:t>
      </w:r>
      <w:r w:rsidR="00A53E4F">
        <w:rPr>
          <w:rFonts w:eastAsia="Arial" w:cs="Arial"/>
        </w:rPr>
        <w:t>02</w:t>
      </w:r>
      <w:r w:rsidRPr="0051108A">
        <w:rPr>
          <w:rFonts w:eastAsia="Arial" w:cs="Arial"/>
        </w:rPr>
        <w:t xml:space="preserve">), essa perspectiva considera que o pertencimento quilombola vai além da ancestralidade física, englobando também as práticas simbólicas, culturais e sociais que conectam os membros da comunidade ao território e entre si. Nesse sentido, a legitimidade do reconhecimento étnico-cultural reforça não apenas a luta por terras, mas também a preservação de um patrimônio cultural imaterial, essencial para a </w:t>
      </w:r>
      <w:r w:rsidRPr="0039720E">
        <w:rPr>
          <w:rFonts w:eastAsia="Arial" w:cs="Arial"/>
        </w:rPr>
        <w:t>manutenção das identidades quilombolas. Como se observa no relato da Museóloga</w:t>
      </w:r>
      <w:r w:rsidR="0039720E" w:rsidRPr="0039720E">
        <w:rPr>
          <w:rFonts w:eastAsia="Arial" w:cs="Arial"/>
        </w:rPr>
        <w:t>,</w:t>
      </w:r>
      <w:r w:rsidRPr="0039720E">
        <w:rPr>
          <w:rFonts w:eastAsia="Arial" w:cs="Arial"/>
        </w:rPr>
        <w:t xml:space="preserve"> “Quando você fala do processo de criação, você remonta a época por exemplo do governo Lula em 2003, que foi justamente a época da fundação Palmares deu seus primeiros passos rumo a esse reconhecimento do Quilombo enquanto a algo institucional” (Dados da entrevista, 2025).</w:t>
      </w:r>
      <w:r w:rsidR="00956A00">
        <w:rPr>
          <w:rFonts w:eastAsia="Arial" w:cs="Arial"/>
        </w:rPr>
        <w:t xml:space="preserve"> </w:t>
      </w:r>
    </w:p>
    <w:p w14:paraId="54CAF121" w14:textId="4AA36775" w:rsidR="00EE278E" w:rsidRDefault="00873B12" w:rsidP="0039720E">
      <w:pPr>
        <w:spacing w:line="360" w:lineRule="auto"/>
        <w:ind w:firstLine="709"/>
        <w:jc w:val="both"/>
        <w:rPr>
          <w:rFonts w:eastAsia="Arial" w:cs="Arial"/>
        </w:rPr>
      </w:pPr>
      <w:r w:rsidRPr="00873B12">
        <w:rPr>
          <w:rFonts w:eastAsia="Arial" w:cs="Arial"/>
        </w:rPr>
        <w:t>Esse processo de criação do Quilombo Vó Ernestina só foi reconhecido anos após a própria fundação do município de Morro Redondo. A colonização da Serra dos Tapes resultou em uma dinâmica sociocultural complexa, marcada pela interação entre diferentes grupos étnicos que ocuparam a região ao longo dos séculos. Essa ocupação diversificada contribuiu para a constituição de um espaço caracterizado pela convivência de distintas tradições culturais, linguísticas e produtivas (</w:t>
      </w:r>
      <w:r w:rsidR="0061439B">
        <w:rPr>
          <w:rFonts w:eastAsia="Arial" w:cs="Arial"/>
        </w:rPr>
        <w:t>Cerqueira</w:t>
      </w:r>
      <w:r w:rsidRPr="00873B12">
        <w:rPr>
          <w:rFonts w:eastAsia="Arial" w:cs="Arial"/>
        </w:rPr>
        <w:t>, 201</w:t>
      </w:r>
      <w:r w:rsidR="0061439B">
        <w:rPr>
          <w:rFonts w:eastAsia="Arial" w:cs="Arial"/>
        </w:rPr>
        <w:t>0</w:t>
      </w:r>
      <w:r w:rsidRPr="00873B12">
        <w:rPr>
          <w:rFonts w:eastAsia="Arial" w:cs="Arial"/>
        </w:rPr>
        <w:t xml:space="preserve">). Registros históricos indicam que os pomeranos foram incentivados a ocupar essa área por meio de políticas estatais de colonização, recebendo terras para ali se estabelecerem. Em contraste, as comunidades quilombolas formaram-se a partir da resistência ao sistema escravista, anterior à chegada dos pomeranos. Esse antagonismo revela relações profundamente distintas com a terra. Enquanto pomeranos e outros colonos — como descendentes de alemães, italianos e franceses — se fixaram em pequenas propriedades agrícolas, os quilombolas permaneceram, por muito tempo, sem acesso formal à terra, muitas vezes inseridos em relações </w:t>
      </w:r>
      <w:r w:rsidRPr="00873B12">
        <w:rPr>
          <w:rFonts w:eastAsia="Arial" w:cs="Arial"/>
        </w:rPr>
        <w:lastRenderedPageBreak/>
        <w:t>clientelistas e desempenhando funções como diaristas nas propriedades desses colonos (</w:t>
      </w:r>
      <w:proofErr w:type="spellStart"/>
      <w:r w:rsidRPr="00873B12">
        <w:rPr>
          <w:rFonts w:eastAsia="Arial" w:cs="Arial"/>
        </w:rPr>
        <w:t>S</w:t>
      </w:r>
      <w:r w:rsidR="00331583">
        <w:rPr>
          <w:rFonts w:eastAsia="Arial" w:cs="Arial"/>
        </w:rPr>
        <w:t>abourin</w:t>
      </w:r>
      <w:proofErr w:type="spellEnd"/>
      <w:r w:rsidRPr="00873B12">
        <w:rPr>
          <w:rFonts w:eastAsia="Arial" w:cs="Arial"/>
        </w:rPr>
        <w:t>, 20</w:t>
      </w:r>
      <w:r w:rsidR="00331583">
        <w:rPr>
          <w:rFonts w:eastAsia="Arial" w:cs="Arial"/>
        </w:rPr>
        <w:t>20</w:t>
      </w:r>
      <w:r w:rsidRPr="00873B12">
        <w:rPr>
          <w:rFonts w:eastAsia="Arial" w:cs="Arial"/>
        </w:rPr>
        <w:t>).</w:t>
      </w:r>
      <w:r w:rsidR="00DD20BE">
        <w:rPr>
          <w:rFonts w:eastAsia="Arial" w:cs="Arial"/>
        </w:rPr>
        <w:t xml:space="preserve"> </w:t>
      </w:r>
    </w:p>
    <w:p w14:paraId="2F6F8408" w14:textId="4F0DE09A" w:rsidR="0051108A" w:rsidRPr="0051108A" w:rsidRDefault="0051108A" w:rsidP="0039720E">
      <w:pPr>
        <w:spacing w:line="360" w:lineRule="auto"/>
        <w:ind w:firstLine="709"/>
        <w:jc w:val="both"/>
        <w:rPr>
          <w:rFonts w:eastAsia="Arial" w:cs="Arial"/>
        </w:rPr>
      </w:pPr>
      <w:r w:rsidRPr="0051108A">
        <w:rPr>
          <w:rFonts w:eastAsia="Arial" w:cs="Arial"/>
        </w:rPr>
        <w:t xml:space="preserve">Como argumenta </w:t>
      </w:r>
      <w:proofErr w:type="spellStart"/>
      <w:r w:rsidRPr="0051108A">
        <w:rPr>
          <w:rFonts w:eastAsia="Arial" w:cs="Arial"/>
        </w:rPr>
        <w:t>Pesavento</w:t>
      </w:r>
      <w:proofErr w:type="spellEnd"/>
      <w:r w:rsidRPr="0051108A">
        <w:rPr>
          <w:rFonts w:eastAsia="Arial" w:cs="Arial"/>
        </w:rPr>
        <w:t xml:space="preserve"> (1999), a identidade regional se constrói a partir dessas trocas e adaptações, nas quais a memória e as práticas cotidianas dos grupos imigrantes e locais se entrelaçam. Essa diversidade étnica da Serra dos Tapes reflete um fenômeno mais amplo de mestiçagem cultural, no qual os diferentes grupos sociais negociam suas identidades em um processo contínuo de ressignificação. </w:t>
      </w:r>
      <w:r w:rsidR="002B5595">
        <w:rPr>
          <w:rFonts w:eastAsia="Arial" w:cs="Arial"/>
        </w:rPr>
        <w:t>Pois</w:t>
      </w:r>
      <w:r w:rsidR="00AA5FFA">
        <w:rPr>
          <w:rFonts w:eastAsia="Arial" w:cs="Arial"/>
        </w:rPr>
        <w:t xml:space="preserve"> </w:t>
      </w:r>
      <w:r w:rsidR="00C97470">
        <w:rPr>
          <w:rFonts w:eastAsia="Arial" w:cs="Arial"/>
        </w:rPr>
        <w:t xml:space="preserve">esta ocupação territorial no Brasil não se dá </w:t>
      </w:r>
      <w:r w:rsidR="00DF0422">
        <w:rPr>
          <w:rFonts w:eastAsia="Arial" w:cs="Arial"/>
        </w:rPr>
        <w:t xml:space="preserve">de uma forma homogênea, </w:t>
      </w:r>
      <w:r w:rsidR="00D671AF">
        <w:rPr>
          <w:rFonts w:eastAsia="Arial" w:cs="Arial"/>
        </w:rPr>
        <w:t xml:space="preserve">mas </w:t>
      </w:r>
      <w:r w:rsidR="00D671AF" w:rsidRPr="0051108A">
        <w:rPr>
          <w:rFonts w:eastAsia="Arial" w:cs="Arial"/>
        </w:rPr>
        <w:t>por meio de disputas e acomodações que envolvem fatores históricos, econômicos e simbólicos</w:t>
      </w:r>
      <w:r w:rsidR="00D671AF" w:rsidRPr="00D671AF">
        <w:rPr>
          <w:rFonts w:eastAsia="Arial" w:cs="Arial"/>
        </w:rPr>
        <w:t xml:space="preserve"> </w:t>
      </w:r>
      <w:r w:rsidR="00D671AF">
        <w:rPr>
          <w:rFonts w:eastAsia="Arial" w:cs="Arial"/>
        </w:rPr>
        <w:t>(</w:t>
      </w:r>
      <w:r w:rsidR="00D671AF" w:rsidRPr="0051108A">
        <w:rPr>
          <w:rFonts w:eastAsia="Arial" w:cs="Arial"/>
        </w:rPr>
        <w:t>W</w:t>
      </w:r>
      <w:r w:rsidR="0039720E">
        <w:rPr>
          <w:rFonts w:eastAsia="Arial" w:cs="Arial"/>
        </w:rPr>
        <w:t>oortmann</w:t>
      </w:r>
      <w:r w:rsidR="00D671AF">
        <w:rPr>
          <w:rFonts w:eastAsia="Arial" w:cs="Arial"/>
        </w:rPr>
        <w:t>,</w:t>
      </w:r>
      <w:r w:rsidR="00D671AF" w:rsidRPr="0051108A">
        <w:rPr>
          <w:rFonts w:eastAsia="Arial" w:cs="Arial"/>
        </w:rPr>
        <w:t>199</w:t>
      </w:r>
      <w:r w:rsidR="007612B9">
        <w:rPr>
          <w:rFonts w:eastAsia="Arial" w:cs="Arial"/>
        </w:rPr>
        <w:t>7</w:t>
      </w:r>
      <w:r w:rsidR="00C54E5F">
        <w:rPr>
          <w:rFonts w:eastAsia="Arial" w:cs="Arial"/>
        </w:rPr>
        <w:t>).</w:t>
      </w:r>
      <w:r w:rsidR="00C54E5F" w:rsidRPr="00C54E5F">
        <w:t xml:space="preserve"> </w:t>
      </w:r>
      <w:r w:rsidR="00C54E5F" w:rsidRPr="00C54E5F">
        <w:rPr>
          <w:rFonts w:eastAsia="Arial" w:cs="Arial"/>
        </w:rPr>
        <w:t>No caso específico da Serra dos Tapes, essa multiplicidade de atores resultou em uma paisagem cultural única, onde elementos da tradição europeia, africana e indígena se mesclam na organização do território e nas práticas socioculturais que marcam a região até os dias atuais (</w:t>
      </w:r>
      <w:r w:rsidR="0061439B">
        <w:rPr>
          <w:rFonts w:eastAsia="Arial" w:cs="Arial"/>
        </w:rPr>
        <w:t>Cerqueira</w:t>
      </w:r>
      <w:r w:rsidR="00C54E5F" w:rsidRPr="00C54E5F">
        <w:rPr>
          <w:rFonts w:eastAsia="Arial" w:cs="Arial"/>
        </w:rPr>
        <w:t>, 201</w:t>
      </w:r>
      <w:r w:rsidR="0061439B">
        <w:rPr>
          <w:rFonts w:eastAsia="Arial" w:cs="Arial"/>
        </w:rPr>
        <w:t>0</w:t>
      </w:r>
      <w:r w:rsidR="00C54E5F" w:rsidRPr="00C54E5F">
        <w:rPr>
          <w:rFonts w:eastAsia="Arial" w:cs="Arial"/>
        </w:rPr>
        <w:t>)</w:t>
      </w:r>
      <w:r w:rsidR="00C54E5F">
        <w:rPr>
          <w:rFonts w:eastAsia="Arial" w:cs="Arial"/>
        </w:rPr>
        <w:t xml:space="preserve">, </w:t>
      </w:r>
      <w:r w:rsidR="003A49A9">
        <w:rPr>
          <w:rFonts w:eastAsia="Arial" w:cs="Arial"/>
        </w:rPr>
        <w:t>se</w:t>
      </w:r>
      <w:r w:rsidR="00812203" w:rsidRPr="00812203">
        <w:rPr>
          <w:rFonts w:eastAsia="Arial" w:cs="Arial"/>
        </w:rPr>
        <w:t>us saberes foram sistematicamente desvalorizados ao longo da história, muitas vezes interpretados sob uma ótica etnocêntrica que desconsidera a riqueza e a legitimidade das expressões culturais afro-brasileiras.</w:t>
      </w:r>
      <w:r w:rsidR="00812203" w:rsidRPr="0051108A">
        <w:rPr>
          <w:rFonts w:eastAsia="Arial" w:cs="Arial"/>
        </w:rPr>
        <w:t xml:space="preserve"> </w:t>
      </w:r>
    </w:p>
    <w:p w14:paraId="6428E2C6" w14:textId="4011E03E" w:rsidR="0051108A" w:rsidRPr="0051108A" w:rsidRDefault="0051108A" w:rsidP="00FC59E7">
      <w:pPr>
        <w:ind w:left="2268"/>
        <w:jc w:val="both"/>
        <w:rPr>
          <w:rFonts w:eastAsia="Arial" w:cs="Arial"/>
          <w:sz w:val="20"/>
          <w:szCs w:val="20"/>
        </w:rPr>
      </w:pPr>
      <w:r w:rsidRPr="0051108A">
        <w:rPr>
          <w:rFonts w:eastAsia="Arial" w:cs="Arial"/>
          <w:sz w:val="20"/>
          <w:szCs w:val="20"/>
        </w:rPr>
        <w:t>A maior dificuldade aqui é que entra o evangelismo aqui dentro, nós temos comunidades aqui do lado, você viu que tem uma placa de culto Quilombola logo ali adiante? E que fazem culto aqui? Então o que eles fazem!? Eles pegam e fazem o comentário: - Não! Vocês têm que vir pra igreja porque batuque é do diabo! Porque quilombola são do batuque onde tem terreira, porque são isso ou aquilo</w:t>
      </w:r>
      <w:r w:rsidR="0055658C">
        <w:rPr>
          <w:rFonts w:eastAsia="Arial" w:cs="Arial"/>
          <w:sz w:val="20"/>
          <w:szCs w:val="20"/>
        </w:rPr>
        <w:t>!</w:t>
      </w:r>
      <w:r w:rsidRPr="0051108A">
        <w:rPr>
          <w:rFonts w:eastAsia="Arial" w:cs="Arial"/>
          <w:sz w:val="20"/>
          <w:szCs w:val="20"/>
        </w:rPr>
        <w:t xml:space="preserve"> Aqui tem muita igreja evangélica, [...] e não é! Cada um tem sua própria história!</w:t>
      </w:r>
      <w:r w:rsidR="0039720E">
        <w:rPr>
          <w:rFonts w:eastAsia="Arial" w:cs="Arial"/>
          <w:sz w:val="20"/>
          <w:szCs w:val="20"/>
        </w:rPr>
        <w:t xml:space="preserve"> </w:t>
      </w:r>
      <w:r w:rsidRPr="0051108A">
        <w:rPr>
          <w:rFonts w:eastAsia="Arial" w:cs="Arial"/>
          <w:sz w:val="20"/>
          <w:szCs w:val="20"/>
        </w:rPr>
        <w:t>(Dados da Entrevista, 2025).</w:t>
      </w:r>
    </w:p>
    <w:p w14:paraId="10DF9CE2" w14:textId="2338BC03" w:rsidR="006D6830" w:rsidRDefault="002252C1" w:rsidP="00830EB6">
      <w:pPr>
        <w:spacing w:line="360" w:lineRule="auto"/>
        <w:ind w:firstLine="709"/>
        <w:jc w:val="both"/>
        <w:rPr>
          <w:rFonts w:eastAsia="Arial" w:cs="Arial"/>
        </w:rPr>
      </w:pPr>
      <w:r w:rsidRPr="002252C1">
        <w:rPr>
          <w:rFonts w:eastAsia="Arial" w:cs="Arial"/>
        </w:rPr>
        <w:t>A história do Quilombo Vó Ernestina revela que o direito à terra se entrelaça a um processo mais amplo de reconhecimento identitário, onde práticas culturais, simbólicas e sociais garantem a continuidade da vida comunitária quilombola. Como aponta O'Dwyer (20</w:t>
      </w:r>
      <w:r w:rsidR="00A53E4F">
        <w:rPr>
          <w:rFonts w:eastAsia="Arial" w:cs="Arial"/>
        </w:rPr>
        <w:t>02</w:t>
      </w:r>
      <w:r w:rsidRPr="002252C1">
        <w:rPr>
          <w:rFonts w:eastAsia="Arial" w:cs="Arial"/>
        </w:rPr>
        <w:t xml:space="preserve">), a territorialidade quilombola transcende a posse fundiária, sendo expressão viva de um patrimônio imaterial. No contexto da Serra dos Tapes, marcada pela diversidade étnica e cultural, esses elementos compõem uma paisagem plural construída </w:t>
      </w:r>
      <w:r w:rsidRPr="002252C1">
        <w:rPr>
          <w:rFonts w:eastAsia="Arial" w:cs="Arial"/>
        </w:rPr>
        <w:lastRenderedPageBreak/>
        <w:t>por disputas e ressignificações, cujo entendimento é essencial para o fortalecimento das identidades e a preservação da memória coletiva.</w:t>
      </w:r>
    </w:p>
    <w:p w14:paraId="4E84A699" w14:textId="6D708D62" w:rsidR="00EE278E" w:rsidRDefault="00443FE5" w:rsidP="00830EB6">
      <w:pPr>
        <w:spacing w:line="360" w:lineRule="auto"/>
        <w:ind w:firstLine="709"/>
        <w:jc w:val="both"/>
        <w:rPr>
          <w:rFonts w:eastAsia="Arial" w:cs="Arial"/>
        </w:rPr>
      </w:pPr>
      <w:r w:rsidRPr="00443FE5">
        <w:rPr>
          <w:rFonts w:eastAsia="Arial" w:cs="Arial"/>
        </w:rPr>
        <w:t>O reconhecimento formal das terras quilombolas no Brasil ganhou força com a promulgação da Constituição Federal de 1988, que representou um marco jurídico e político fundamental na luta por justiça social e reparação histórica. O artigo 68 do Ato das Disposições Constitucionais Transitórias reconheceu às comunidades remanescentes de quilombos o direito à propriedade definitiva das terras que tradicionalmente ocupam. Tal reconhecimento desencadeou um processo contínuo de reivindicação e organização coletiva por parte dessas comunidades em todo o país</w:t>
      </w:r>
      <w:r w:rsidR="00E50178">
        <w:rPr>
          <w:rFonts w:eastAsia="Arial" w:cs="Arial"/>
        </w:rPr>
        <w:t xml:space="preserve">, que enfrentam obstáculos quanto </w:t>
      </w:r>
      <w:r w:rsidR="00E56644" w:rsidRPr="003871F3">
        <w:rPr>
          <w:rFonts w:eastAsia="Arial" w:cs="Arial"/>
        </w:rPr>
        <w:t>à</w:t>
      </w:r>
      <w:r w:rsidR="00E50178">
        <w:rPr>
          <w:rFonts w:eastAsia="Arial" w:cs="Arial"/>
        </w:rPr>
        <w:t xml:space="preserve"> burocracia excessiva e a morosidade nos encaminhamentos. </w:t>
      </w:r>
    </w:p>
    <w:p w14:paraId="338EB699" w14:textId="77777777" w:rsidR="00EE278E" w:rsidRDefault="00443FE5" w:rsidP="00830EB6">
      <w:pPr>
        <w:spacing w:line="360" w:lineRule="auto"/>
        <w:ind w:firstLine="709"/>
        <w:jc w:val="both"/>
        <w:rPr>
          <w:rFonts w:eastAsia="Arial" w:cs="Arial"/>
        </w:rPr>
      </w:pPr>
      <w:r w:rsidRPr="00443FE5">
        <w:rPr>
          <w:rFonts w:eastAsia="Arial" w:cs="Arial"/>
        </w:rPr>
        <w:t xml:space="preserve">Esses entraves jurídicos e políticos evidenciam que o acesso à terra por parte das comunidades quilombolas não se resume a uma questão legal. Trata-se de um direito ancestral, cuja negação histórica resultou em desigualdades estruturais que persistem até os dias atuais. </w:t>
      </w:r>
      <w:r w:rsidR="000111FF" w:rsidRPr="000111FF">
        <w:rPr>
          <w:rFonts w:eastAsia="Arial" w:cs="Arial"/>
        </w:rPr>
        <w:t>Como argumenta O'Dwyer (2002), a titulação dos territórios quilombolas vai além de um simples reconhecimento jurídico; ela representa uma estratégia política de afirmação identitária, de combate ao racismo estrutural e de reparação histórica frente às desigualdades impostas às populações negras no Brasil rural.</w:t>
      </w:r>
      <w:r w:rsidR="00956A00">
        <w:rPr>
          <w:rFonts w:eastAsia="Arial" w:cs="Arial"/>
        </w:rPr>
        <w:t xml:space="preserve"> </w:t>
      </w:r>
    </w:p>
    <w:p w14:paraId="0FC23429" w14:textId="51F8096F" w:rsidR="00443FE5" w:rsidRPr="00443FE5" w:rsidRDefault="00443FE5" w:rsidP="00830EB6">
      <w:pPr>
        <w:spacing w:line="360" w:lineRule="auto"/>
        <w:ind w:firstLine="709"/>
        <w:jc w:val="both"/>
        <w:rPr>
          <w:rFonts w:eastAsia="Arial" w:cs="Arial"/>
        </w:rPr>
      </w:pPr>
      <w:r w:rsidRPr="00443FE5">
        <w:rPr>
          <w:rFonts w:eastAsia="Arial" w:cs="Arial"/>
        </w:rPr>
        <w:t>O processo de formalização do Quilombo Vó Ernestina, por exemplo, só foi impulsionado após ações organizadas pela própria comunidade, com o apoio de lideranças locais e de instituições como o INCRA e a UFPel. Segundo relatos do líder comunitário, o movimento de reconhecimento surgiu a partir da mobilização entre familiares e lideranças locais:</w:t>
      </w:r>
    </w:p>
    <w:p w14:paraId="48E5458E" w14:textId="630D2C70" w:rsidR="00443FE5" w:rsidRPr="00457A2D" w:rsidRDefault="00443FE5" w:rsidP="00457A2D">
      <w:pPr>
        <w:ind w:left="2268"/>
        <w:jc w:val="both"/>
        <w:rPr>
          <w:rFonts w:eastAsia="Arial" w:cs="Arial"/>
          <w:sz w:val="20"/>
          <w:szCs w:val="20"/>
        </w:rPr>
      </w:pPr>
      <w:r w:rsidRPr="00457A2D">
        <w:rPr>
          <w:rFonts w:eastAsia="Arial" w:cs="Arial"/>
          <w:sz w:val="20"/>
          <w:szCs w:val="20"/>
        </w:rPr>
        <w:t xml:space="preserve">Na verdade, o Quilombo começou pelo meu irmão Florêncio G. B. e a professora Lúcia. A gente pedia uma sala no salão para se reunir... Eu era presidente do Sindicato dos </w:t>
      </w:r>
      <w:proofErr w:type="spellStart"/>
      <w:r w:rsidRPr="00457A2D">
        <w:rPr>
          <w:rFonts w:eastAsia="Arial" w:cs="Arial"/>
          <w:sz w:val="20"/>
          <w:szCs w:val="20"/>
        </w:rPr>
        <w:t>Municipários</w:t>
      </w:r>
      <w:proofErr w:type="spellEnd"/>
      <w:r w:rsidRPr="00457A2D">
        <w:rPr>
          <w:rFonts w:eastAsia="Arial" w:cs="Arial"/>
          <w:sz w:val="20"/>
          <w:szCs w:val="20"/>
        </w:rPr>
        <w:t xml:space="preserve"> de Morro Redondo, e ali começamos essa caminhada. Depois de recebermos a certidão do quilombo, tivemos a ideia de formar uma diretoria e registrar o Quilombo para podermos acessar políticas públicas. Convocamos uma assembleia, tiramos 12 membros e fui eleito presidente. Daí em </w:t>
      </w:r>
      <w:r w:rsidRPr="00457A2D">
        <w:rPr>
          <w:rFonts w:eastAsia="Arial" w:cs="Arial"/>
          <w:sz w:val="20"/>
          <w:szCs w:val="20"/>
        </w:rPr>
        <w:lastRenderedPageBreak/>
        <w:t>diante, corri atrás do registro, do estatuto, do CNPJ e de toda a documentação (Dados da entrevista, 2025).</w:t>
      </w:r>
    </w:p>
    <w:p w14:paraId="6913E644" w14:textId="77777777" w:rsidR="00EE278E" w:rsidRDefault="00443FE5" w:rsidP="002864C8">
      <w:pPr>
        <w:spacing w:line="360" w:lineRule="auto"/>
        <w:ind w:firstLine="709"/>
        <w:jc w:val="both"/>
        <w:rPr>
          <w:rFonts w:eastAsia="Arial" w:cs="Arial"/>
        </w:rPr>
      </w:pPr>
      <w:r w:rsidRPr="00443FE5">
        <w:rPr>
          <w:rFonts w:eastAsia="Arial" w:cs="Arial"/>
        </w:rPr>
        <w:t>Esse relato revela como os processos de reconhecimento territorial não ocorrem espontaneamente, mas exigem articulação política, conhecimento institucional e, sobretudo, resistência cotidiana. Ainda que a comunidade tenha recebido a certidão de autorreconhecimento emitida pela Fundação Palmares, a titulação definitiva da terra ainda depende da elaboração de um laudo antropológico solicitado pelo INCRA</w:t>
      </w:r>
      <w:r w:rsidR="002864C8">
        <w:rPr>
          <w:rFonts w:eastAsia="Arial" w:cs="Arial"/>
        </w:rPr>
        <w:t>, c</w:t>
      </w:r>
      <w:r w:rsidRPr="00443FE5">
        <w:rPr>
          <w:rFonts w:eastAsia="Arial" w:cs="Arial"/>
        </w:rPr>
        <w:t>o</w:t>
      </w:r>
      <w:r w:rsidR="002864C8">
        <w:rPr>
          <w:rFonts w:eastAsia="Arial" w:cs="Arial"/>
        </w:rPr>
        <w:t xml:space="preserve">nforme relatos dos entrevistados. </w:t>
      </w:r>
      <w:r w:rsidRPr="00443FE5">
        <w:rPr>
          <w:rFonts w:eastAsia="Arial" w:cs="Arial"/>
        </w:rPr>
        <w:t>A ausência desse documento técnico, embora pareça um detalhe, revela o quanto as exigências burocráticas ainda representam um obstáculo significativo para a efetivação dos direitos quilombolas. A morosidade e a complexidade desses trâmites acabam por fragilizar a autonomia territorial das comunidades, perpetuando situações de vulnerabilidade que se acumulam ao longo das gerações</w:t>
      </w:r>
      <w:r w:rsidR="00812203">
        <w:rPr>
          <w:rFonts w:eastAsia="Arial" w:cs="Arial"/>
        </w:rPr>
        <w:t xml:space="preserve">. </w:t>
      </w:r>
    </w:p>
    <w:p w14:paraId="0298C715" w14:textId="2930A081" w:rsidR="00EE278E" w:rsidRDefault="00443FE5" w:rsidP="002864C8">
      <w:pPr>
        <w:spacing w:line="360" w:lineRule="auto"/>
        <w:ind w:firstLine="709"/>
        <w:jc w:val="both"/>
        <w:rPr>
          <w:rFonts w:eastAsia="Arial" w:cs="Arial"/>
        </w:rPr>
      </w:pPr>
      <w:r w:rsidRPr="00443FE5">
        <w:rPr>
          <w:rFonts w:eastAsia="Arial" w:cs="Arial"/>
        </w:rPr>
        <w:t>A história da Vó Ernestina, figura central da comunidade, expressa com clareza essa relação entre território, memória e resistência. Nascida em 1904, foi uma das primeiras moradoras da Colônia Reserva</w:t>
      </w:r>
      <w:r w:rsidR="00C601C7">
        <w:rPr>
          <w:rFonts w:eastAsia="Arial" w:cs="Arial"/>
        </w:rPr>
        <w:t>, s</w:t>
      </w:r>
      <w:r w:rsidRPr="00443FE5">
        <w:rPr>
          <w:rFonts w:eastAsia="Arial" w:cs="Arial"/>
        </w:rPr>
        <w:t>eu pai, conhecido como José Tamanqueiro, fabricava tamancos de madeira, ofício amplamente reconhecido na região</w:t>
      </w:r>
      <w:r w:rsidR="00C601C7">
        <w:rPr>
          <w:rFonts w:eastAsia="Arial" w:cs="Arial"/>
        </w:rPr>
        <w:t>.</w:t>
      </w:r>
      <w:r w:rsidRPr="00443FE5">
        <w:rPr>
          <w:rFonts w:eastAsia="Arial" w:cs="Arial"/>
        </w:rPr>
        <w:t xml:space="preserve"> Ao longo da vida, Vó Ernestina cuidou de doze filhos, mas perdeu a posse da terra por meios não documentados — possivelmente em vendas informais ou devido à sua condição de viúva e à ausência de garantias legais</w:t>
      </w:r>
      <w:r w:rsidR="007F648A">
        <w:rPr>
          <w:rFonts w:eastAsia="Arial" w:cs="Arial"/>
        </w:rPr>
        <w:t xml:space="preserve"> (dados de entrevista, 2025)</w:t>
      </w:r>
      <w:r w:rsidRPr="00443FE5">
        <w:rPr>
          <w:rFonts w:eastAsia="Arial" w:cs="Arial"/>
        </w:rPr>
        <w:t>.</w:t>
      </w:r>
      <w:r w:rsidR="002864C8">
        <w:rPr>
          <w:rFonts w:eastAsia="Arial" w:cs="Arial"/>
        </w:rPr>
        <w:t xml:space="preserve"> Conforme </w:t>
      </w:r>
      <w:r w:rsidR="002864C8" w:rsidRPr="002864C8">
        <w:rPr>
          <w:rFonts w:eastAsia="Arial" w:cs="Arial"/>
        </w:rPr>
        <w:t xml:space="preserve">dados da entrevista (2025), </w:t>
      </w:r>
      <w:r w:rsidRPr="002864C8">
        <w:rPr>
          <w:rFonts w:eastAsia="Arial" w:cs="Arial"/>
        </w:rPr>
        <w:t>“Ela acabou indo pra Pelotas, trabalhou até os 70 anos numa fábrica de conserva — o único emprego formal da vida dela. Morreu em uma situação muito difícil, morando na periferia, mesmo tendo uma área tão grande em Morro Redondo”.</w:t>
      </w:r>
      <w:r w:rsidR="00C601C7">
        <w:rPr>
          <w:rFonts w:eastAsia="Arial" w:cs="Arial"/>
        </w:rPr>
        <w:t xml:space="preserve"> </w:t>
      </w:r>
      <w:r w:rsidRPr="00443FE5">
        <w:rPr>
          <w:rFonts w:eastAsia="Arial" w:cs="Arial"/>
        </w:rPr>
        <w:t>Esse episódio revela, de forma simbólica, como a ausência de políticas efetivas de proteção ao direito à terra compromete a permanência e a dignidade das famílias quilombolas</w:t>
      </w:r>
      <w:r w:rsidR="007F648A">
        <w:rPr>
          <w:rFonts w:eastAsia="Arial" w:cs="Arial"/>
        </w:rPr>
        <w:t>.</w:t>
      </w:r>
    </w:p>
    <w:p w14:paraId="329C0DA4" w14:textId="3A1A2F92" w:rsidR="00144A99" w:rsidRPr="00144A99" w:rsidRDefault="00144A99" w:rsidP="002864C8">
      <w:pPr>
        <w:spacing w:line="360" w:lineRule="auto"/>
        <w:ind w:firstLine="709"/>
        <w:jc w:val="both"/>
        <w:rPr>
          <w:rFonts w:eastAsia="Arial" w:cs="Arial"/>
        </w:rPr>
      </w:pPr>
      <w:r w:rsidRPr="00144A99">
        <w:rPr>
          <w:rFonts w:eastAsia="Arial" w:cs="Arial"/>
        </w:rPr>
        <w:lastRenderedPageBreak/>
        <w:t xml:space="preserve">A memória da comunidade quilombola Vó Ernestina não se dissocia da trajetória de sua matriarca e da luta por reconhecimento territorial e cultural. Nesse sentido, o Museu Histórico de Morro Redondo (MHMR) tem </w:t>
      </w:r>
      <w:r w:rsidR="00236515">
        <w:rPr>
          <w:rFonts w:eastAsia="Arial" w:cs="Arial"/>
        </w:rPr>
        <w:t>buscado desempenhar</w:t>
      </w:r>
      <w:r w:rsidRPr="00144A99">
        <w:rPr>
          <w:rFonts w:eastAsia="Arial" w:cs="Arial"/>
        </w:rPr>
        <w:t xml:space="preserve"> um papel essencial como espaço de articulação entre memória, território e pertencimento. O museu, desde sua fundação, vem buscando valorizar as histórias silenciadas da região, com atenção especial às narrativas </w:t>
      </w:r>
      <w:r w:rsidR="00236515">
        <w:rPr>
          <w:rFonts w:eastAsia="Arial" w:cs="Arial"/>
        </w:rPr>
        <w:t>da comunidade</w:t>
      </w:r>
      <w:r w:rsidRPr="00144A99">
        <w:rPr>
          <w:rFonts w:eastAsia="Arial" w:cs="Arial"/>
        </w:rPr>
        <w:t xml:space="preserve">. A história da comunidade no acervo e nas ações educativas do museu representa uma </w:t>
      </w:r>
      <w:r w:rsidR="00236515">
        <w:rPr>
          <w:rFonts w:eastAsia="Arial" w:cs="Arial"/>
        </w:rPr>
        <w:t>tentativa</w:t>
      </w:r>
      <w:r w:rsidRPr="00144A99">
        <w:rPr>
          <w:rFonts w:eastAsia="Arial" w:cs="Arial"/>
        </w:rPr>
        <w:t xml:space="preserve"> de visibilização e de enfrentamento às formas de apagamento histórico</w:t>
      </w:r>
      <w:r w:rsidR="00236515">
        <w:rPr>
          <w:rFonts w:eastAsia="Arial" w:cs="Arial"/>
        </w:rPr>
        <w:t>.</w:t>
      </w:r>
      <w:r w:rsidRPr="00144A99">
        <w:rPr>
          <w:rFonts w:eastAsia="Arial" w:cs="Arial"/>
        </w:rPr>
        <w:t xml:space="preserve"> A museóloga envolvida no projeto explica essa dimensão com sensibilidade:</w:t>
      </w:r>
    </w:p>
    <w:p w14:paraId="2B9541F3" w14:textId="7B451F80" w:rsidR="00144A99" w:rsidRPr="001918D8" w:rsidRDefault="00144A99" w:rsidP="001918D8">
      <w:pPr>
        <w:ind w:left="2268"/>
        <w:jc w:val="both"/>
        <w:rPr>
          <w:rFonts w:eastAsia="Arial" w:cs="Arial"/>
          <w:sz w:val="20"/>
          <w:szCs w:val="20"/>
        </w:rPr>
      </w:pPr>
      <w:r w:rsidRPr="001918D8">
        <w:rPr>
          <w:rFonts w:eastAsia="Arial" w:cs="Arial"/>
          <w:sz w:val="20"/>
          <w:szCs w:val="20"/>
        </w:rPr>
        <w:t>Quando começamos a trabalhar com a história da comunidade, percebemos que havia um enorme distanciamento entre o reconhecimento legal do quilombo e o sentimento de pertencimento das pessoas. Muitos ainda não se viam como parte de um quilombo. A patrimonialização ajudou a fortalecer essa identidade (Dados da entrevista, 2025).</w:t>
      </w:r>
    </w:p>
    <w:p w14:paraId="203D355A" w14:textId="77777777" w:rsidR="00EE278E" w:rsidRDefault="00236515" w:rsidP="00BB2AB4">
      <w:pPr>
        <w:spacing w:line="360" w:lineRule="auto"/>
        <w:ind w:firstLine="709"/>
        <w:jc w:val="both"/>
        <w:rPr>
          <w:rFonts w:eastAsia="Arial" w:cs="Arial"/>
        </w:rPr>
      </w:pPr>
      <w:r>
        <w:rPr>
          <w:rFonts w:eastAsia="Arial" w:cs="Arial"/>
        </w:rPr>
        <w:t>Vemos nesta</w:t>
      </w:r>
      <w:r w:rsidR="00144A99" w:rsidRPr="00144A99">
        <w:rPr>
          <w:rFonts w:eastAsia="Arial" w:cs="Arial"/>
        </w:rPr>
        <w:t xml:space="preserve"> fala evidencia a potência que processos museológicos e educativos têm na ressignificação da identidade coletiva. </w:t>
      </w:r>
      <w:r w:rsidR="00DF20E7">
        <w:rPr>
          <w:rFonts w:eastAsia="Arial" w:cs="Arial"/>
        </w:rPr>
        <w:t>Pois o museu</w:t>
      </w:r>
      <w:r w:rsidR="00144A99" w:rsidRPr="00144A99">
        <w:rPr>
          <w:rFonts w:eastAsia="Arial" w:cs="Arial"/>
        </w:rPr>
        <w:t xml:space="preserve"> torna-se, assim, um mediador entre passado e presente, entre experiência e representação, como observa Nora (1993) ao discutir os "lugares de memória".</w:t>
      </w:r>
      <w:r w:rsidR="00FB6759">
        <w:rPr>
          <w:rFonts w:eastAsia="Arial" w:cs="Arial"/>
        </w:rPr>
        <w:t xml:space="preserve"> </w:t>
      </w:r>
      <w:r w:rsidR="00144A99" w:rsidRPr="00144A99">
        <w:rPr>
          <w:rFonts w:eastAsia="Arial" w:cs="Arial"/>
        </w:rPr>
        <w:t xml:space="preserve">Outro aspecto importante nesse processo é o saber-fazer doceiro, fortemente presente na região e carregado de significados afetivos, econômicos e históricos. Essa percepção revela um conflito simbólico presente nos processos de patrimonialização cultural. </w:t>
      </w:r>
    </w:p>
    <w:p w14:paraId="4B5D61A6" w14:textId="4C62D773" w:rsidR="00144A99" w:rsidRDefault="00144A99" w:rsidP="00BB2AB4">
      <w:pPr>
        <w:spacing w:line="360" w:lineRule="auto"/>
        <w:ind w:firstLine="709"/>
        <w:jc w:val="both"/>
        <w:rPr>
          <w:rFonts w:eastAsia="Arial" w:cs="Arial"/>
        </w:rPr>
      </w:pPr>
      <w:r w:rsidRPr="00144A99">
        <w:rPr>
          <w:rFonts w:eastAsia="Arial" w:cs="Arial"/>
        </w:rPr>
        <w:t>Como argumenta Gonçalves (</w:t>
      </w:r>
      <w:r w:rsidR="00B541B8">
        <w:rPr>
          <w:rFonts w:eastAsia="Arial" w:cs="Arial"/>
        </w:rPr>
        <w:t>1996</w:t>
      </w:r>
      <w:r w:rsidRPr="00144A99">
        <w:rPr>
          <w:rFonts w:eastAsia="Arial" w:cs="Arial"/>
        </w:rPr>
        <w:t>), o patrimônio não é um dado neutro, mas o resultado de escolhas sociais e políticas que legitimam certas memórias em detrimento de outras. Ao excluir a presença negra do processo de reconhecimento do saber-fazer doceiro, o patrimônio torna-se seletivo, reforçando desigualdades históricas.</w:t>
      </w:r>
      <w:r w:rsidR="002D6BE4">
        <w:rPr>
          <w:rFonts w:eastAsia="Arial" w:cs="Arial"/>
        </w:rPr>
        <w:t xml:space="preserve"> </w:t>
      </w:r>
      <w:r w:rsidR="00DF20E7">
        <w:rPr>
          <w:rFonts w:eastAsia="Arial" w:cs="Arial"/>
        </w:rPr>
        <w:t xml:space="preserve">Através dessa </w:t>
      </w:r>
      <w:r w:rsidRPr="00144A99">
        <w:rPr>
          <w:rFonts w:eastAsia="Arial" w:cs="Arial"/>
        </w:rPr>
        <w:t>atuação do museu, nesse contexto, busca justamente tensionar essas exclusões e construir novas formas de visibilidade</w:t>
      </w:r>
      <w:r w:rsidR="00DF20E7">
        <w:rPr>
          <w:rFonts w:eastAsia="Arial" w:cs="Arial"/>
        </w:rPr>
        <w:t>, como o</w:t>
      </w:r>
      <w:r w:rsidRPr="00144A99">
        <w:rPr>
          <w:rFonts w:eastAsia="Arial" w:cs="Arial"/>
        </w:rPr>
        <w:t xml:space="preserve">ficinas de rodas de conversa e exposições realizadas em </w:t>
      </w:r>
      <w:r w:rsidRPr="00144A99">
        <w:rPr>
          <w:rFonts w:eastAsia="Arial" w:cs="Arial"/>
        </w:rPr>
        <w:lastRenderedPageBreak/>
        <w:t>parceria com a comunidade e resgata</w:t>
      </w:r>
      <w:r w:rsidR="00DF20E7">
        <w:rPr>
          <w:rFonts w:eastAsia="Arial" w:cs="Arial"/>
        </w:rPr>
        <w:t>n</w:t>
      </w:r>
      <w:r w:rsidRPr="00144A99">
        <w:rPr>
          <w:rFonts w:eastAsia="Arial" w:cs="Arial"/>
        </w:rPr>
        <w:t xml:space="preserve">do </w:t>
      </w:r>
      <w:r w:rsidR="00DF20E7">
        <w:rPr>
          <w:rFonts w:eastAsia="Arial" w:cs="Arial"/>
        </w:rPr>
        <w:t xml:space="preserve">as </w:t>
      </w:r>
      <w:r w:rsidRPr="00144A99">
        <w:rPr>
          <w:rFonts w:eastAsia="Arial" w:cs="Arial"/>
        </w:rPr>
        <w:t>memórias que estavam em risco de esquecimento. Mais do que valorizar uma prática culinária, trata-se de reafirmar uma identidade coletiva ligada à terra, ao trabalho e à ancestralidade.</w:t>
      </w:r>
      <w:r w:rsidR="00EE28ED">
        <w:rPr>
          <w:rFonts w:eastAsia="Arial" w:cs="Arial"/>
        </w:rPr>
        <w:t xml:space="preserve"> </w:t>
      </w:r>
      <w:r w:rsidRPr="00144A99">
        <w:rPr>
          <w:rFonts w:eastAsia="Arial" w:cs="Arial"/>
        </w:rPr>
        <w:t>Como observa Hall (2006), a identidade cultural é sempre construída, relacional e em constante transformação</w:t>
      </w:r>
      <w:r w:rsidR="003871F3">
        <w:rPr>
          <w:rFonts w:eastAsia="Arial" w:cs="Arial"/>
        </w:rPr>
        <w:t>. Com isso, a</w:t>
      </w:r>
      <w:r w:rsidRPr="00144A99">
        <w:rPr>
          <w:rFonts w:eastAsia="Arial" w:cs="Arial"/>
        </w:rPr>
        <w:t xml:space="preserve"> história da Vó Ernestina e de sua comunidade, portanto, não é apenas um fragmento do passado, mas um testemunho vivo de luta, saber e dignidade que ressoa nas cozinhas, nas terras e nas memórias do presente.</w:t>
      </w:r>
    </w:p>
    <w:p w14:paraId="61A459A1" w14:textId="77777777" w:rsidR="00EE278E" w:rsidRDefault="00EE278E" w:rsidP="00BB2AB4">
      <w:pPr>
        <w:spacing w:line="360" w:lineRule="auto"/>
        <w:ind w:firstLine="709"/>
        <w:jc w:val="both"/>
        <w:rPr>
          <w:rFonts w:eastAsia="Arial" w:cs="Arial"/>
        </w:rPr>
      </w:pPr>
    </w:p>
    <w:p w14:paraId="12577A4E" w14:textId="3CBF9AD2" w:rsidR="00830EB6" w:rsidRPr="00E56644" w:rsidRDefault="00DD20BE" w:rsidP="009A3C27">
      <w:pPr>
        <w:spacing w:line="360" w:lineRule="auto"/>
        <w:jc w:val="both"/>
        <w:rPr>
          <w:rFonts w:eastAsia="Arial" w:cs="Arial"/>
          <w:b/>
          <w:bCs/>
        </w:rPr>
      </w:pPr>
      <w:r w:rsidRPr="00E56644">
        <w:rPr>
          <w:rFonts w:eastAsia="Arial" w:cs="Arial"/>
          <w:b/>
          <w:bCs/>
        </w:rPr>
        <w:t>CONSIDERAÇÕES FINAIS</w:t>
      </w:r>
    </w:p>
    <w:p w14:paraId="4E3C3725" w14:textId="77777777" w:rsidR="00E56644" w:rsidRDefault="003871F3" w:rsidP="003871F3">
      <w:pPr>
        <w:spacing w:line="360" w:lineRule="auto"/>
        <w:ind w:firstLine="708"/>
        <w:jc w:val="both"/>
        <w:rPr>
          <w:rFonts w:eastAsia="Arial" w:cs="Arial"/>
        </w:rPr>
      </w:pPr>
      <w:r w:rsidRPr="003871F3">
        <w:rPr>
          <w:rFonts w:eastAsia="Arial" w:cs="Arial"/>
        </w:rPr>
        <w:t>As análises realizadas ao longo deste trabalho permitiram compreender que o processo de reconhecimento, territorialização e patrimonialização da comunidade quilombola Vó Ernestina está intrinsecamente ligado à valorização de suas práticas culturais, especialmente o saber doceiro. Essa prática, transmitida oralmente entre gerações de mulheres da comunidade, não apenas sustenta a identidade quilombola como também reafirma seu vínculo com o território, entendido aqui em uma perspectiva simbólica, afetiva e social.</w:t>
      </w:r>
      <w:r w:rsidR="00C601C7">
        <w:rPr>
          <w:rFonts w:eastAsia="Arial" w:cs="Arial"/>
        </w:rPr>
        <w:t xml:space="preserve"> </w:t>
      </w:r>
      <w:r w:rsidRPr="003871F3">
        <w:rPr>
          <w:rFonts w:eastAsia="Arial" w:cs="Arial"/>
        </w:rPr>
        <w:t>A territorialidade quilombola, nesse sentido, não se restringe à posse da terra, mas abrange o conjunto de relações históricas e culturais que configuram o espaço vivido</w:t>
      </w:r>
      <w:r w:rsidR="00C601C7">
        <w:rPr>
          <w:rFonts w:eastAsia="Arial" w:cs="Arial"/>
        </w:rPr>
        <w:t>.</w:t>
      </w:r>
    </w:p>
    <w:p w14:paraId="1104BB3A" w14:textId="71811132" w:rsidR="003871F3" w:rsidRDefault="003871F3" w:rsidP="003871F3">
      <w:pPr>
        <w:spacing w:line="360" w:lineRule="auto"/>
        <w:ind w:firstLine="708"/>
        <w:jc w:val="both"/>
        <w:rPr>
          <w:rFonts w:eastAsia="Arial" w:cs="Arial"/>
        </w:rPr>
      </w:pPr>
      <w:r w:rsidRPr="003871F3">
        <w:rPr>
          <w:rFonts w:eastAsia="Arial" w:cs="Arial"/>
        </w:rPr>
        <w:t>Contudo, os resultados também indicam desafios persistentes, especialmente no que se refere à visibilidade das memórias quilombolas nos espaços institucionais, como o Museu Histórico de Morro Redondo. Embora existam avanços em termos de abertura para novas narrativas, é necessário um esforço contínuo de inclusão e escuta ativa, para que essas memórias não permaneçam à margem, mas componham de forma efetiva o patrimônio cultural da região.</w:t>
      </w:r>
      <w:r w:rsidR="00956A00">
        <w:rPr>
          <w:rFonts w:eastAsia="Arial" w:cs="Arial"/>
        </w:rPr>
        <w:t xml:space="preserve"> </w:t>
      </w:r>
      <w:r w:rsidRPr="003871F3">
        <w:rPr>
          <w:rFonts w:eastAsia="Arial" w:cs="Arial"/>
        </w:rPr>
        <w:t xml:space="preserve">Assim, este estudo reforça a importância de políticas públicas de cultura e patrimônio que respeitem a autonomia das comunidades </w:t>
      </w:r>
      <w:r w:rsidRPr="003871F3">
        <w:rPr>
          <w:rFonts w:eastAsia="Arial" w:cs="Arial"/>
        </w:rPr>
        <w:lastRenderedPageBreak/>
        <w:t>quilombolas e reconheçam o valor de seus saberes, práticas e modos de vida, contribuindo para a construção de uma sociedade mais justa e plural.</w:t>
      </w:r>
    </w:p>
    <w:p w14:paraId="1547CB9C" w14:textId="77777777" w:rsidR="00E56644" w:rsidRDefault="00E56644" w:rsidP="003871F3">
      <w:pPr>
        <w:spacing w:line="360" w:lineRule="auto"/>
        <w:ind w:firstLine="708"/>
        <w:jc w:val="both"/>
        <w:rPr>
          <w:rFonts w:eastAsia="Arial" w:cs="Arial"/>
        </w:rPr>
      </w:pPr>
    </w:p>
    <w:p w14:paraId="33E39813" w14:textId="7DED2444" w:rsidR="009A3C27" w:rsidRPr="00E56644" w:rsidRDefault="00740DEB" w:rsidP="009A3C27">
      <w:pPr>
        <w:spacing w:line="360" w:lineRule="auto"/>
        <w:jc w:val="both"/>
        <w:rPr>
          <w:rFonts w:eastAsia="Arial" w:cs="Arial"/>
          <w:b/>
          <w:bCs/>
        </w:rPr>
      </w:pPr>
      <w:r w:rsidRPr="00E56644">
        <w:rPr>
          <w:rFonts w:eastAsia="Arial" w:cs="Arial"/>
          <w:b/>
          <w:bCs/>
        </w:rPr>
        <w:t>REFERENCIAS</w:t>
      </w:r>
    </w:p>
    <w:p w14:paraId="3D4DEECA" w14:textId="214EBC78" w:rsidR="009A3C27" w:rsidRPr="009A3C27" w:rsidRDefault="009A3C27" w:rsidP="009A3C27">
      <w:pPr>
        <w:spacing w:line="360" w:lineRule="auto"/>
        <w:jc w:val="both"/>
        <w:rPr>
          <w:rFonts w:eastAsia="Arial" w:cs="Arial"/>
        </w:rPr>
      </w:pPr>
      <w:r w:rsidRPr="009A3C27">
        <w:rPr>
          <w:rFonts w:eastAsia="Arial" w:cs="Arial"/>
        </w:rPr>
        <w:t xml:space="preserve">ALVES, L. G. P.; </w:t>
      </w:r>
      <w:r w:rsidRPr="00000C5B">
        <w:rPr>
          <w:rFonts w:eastAsia="Arial" w:cs="Arial"/>
          <w:b/>
          <w:bCs/>
        </w:rPr>
        <w:t>Brinca de que: brinquedos e brincadeiras no quilombo de Lajeado</w:t>
      </w:r>
      <w:r w:rsidRPr="009A3C27">
        <w:rPr>
          <w:rFonts w:eastAsia="Arial" w:cs="Arial"/>
        </w:rPr>
        <w:t xml:space="preserve">. 2021. Dissertação (Mestrado em Educação) – Universidade Federal do Tocantins, Palmas, 2021. Disponível em: </w:t>
      </w:r>
      <w:hyperlink r:id="rId8" w:history="1">
        <w:r w:rsidR="0054017E" w:rsidRPr="00A93587">
          <w:rPr>
            <w:rStyle w:val="Hyperlink"/>
            <w:rFonts w:eastAsia="Arial" w:cs="Arial"/>
          </w:rPr>
          <w:t>http://hdl.handle.net/11612/3555</w:t>
        </w:r>
      </w:hyperlink>
      <w:r w:rsidR="0054017E">
        <w:rPr>
          <w:rFonts w:eastAsia="Arial" w:cs="Arial"/>
        </w:rPr>
        <w:t xml:space="preserve"> .</w:t>
      </w:r>
      <w:r w:rsidRPr="009A3C27">
        <w:rPr>
          <w:rFonts w:eastAsia="Arial" w:cs="Arial"/>
        </w:rPr>
        <w:t xml:space="preserve"> Acesso em: 11/02/2025.</w:t>
      </w:r>
    </w:p>
    <w:p w14:paraId="71CE85B5" w14:textId="6DE3FAA5" w:rsidR="009A3C27" w:rsidRPr="009A3C27" w:rsidRDefault="009A3C27" w:rsidP="009A3C27">
      <w:pPr>
        <w:spacing w:line="360" w:lineRule="auto"/>
        <w:jc w:val="both"/>
        <w:rPr>
          <w:rFonts w:eastAsia="Arial" w:cs="Arial"/>
        </w:rPr>
      </w:pPr>
      <w:r w:rsidRPr="009A3C27">
        <w:rPr>
          <w:rFonts w:eastAsia="Arial" w:cs="Arial"/>
        </w:rPr>
        <w:t xml:space="preserve">ARRUTI, J. M.; </w:t>
      </w:r>
      <w:r w:rsidRPr="00000C5B">
        <w:rPr>
          <w:rFonts w:eastAsia="Arial" w:cs="Arial"/>
          <w:b/>
          <w:bCs/>
        </w:rPr>
        <w:t>Mocambo: antropologia e história do processo de formação quilombola</w:t>
      </w:r>
      <w:r w:rsidRPr="009A3C27">
        <w:rPr>
          <w:rFonts w:eastAsia="Arial" w:cs="Arial"/>
        </w:rPr>
        <w:t xml:space="preserve">. Bauru: EDUSC, </w:t>
      </w:r>
      <w:r w:rsidR="0010445B" w:rsidRPr="009A3C27">
        <w:rPr>
          <w:rFonts w:eastAsia="Arial" w:cs="Arial"/>
        </w:rPr>
        <w:t>2006.</w:t>
      </w:r>
      <w:r w:rsidR="0010445B">
        <w:rPr>
          <w:rFonts w:eastAsia="Arial" w:cs="Arial"/>
        </w:rPr>
        <w:t xml:space="preserve"> </w:t>
      </w:r>
    </w:p>
    <w:p w14:paraId="1AEC7827" w14:textId="77777777" w:rsidR="009A3C27" w:rsidRPr="009A3C27" w:rsidRDefault="009A3C27" w:rsidP="009A3C27">
      <w:pPr>
        <w:spacing w:line="360" w:lineRule="auto"/>
        <w:jc w:val="both"/>
        <w:rPr>
          <w:rFonts w:eastAsia="Arial" w:cs="Arial"/>
        </w:rPr>
      </w:pPr>
      <w:r w:rsidRPr="009A3C27">
        <w:rPr>
          <w:rFonts w:eastAsia="Arial" w:cs="Arial"/>
        </w:rPr>
        <w:t xml:space="preserve">BARDIN, L. </w:t>
      </w:r>
      <w:r w:rsidRPr="00F11770">
        <w:rPr>
          <w:rFonts w:eastAsia="Arial" w:cs="Arial"/>
          <w:b/>
          <w:bCs/>
        </w:rPr>
        <w:t>Análise de conteúdo</w:t>
      </w:r>
      <w:r w:rsidRPr="009A3C27">
        <w:rPr>
          <w:rFonts w:eastAsia="Arial" w:cs="Arial"/>
        </w:rPr>
        <w:t>. Lisboa: Edições 70, 2011.</w:t>
      </w:r>
    </w:p>
    <w:p w14:paraId="7313B39C" w14:textId="77777777" w:rsidR="009A3C27" w:rsidRDefault="009A3C27" w:rsidP="009A3C27">
      <w:pPr>
        <w:spacing w:line="360" w:lineRule="auto"/>
        <w:jc w:val="both"/>
        <w:rPr>
          <w:rFonts w:eastAsia="Arial" w:cs="Arial"/>
        </w:rPr>
      </w:pPr>
      <w:r w:rsidRPr="009A3C27">
        <w:rPr>
          <w:rFonts w:eastAsia="Arial" w:cs="Arial"/>
        </w:rPr>
        <w:t xml:space="preserve">BOSI, E.; </w:t>
      </w:r>
      <w:r w:rsidRPr="00F11770">
        <w:rPr>
          <w:rFonts w:eastAsia="Arial" w:cs="Arial"/>
          <w:b/>
          <w:bCs/>
        </w:rPr>
        <w:t>Memória e sociedade: lembranças de velhos</w:t>
      </w:r>
      <w:r w:rsidRPr="009A3C27">
        <w:rPr>
          <w:rFonts w:eastAsia="Arial" w:cs="Arial"/>
        </w:rPr>
        <w:t>. São Paulo: Companhia das Letras, 1994.</w:t>
      </w:r>
    </w:p>
    <w:p w14:paraId="42218AA2" w14:textId="1C1382A5" w:rsidR="0061439B" w:rsidRDefault="0061439B" w:rsidP="009A3C27">
      <w:pPr>
        <w:spacing w:line="360" w:lineRule="auto"/>
        <w:jc w:val="both"/>
        <w:rPr>
          <w:rFonts w:eastAsia="Arial" w:cs="Arial"/>
        </w:rPr>
      </w:pPr>
      <w:r w:rsidRPr="0061439B">
        <w:rPr>
          <w:rFonts w:eastAsia="Arial" w:cs="Arial"/>
        </w:rPr>
        <w:t>CERQUEIRA, F.; V.</w:t>
      </w:r>
      <w:r w:rsidRPr="0061439B">
        <w:rPr>
          <w:rFonts w:ascii="Arial" w:eastAsia="Arial" w:hAnsi="Arial" w:cs="Arial"/>
        </w:rPr>
        <w:t> </w:t>
      </w:r>
      <w:r w:rsidRPr="0061439B">
        <w:rPr>
          <w:rFonts w:eastAsia="Arial" w:cs="Arial"/>
        </w:rPr>
        <w:t>Serra dos Tapes: mosaico de tradi</w:t>
      </w:r>
      <w:r w:rsidRPr="0061439B">
        <w:rPr>
          <w:rFonts w:ascii="Trebuchet MS" w:eastAsia="Arial" w:hAnsi="Trebuchet MS" w:cs="Trebuchet MS"/>
        </w:rPr>
        <w:t>çõ</w:t>
      </w:r>
      <w:r w:rsidRPr="0061439B">
        <w:rPr>
          <w:rFonts w:eastAsia="Arial" w:cs="Arial"/>
        </w:rPr>
        <w:t xml:space="preserve">es </w:t>
      </w:r>
      <w:r w:rsidRPr="0061439B">
        <w:rPr>
          <w:rFonts w:ascii="Trebuchet MS" w:eastAsia="Arial" w:hAnsi="Trebuchet MS" w:cs="Trebuchet MS"/>
        </w:rPr>
        <w:t>é</w:t>
      </w:r>
      <w:r w:rsidRPr="0061439B">
        <w:rPr>
          <w:rFonts w:eastAsia="Arial" w:cs="Arial"/>
        </w:rPr>
        <w:t xml:space="preserve">tnicas e paisagens culturais. In: </w:t>
      </w:r>
      <w:r w:rsidRPr="00331583">
        <w:rPr>
          <w:rFonts w:eastAsia="Arial" w:cs="Arial"/>
          <w:b/>
          <w:bCs/>
        </w:rPr>
        <w:t>Anais Semin</w:t>
      </w:r>
      <w:r w:rsidRPr="00331583">
        <w:rPr>
          <w:rFonts w:ascii="Trebuchet MS" w:eastAsia="Arial" w:hAnsi="Trebuchet MS" w:cs="Trebuchet MS"/>
          <w:b/>
          <w:bCs/>
        </w:rPr>
        <w:t>á</w:t>
      </w:r>
      <w:r w:rsidRPr="00331583">
        <w:rPr>
          <w:rFonts w:eastAsia="Arial" w:cs="Arial"/>
          <w:b/>
          <w:bCs/>
        </w:rPr>
        <w:t>rio Internacional em Mem</w:t>
      </w:r>
      <w:r w:rsidRPr="00331583">
        <w:rPr>
          <w:rFonts w:ascii="Trebuchet MS" w:eastAsia="Arial" w:hAnsi="Trebuchet MS" w:cs="Trebuchet MS"/>
          <w:b/>
          <w:bCs/>
        </w:rPr>
        <w:t>ó</w:t>
      </w:r>
      <w:r w:rsidRPr="00331583">
        <w:rPr>
          <w:rFonts w:eastAsia="Arial" w:cs="Arial"/>
          <w:b/>
          <w:bCs/>
        </w:rPr>
        <w:t>ria e Patrim</w:t>
      </w:r>
      <w:r w:rsidRPr="00331583">
        <w:rPr>
          <w:rFonts w:ascii="Trebuchet MS" w:eastAsia="Arial" w:hAnsi="Trebuchet MS" w:cs="Trebuchet MS"/>
          <w:b/>
          <w:bCs/>
        </w:rPr>
        <w:t>ô</w:t>
      </w:r>
      <w:r w:rsidRPr="00331583">
        <w:rPr>
          <w:rFonts w:eastAsia="Arial" w:cs="Arial"/>
          <w:b/>
          <w:bCs/>
        </w:rPr>
        <w:t>nio</w:t>
      </w:r>
      <w:r w:rsidRPr="0061439B">
        <w:rPr>
          <w:rFonts w:eastAsia="Arial" w:cs="Arial"/>
        </w:rPr>
        <w:t>, 4., 2010, Pelotas (p.872</w:t>
      </w:r>
      <w:r w:rsidRPr="0061439B">
        <w:rPr>
          <w:rFonts w:ascii="Trebuchet MS" w:eastAsia="Arial" w:hAnsi="Trebuchet MS" w:cs="Trebuchet MS"/>
        </w:rPr>
        <w:t>–</w:t>
      </w:r>
      <w:r w:rsidRPr="0061439B">
        <w:rPr>
          <w:rFonts w:eastAsia="Arial" w:cs="Arial"/>
        </w:rPr>
        <w:t>874). Dispon</w:t>
      </w:r>
      <w:r w:rsidRPr="0061439B">
        <w:rPr>
          <w:rFonts w:ascii="Trebuchet MS" w:eastAsia="Arial" w:hAnsi="Trebuchet MS" w:cs="Trebuchet MS"/>
        </w:rPr>
        <w:t>í</w:t>
      </w:r>
      <w:r w:rsidRPr="0061439B">
        <w:rPr>
          <w:rFonts w:eastAsia="Arial" w:cs="Arial"/>
        </w:rPr>
        <w:t xml:space="preserve">vel: </w:t>
      </w:r>
      <w:proofErr w:type="gramStart"/>
      <w:r w:rsidRPr="0061439B">
        <w:rPr>
          <w:rFonts w:eastAsia="Arial" w:cs="Arial"/>
        </w:rPr>
        <w:t>https://simpufpel.files.wordpress.com/2010/09/mesa-serra-dos-tapes.pdf .</w:t>
      </w:r>
      <w:proofErr w:type="gramEnd"/>
      <w:r w:rsidRPr="0061439B">
        <w:rPr>
          <w:rFonts w:eastAsia="Arial" w:cs="Arial"/>
        </w:rPr>
        <w:t xml:space="preserve"> Acesso em: 05/ 2025.</w:t>
      </w:r>
    </w:p>
    <w:p w14:paraId="0B248F4E" w14:textId="1BD037FA" w:rsidR="00816041" w:rsidRPr="00FD7059" w:rsidRDefault="00B23A4B" w:rsidP="009A3C27">
      <w:pPr>
        <w:spacing w:line="360" w:lineRule="auto"/>
        <w:jc w:val="both"/>
        <w:rPr>
          <w:rFonts w:eastAsia="Arial" w:cs="Arial"/>
        </w:rPr>
      </w:pPr>
      <w:r w:rsidRPr="00B23A4B">
        <w:rPr>
          <w:rFonts w:eastAsia="Arial" w:cs="Arial"/>
        </w:rPr>
        <w:t xml:space="preserve">CHAUÍ, M. </w:t>
      </w:r>
      <w:r w:rsidRPr="00B23A4B">
        <w:rPr>
          <w:rFonts w:eastAsia="Arial" w:cs="Arial"/>
          <w:b/>
          <w:bCs/>
        </w:rPr>
        <w:t>Convite à filosofia</w:t>
      </w:r>
      <w:r w:rsidRPr="00B23A4B">
        <w:rPr>
          <w:rFonts w:eastAsia="Arial" w:cs="Arial"/>
        </w:rPr>
        <w:t xml:space="preserve">. </w:t>
      </w:r>
      <w:r w:rsidRPr="00FD7059">
        <w:rPr>
          <w:rFonts w:eastAsia="Arial" w:cs="Arial"/>
        </w:rPr>
        <w:t>São Paulo: Ática, 2000.</w:t>
      </w:r>
    </w:p>
    <w:p w14:paraId="55DE55E4" w14:textId="77777777" w:rsidR="009A3C27" w:rsidRPr="0023117E" w:rsidRDefault="009A3C27" w:rsidP="009A3C27">
      <w:pPr>
        <w:spacing w:line="360" w:lineRule="auto"/>
        <w:jc w:val="both"/>
        <w:rPr>
          <w:rFonts w:eastAsia="Arial" w:cs="Arial"/>
          <w:lang w:val="es-CR"/>
        </w:rPr>
      </w:pPr>
      <w:r w:rsidRPr="0023117E">
        <w:rPr>
          <w:rFonts w:eastAsia="Arial" w:cs="Arial"/>
          <w:lang w:val="es-CR"/>
        </w:rPr>
        <w:t>GARRIDO, A. J.; "</w:t>
      </w:r>
      <w:r w:rsidRPr="0023117E">
        <w:rPr>
          <w:rFonts w:eastAsia="Arial" w:cs="Arial"/>
          <w:b/>
          <w:bCs/>
          <w:lang w:val="es-CR"/>
        </w:rPr>
        <w:t>Una aportación al debate: las fuentes orales en la investigación histórica"</w:t>
      </w:r>
      <w:r w:rsidRPr="0023117E">
        <w:rPr>
          <w:rFonts w:eastAsia="Arial" w:cs="Arial"/>
          <w:lang w:val="es-CR"/>
        </w:rPr>
        <w:t xml:space="preserve">, Mapocho. Revista de la Dirección General de Archivos y Bibliotecas de Chile Archivo Nacional de Chile, 1993, </w:t>
      </w:r>
      <w:proofErr w:type="spellStart"/>
      <w:r w:rsidRPr="0023117E">
        <w:rPr>
          <w:rFonts w:eastAsia="Arial" w:cs="Arial"/>
          <w:lang w:val="es-CR"/>
        </w:rPr>
        <w:t>nº</w:t>
      </w:r>
      <w:proofErr w:type="spellEnd"/>
      <w:r w:rsidRPr="0023117E">
        <w:rPr>
          <w:rFonts w:eastAsia="Arial" w:cs="Arial"/>
          <w:lang w:val="es-CR"/>
        </w:rPr>
        <w:t xml:space="preserve"> 4, pp. 231-250.</w:t>
      </w:r>
    </w:p>
    <w:p w14:paraId="4B062747" w14:textId="7CB452BC" w:rsidR="00B541B8" w:rsidRDefault="00B541B8" w:rsidP="009A3C27">
      <w:pPr>
        <w:spacing w:line="360" w:lineRule="auto"/>
        <w:jc w:val="both"/>
        <w:rPr>
          <w:rFonts w:eastAsia="Arial" w:cs="Arial"/>
        </w:rPr>
      </w:pPr>
      <w:r w:rsidRPr="00B541B8">
        <w:rPr>
          <w:rFonts w:eastAsia="Arial" w:cs="Arial"/>
        </w:rPr>
        <w:t>GONÇALVES, J. R. S.</w:t>
      </w:r>
      <w:r>
        <w:rPr>
          <w:rFonts w:eastAsia="Arial" w:cs="Arial"/>
        </w:rPr>
        <w:t xml:space="preserve"> </w:t>
      </w:r>
      <w:r w:rsidRPr="00B541B8">
        <w:rPr>
          <w:rFonts w:eastAsia="Arial" w:cs="Arial"/>
          <w:b/>
          <w:bCs/>
        </w:rPr>
        <w:t>A retórica da perda</w:t>
      </w:r>
      <w:r w:rsidRPr="00B541B8">
        <w:rPr>
          <w:rFonts w:eastAsia="Arial" w:cs="Arial"/>
        </w:rPr>
        <w:t xml:space="preserve">: os discursos do patrimônio cultural no Brasil. Rio de Janeiro: UFRJ/IPHAN, 1996. </w:t>
      </w:r>
    </w:p>
    <w:p w14:paraId="39077C34" w14:textId="18BDF900" w:rsidR="009A3C27" w:rsidRPr="009A3C27" w:rsidRDefault="009A3C27" w:rsidP="009A3C27">
      <w:pPr>
        <w:spacing w:line="360" w:lineRule="auto"/>
        <w:jc w:val="both"/>
        <w:rPr>
          <w:rFonts w:eastAsia="Arial" w:cs="Arial"/>
        </w:rPr>
      </w:pPr>
      <w:r w:rsidRPr="009A3C27">
        <w:rPr>
          <w:rFonts w:eastAsia="Arial" w:cs="Arial"/>
        </w:rPr>
        <w:t xml:space="preserve">HALL, S.; </w:t>
      </w:r>
      <w:r w:rsidRPr="00F11770">
        <w:rPr>
          <w:rFonts w:eastAsia="Arial" w:cs="Arial"/>
          <w:b/>
          <w:bCs/>
        </w:rPr>
        <w:t>A identidade cultural na pós-modernidade</w:t>
      </w:r>
      <w:r w:rsidRPr="009A3C27">
        <w:rPr>
          <w:rFonts w:eastAsia="Arial" w:cs="Arial"/>
        </w:rPr>
        <w:t>. 11. ed. Rio de Janeiro: DP&amp;A, 2006.</w:t>
      </w:r>
    </w:p>
    <w:p w14:paraId="6F34A44A" w14:textId="77777777" w:rsidR="009A3C27" w:rsidRPr="009A3C27" w:rsidRDefault="009A3C27" w:rsidP="009A3C27">
      <w:pPr>
        <w:spacing w:line="360" w:lineRule="auto"/>
        <w:jc w:val="both"/>
        <w:rPr>
          <w:rFonts w:eastAsia="Arial" w:cs="Arial"/>
        </w:rPr>
      </w:pPr>
      <w:r w:rsidRPr="009A3C27">
        <w:rPr>
          <w:rFonts w:eastAsia="Arial" w:cs="Arial"/>
        </w:rPr>
        <w:t xml:space="preserve">HOBSBAWM, E.; RANGER, T.; </w:t>
      </w:r>
      <w:r w:rsidRPr="00F11770">
        <w:rPr>
          <w:rFonts w:eastAsia="Arial" w:cs="Arial"/>
          <w:b/>
          <w:bCs/>
        </w:rPr>
        <w:t>A invenção das tradições</w:t>
      </w:r>
      <w:r w:rsidRPr="009A3C27">
        <w:rPr>
          <w:rFonts w:eastAsia="Arial" w:cs="Arial"/>
        </w:rPr>
        <w:t>. Rio de Janeiro: Paz e Terra, 2012.</w:t>
      </w:r>
    </w:p>
    <w:p w14:paraId="518F9D13" w14:textId="27F2AE40" w:rsidR="009A3C27" w:rsidRDefault="009A3C27" w:rsidP="009A3C27">
      <w:pPr>
        <w:spacing w:line="360" w:lineRule="auto"/>
        <w:jc w:val="both"/>
        <w:rPr>
          <w:rFonts w:eastAsia="Arial" w:cs="Arial"/>
        </w:rPr>
      </w:pPr>
      <w:r w:rsidRPr="009A3C27">
        <w:rPr>
          <w:rFonts w:eastAsia="Arial" w:cs="Arial"/>
        </w:rPr>
        <w:lastRenderedPageBreak/>
        <w:t xml:space="preserve">LAKATOS, E. M.; MARCONI, M. A.; </w:t>
      </w:r>
      <w:r w:rsidRPr="00F11770">
        <w:rPr>
          <w:rFonts w:eastAsia="Arial" w:cs="Arial"/>
          <w:b/>
          <w:bCs/>
        </w:rPr>
        <w:t>Fundamentos de metodologia científica</w:t>
      </w:r>
      <w:r w:rsidRPr="009A3C27">
        <w:rPr>
          <w:rFonts w:eastAsia="Arial" w:cs="Arial"/>
        </w:rPr>
        <w:t>. 5. ed. São Paulo: Atlas, 2003.</w:t>
      </w:r>
    </w:p>
    <w:p w14:paraId="5825AAC6" w14:textId="381565E4" w:rsidR="00B541B8" w:rsidRDefault="00B541B8" w:rsidP="0089530B">
      <w:pPr>
        <w:spacing w:line="360" w:lineRule="auto"/>
        <w:rPr>
          <w:rFonts w:eastAsia="Arial" w:cs="Arial"/>
        </w:rPr>
      </w:pPr>
      <w:r w:rsidRPr="00B541B8">
        <w:rPr>
          <w:rFonts w:eastAsia="Arial" w:cs="Arial"/>
        </w:rPr>
        <w:t xml:space="preserve">LITTLE, Paul. Territórios sociais e povos tradicionais no Brasil: por uma antropologia da territorialidade. </w:t>
      </w:r>
      <w:r w:rsidRPr="00B541B8">
        <w:rPr>
          <w:rFonts w:eastAsia="Arial" w:cs="Arial"/>
          <w:b/>
          <w:bCs/>
        </w:rPr>
        <w:t>Anuário antropológico</w:t>
      </w:r>
      <w:r w:rsidRPr="00B541B8">
        <w:rPr>
          <w:rFonts w:eastAsia="Arial" w:cs="Arial"/>
        </w:rPr>
        <w:t>, v. 28, n. 1, p. 251-290, 2003.</w:t>
      </w:r>
    </w:p>
    <w:p w14:paraId="4550DD2F" w14:textId="7AA22FC4" w:rsidR="00331583" w:rsidRDefault="00331583" w:rsidP="0089530B">
      <w:pPr>
        <w:spacing w:line="360" w:lineRule="auto"/>
        <w:rPr>
          <w:rFonts w:eastAsia="Arial" w:cs="Arial"/>
        </w:rPr>
      </w:pPr>
      <w:r w:rsidRPr="00331583">
        <w:rPr>
          <w:rFonts w:eastAsia="Arial" w:cs="Arial"/>
        </w:rPr>
        <w:t xml:space="preserve">MOREIRA, Raimundo Nonato Pereira. História e memória: algumas observações. </w:t>
      </w:r>
      <w:proofErr w:type="spellStart"/>
      <w:r w:rsidRPr="00331583">
        <w:rPr>
          <w:rFonts w:eastAsia="Arial" w:cs="Arial"/>
          <w:b/>
          <w:bCs/>
        </w:rPr>
        <w:t>Praxis</w:t>
      </w:r>
      <w:proofErr w:type="spellEnd"/>
      <w:r w:rsidRPr="00331583">
        <w:rPr>
          <w:rFonts w:eastAsia="Arial" w:cs="Arial"/>
          <w:b/>
          <w:bCs/>
        </w:rPr>
        <w:t xml:space="preserve"> (Salvador)</w:t>
      </w:r>
      <w:r w:rsidRPr="00331583">
        <w:rPr>
          <w:rFonts w:eastAsia="Arial" w:cs="Arial"/>
        </w:rPr>
        <w:t>, Salvador, Bahia, v. 2, p. 01-04, 2005.</w:t>
      </w:r>
    </w:p>
    <w:p w14:paraId="61AF1EC3" w14:textId="34E534C1" w:rsidR="0089530B" w:rsidRPr="0089530B" w:rsidRDefault="0089530B" w:rsidP="0089530B">
      <w:pPr>
        <w:spacing w:line="360" w:lineRule="auto"/>
        <w:rPr>
          <w:rFonts w:eastAsia="Arial" w:cs="Arial"/>
        </w:rPr>
      </w:pPr>
      <w:r w:rsidRPr="0089530B">
        <w:rPr>
          <w:rFonts w:eastAsia="Arial" w:cs="Arial"/>
        </w:rPr>
        <w:t>NORA, P.</w:t>
      </w:r>
      <w:r>
        <w:rPr>
          <w:rFonts w:eastAsia="Arial" w:cs="Arial"/>
        </w:rPr>
        <w:t>;</w:t>
      </w:r>
      <w:r w:rsidRPr="0089530B">
        <w:rPr>
          <w:rFonts w:eastAsia="Arial" w:cs="Arial"/>
        </w:rPr>
        <w:t xml:space="preserve"> </w:t>
      </w:r>
      <w:r w:rsidRPr="0089530B">
        <w:rPr>
          <w:rFonts w:eastAsia="Arial" w:cs="Arial"/>
          <w:b/>
          <w:bCs/>
        </w:rPr>
        <w:t>Entre memória e história: a problemática dos lugares</w:t>
      </w:r>
      <w:r w:rsidRPr="0089530B">
        <w:rPr>
          <w:rFonts w:eastAsia="Arial" w:cs="Arial"/>
        </w:rPr>
        <w:t>. Revista Projeto História, São Paulo, n.10, p.7-28, dez. 1993.</w:t>
      </w:r>
    </w:p>
    <w:p w14:paraId="2473AD74" w14:textId="77777777" w:rsidR="00331583" w:rsidRDefault="00331583" w:rsidP="009A3C27">
      <w:pPr>
        <w:spacing w:line="360" w:lineRule="auto"/>
        <w:jc w:val="both"/>
        <w:rPr>
          <w:rFonts w:eastAsia="Arial" w:cs="Arial"/>
        </w:rPr>
      </w:pPr>
      <w:r w:rsidRPr="00331583">
        <w:rPr>
          <w:rFonts w:eastAsia="Arial" w:cs="Arial"/>
        </w:rPr>
        <w:t>O'DWYER, E. C.; Quilombos: os caminhos do reconhecimento em uma perspectiva contrastiva entre o Direito e a Antropologia</w:t>
      </w:r>
      <w:r w:rsidRPr="00331583">
        <w:rPr>
          <w:rFonts w:eastAsia="Arial" w:cs="Arial"/>
          <w:b/>
          <w:bCs/>
        </w:rPr>
        <w:t>. Fronteiras: Revista de História</w:t>
      </w:r>
      <w:r w:rsidRPr="00331583">
        <w:rPr>
          <w:rFonts w:eastAsia="Arial" w:cs="Arial"/>
        </w:rPr>
        <w:t>, Dourados, v. 12, n. 21, (p. 78–94), 2009. Disponível em: https://ojs.ufgd.edu.br/fronteiras/article/view/454.  Acesso em: 8 maio 2025.</w:t>
      </w:r>
    </w:p>
    <w:p w14:paraId="2AB783BC" w14:textId="1743F0A5" w:rsidR="009A3C27" w:rsidRDefault="009A3C27" w:rsidP="009A3C27">
      <w:pPr>
        <w:spacing w:line="360" w:lineRule="auto"/>
        <w:jc w:val="both"/>
        <w:rPr>
          <w:rFonts w:eastAsia="Arial" w:cs="Arial"/>
        </w:rPr>
      </w:pPr>
      <w:r w:rsidRPr="009A3C27">
        <w:rPr>
          <w:rFonts w:eastAsia="Arial" w:cs="Arial"/>
        </w:rPr>
        <w:t xml:space="preserve">PESAVENTO, S. J.; </w:t>
      </w:r>
      <w:r w:rsidRPr="00F11770">
        <w:rPr>
          <w:rFonts w:eastAsia="Arial" w:cs="Arial"/>
          <w:b/>
          <w:bCs/>
        </w:rPr>
        <w:t>O imaginário da cidade: visões literárias do urbano</w:t>
      </w:r>
      <w:r w:rsidRPr="009A3C27">
        <w:rPr>
          <w:rFonts w:eastAsia="Arial" w:cs="Arial"/>
        </w:rPr>
        <w:t xml:space="preserve"> – Paris, Rio de Janeiro, Porto Alegre. Porto Alegre: Editora UFRGS, </w:t>
      </w:r>
      <w:r w:rsidR="00B12E5C" w:rsidRPr="009A3C27">
        <w:rPr>
          <w:rFonts w:eastAsia="Arial" w:cs="Arial"/>
        </w:rPr>
        <w:t>1999</w:t>
      </w:r>
      <w:r w:rsidR="00B12E5C">
        <w:rPr>
          <w:rFonts w:eastAsia="Arial" w:cs="Arial"/>
        </w:rPr>
        <w:t xml:space="preserve">. </w:t>
      </w:r>
    </w:p>
    <w:p w14:paraId="17C00B3D" w14:textId="0735D3B9" w:rsidR="00331583" w:rsidRDefault="00331583" w:rsidP="00216EFF">
      <w:pPr>
        <w:spacing w:line="360" w:lineRule="auto"/>
        <w:jc w:val="both"/>
        <w:rPr>
          <w:rFonts w:eastAsia="Arial" w:cs="Arial"/>
        </w:rPr>
      </w:pPr>
      <w:r w:rsidRPr="00331583">
        <w:rPr>
          <w:rFonts w:eastAsia="Arial" w:cs="Arial"/>
        </w:rPr>
        <w:t xml:space="preserve">SABOURIN, </w:t>
      </w:r>
      <w:r>
        <w:rPr>
          <w:rFonts w:eastAsia="Arial" w:cs="Arial"/>
        </w:rPr>
        <w:t>E.</w:t>
      </w:r>
      <w:r w:rsidRPr="00331583">
        <w:rPr>
          <w:rFonts w:eastAsia="Arial" w:cs="Arial"/>
        </w:rPr>
        <w:t xml:space="preserve"> Clientelismo e participação nas políticas públicas de desenvolvimento rural no Brasil. </w:t>
      </w:r>
      <w:r w:rsidRPr="00331583">
        <w:rPr>
          <w:rFonts w:eastAsia="Arial" w:cs="Arial"/>
          <w:b/>
          <w:bCs/>
        </w:rPr>
        <w:t>Revista de Economia e Sociologia Rural</w:t>
      </w:r>
      <w:r w:rsidRPr="00331583">
        <w:rPr>
          <w:rFonts w:eastAsia="Arial" w:cs="Arial"/>
        </w:rPr>
        <w:t>, Brasília, v. 58, n. 4, 2020. https://www.scielo.br/j/resr/a/qwL64Tm3rBwFqcjdS6rPYNc/ Acesso em: 0</w:t>
      </w:r>
      <w:r>
        <w:rPr>
          <w:rFonts w:eastAsia="Arial" w:cs="Arial"/>
        </w:rPr>
        <w:t xml:space="preserve">5 maio </w:t>
      </w:r>
      <w:r w:rsidRPr="00331583">
        <w:rPr>
          <w:rFonts w:eastAsia="Arial" w:cs="Arial"/>
        </w:rPr>
        <w:t>2025</w:t>
      </w:r>
      <w:r>
        <w:rPr>
          <w:rFonts w:eastAsia="Arial" w:cs="Arial"/>
        </w:rPr>
        <w:t>.</w:t>
      </w:r>
    </w:p>
    <w:p w14:paraId="456D0CB0" w14:textId="77777777" w:rsidR="00331583" w:rsidRPr="009A3C27" w:rsidRDefault="00331583" w:rsidP="00331583">
      <w:pPr>
        <w:spacing w:line="360" w:lineRule="auto"/>
        <w:jc w:val="both"/>
        <w:rPr>
          <w:rFonts w:eastAsia="Arial" w:cs="Arial"/>
        </w:rPr>
      </w:pPr>
      <w:r w:rsidRPr="00331583">
        <w:rPr>
          <w:rFonts w:eastAsia="Arial" w:cs="Arial"/>
          <w:lang w:val="en-GB"/>
        </w:rPr>
        <w:t xml:space="preserve">SMITH, L.; </w:t>
      </w:r>
      <w:r w:rsidRPr="00331583">
        <w:rPr>
          <w:rFonts w:eastAsia="Arial" w:cs="Arial"/>
          <w:b/>
          <w:bCs/>
          <w:lang w:val="en-GB"/>
        </w:rPr>
        <w:t>Uses of Heritage</w:t>
      </w:r>
      <w:r w:rsidRPr="00331583">
        <w:rPr>
          <w:rFonts w:eastAsia="Arial" w:cs="Arial"/>
          <w:lang w:val="en-GB"/>
        </w:rPr>
        <w:t xml:space="preserve">. </w:t>
      </w:r>
      <w:r w:rsidRPr="009A3C27">
        <w:rPr>
          <w:rFonts w:eastAsia="Arial" w:cs="Arial"/>
        </w:rPr>
        <w:t xml:space="preserve">London: </w:t>
      </w:r>
      <w:proofErr w:type="spellStart"/>
      <w:r w:rsidRPr="009A3C27">
        <w:rPr>
          <w:rFonts w:eastAsia="Arial" w:cs="Arial"/>
        </w:rPr>
        <w:t>Routledge</w:t>
      </w:r>
      <w:proofErr w:type="spellEnd"/>
      <w:r w:rsidRPr="009A3C27">
        <w:rPr>
          <w:rFonts w:eastAsia="Arial" w:cs="Arial"/>
        </w:rPr>
        <w:t>, 2006.</w:t>
      </w:r>
    </w:p>
    <w:p w14:paraId="109ACCB6" w14:textId="16495EA1" w:rsidR="0008571A" w:rsidRDefault="0008571A" w:rsidP="00216EFF">
      <w:pPr>
        <w:spacing w:line="360" w:lineRule="auto"/>
        <w:jc w:val="both"/>
        <w:rPr>
          <w:rFonts w:eastAsia="Arial" w:cs="Arial"/>
        </w:rPr>
      </w:pPr>
      <w:r w:rsidRPr="0008571A">
        <w:rPr>
          <w:rFonts w:eastAsia="Arial" w:cs="Arial"/>
        </w:rPr>
        <w:t xml:space="preserve">SOUZA, Carlos Frederico Marés de; PRIOSTE, Fernando. Quilombos no Brasil e direitos socioambientais na América Latina. </w:t>
      </w:r>
      <w:r w:rsidRPr="0008571A">
        <w:rPr>
          <w:rFonts w:eastAsia="Arial" w:cs="Arial"/>
          <w:b/>
          <w:bCs/>
        </w:rPr>
        <w:t>Revista Direito e Práxis</w:t>
      </w:r>
      <w:r w:rsidRPr="0008571A">
        <w:rPr>
          <w:rFonts w:eastAsia="Arial" w:cs="Arial"/>
        </w:rPr>
        <w:t xml:space="preserve">, v. 8, p. 2903-2926, 2017. </w:t>
      </w:r>
    </w:p>
    <w:p w14:paraId="4D85B331" w14:textId="11BA49EF" w:rsidR="007612B9" w:rsidRPr="00216EFF" w:rsidRDefault="007612B9" w:rsidP="00216EFF">
      <w:pPr>
        <w:spacing w:line="360" w:lineRule="auto"/>
        <w:jc w:val="both"/>
        <w:rPr>
          <w:rFonts w:eastAsia="Arial" w:cs="Arial"/>
        </w:rPr>
      </w:pPr>
      <w:r w:rsidRPr="007612B9">
        <w:rPr>
          <w:rFonts w:eastAsia="Arial" w:cs="Arial"/>
        </w:rPr>
        <w:t>WOORTMANN, K</w:t>
      </w:r>
      <w:r>
        <w:rPr>
          <w:rFonts w:eastAsia="Arial" w:cs="Arial"/>
        </w:rPr>
        <w:t>.</w:t>
      </w:r>
      <w:r w:rsidRPr="007612B9">
        <w:rPr>
          <w:rFonts w:eastAsia="Arial" w:cs="Arial"/>
        </w:rPr>
        <w:t>; WOORTMANN, E</w:t>
      </w:r>
      <w:r>
        <w:rPr>
          <w:rFonts w:eastAsia="Arial" w:cs="Arial"/>
        </w:rPr>
        <w:t>.</w:t>
      </w:r>
      <w:r w:rsidRPr="007612B9">
        <w:rPr>
          <w:rFonts w:eastAsia="Arial" w:cs="Arial"/>
        </w:rPr>
        <w:t xml:space="preserve"> F.;</w:t>
      </w:r>
      <w:r>
        <w:rPr>
          <w:rFonts w:eastAsia="Arial" w:cs="Arial"/>
        </w:rPr>
        <w:t xml:space="preserve"> </w:t>
      </w:r>
      <w:r w:rsidRPr="007612B9">
        <w:rPr>
          <w:rFonts w:eastAsia="Arial" w:cs="Arial"/>
          <w:b/>
          <w:bCs/>
        </w:rPr>
        <w:t>O trabalho da terra: a lógica e a simbólica da lavoura camponesa</w:t>
      </w:r>
      <w:r w:rsidRPr="007612B9">
        <w:rPr>
          <w:rFonts w:eastAsia="Arial" w:cs="Arial"/>
        </w:rPr>
        <w:t>. Brasília: Editora Universidade de Brasília, 1997</w:t>
      </w:r>
      <w:r w:rsidR="00331583">
        <w:rPr>
          <w:rFonts w:eastAsia="Arial" w:cs="Arial"/>
        </w:rPr>
        <w:t>.</w:t>
      </w:r>
    </w:p>
    <w:sectPr w:rsidR="007612B9" w:rsidRPr="00216EFF" w:rsidSect="0053021A">
      <w:footerReference w:type="default" r:id="rId9"/>
      <w:pgSz w:w="11906" w:h="16838"/>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C193AA" w14:textId="77777777" w:rsidR="002D379A" w:rsidRDefault="002D379A" w:rsidP="0027518C">
      <w:r>
        <w:separator/>
      </w:r>
    </w:p>
  </w:endnote>
  <w:endnote w:type="continuationSeparator" w:id="0">
    <w:p w14:paraId="151B97C8" w14:textId="77777777" w:rsidR="002D379A" w:rsidRDefault="002D379A" w:rsidP="002751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ntonio">
    <w:altName w:val="Calibri"/>
    <w:charset w:val="4D"/>
    <w:family w:val="auto"/>
    <w:pitch w:val="variable"/>
    <w:sig w:usb0="A00000EF" w:usb1="0000204B" w:usb2="00000000" w:usb3="00000000" w:csb0="00000093" w:csb1="00000000"/>
  </w:font>
  <w:font w:name="Avenir Book">
    <w:altName w:val="Tw Cen MT"/>
    <w:charset w:val="00"/>
    <w:family w:val="auto"/>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6226C" w14:textId="4E227B22" w:rsidR="0027518C" w:rsidRDefault="0027518C">
    <w:pPr>
      <w:pStyle w:val="Footer"/>
    </w:pPr>
    <w:r>
      <w:rPr>
        <w:noProof/>
      </w:rPr>
      <w:drawing>
        <wp:anchor distT="0" distB="0" distL="114300" distR="114300" simplePos="0" relativeHeight="251658240" behindDoc="1" locked="0" layoutInCell="1" allowOverlap="1" wp14:anchorId="5288206B" wp14:editId="4A2E08AF">
          <wp:simplePos x="0" y="0"/>
          <wp:positionH relativeFrom="column">
            <wp:posOffset>-1080135</wp:posOffset>
          </wp:positionH>
          <wp:positionV relativeFrom="paragraph">
            <wp:posOffset>-10065385</wp:posOffset>
          </wp:positionV>
          <wp:extent cx="7566660" cy="2136140"/>
          <wp:effectExtent l="0" t="0" r="2540" b="0"/>
          <wp:wrapTight wrapText="bothSides">
            <wp:wrapPolygon edited="1">
              <wp:start x="0" y="0"/>
              <wp:lineTo x="0" y="22484"/>
              <wp:lineTo x="21600" y="22484"/>
              <wp:lineTo x="21571" y="0"/>
              <wp:lineTo x="0" y="0"/>
            </wp:wrapPolygon>
          </wp:wrapTight>
          <wp:docPr id="483083890" name="Imagem 5" descr="Uma imagem contendo 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11554" name="Imagem 5" descr="Uma imagem contendo Texto&#10;&#10;O conteúdo gerado por IA pode estar incorreto."/>
                  <pic:cNvPicPr/>
                </pic:nvPicPr>
                <pic:blipFill>
                  <a:blip r:embed="rId1">
                    <a:extLst>
                      <a:ext uri="{28A0092B-C50C-407E-A947-70E740481C1C}">
                        <a14:useLocalDpi xmlns:a14="http://schemas.microsoft.com/office/drawing/2010/main" val="0"/>
                      </a:ext>
                    </a:extLst>
                  </a:blip>
                  <a:stretch>
                    <a:fillRect/>
                  </a:stretch>
                </pic:blipFill>
                <pic:spPr>
                  <a:xfrm>
                    <a:off x="0" y="0"/>
                    <a:ext cx="7566660" cy="21361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62D3DA" w14:textId="77777777" w:rsidR="002D379A" w:rsidRDefault="002D379A" w:rsidP="0027518C">
      <w:r>
        <w:separator/>
      </w:r>
    </w:p>
  </w:footnote>
  <w:footnote w:type="continuationSeparator" w:id="0">
    <w:p w14:paraId="07B0F00E" w14:textId="77777777" w:rsidR="002D379A" w:rsidRDefault="002D379A" w:rsidP="0027518C">
      <w:r>
        <w:continuationSeparator/>
      </w:r>
    </w:p>
  </w:footnote>
  <w:footnote w:id="1">
    <w:p w14:paraId="6DBA78B4" w14:textId="524C79D3" w:rsidR="00216EFF" w:rsidRPr="0018293E" w:rsidRDefault="00216EFF" w:rsidP="00856094">
      <w:pPr>
        <w:pStyle w:val="FootnoteText"/>
        <w:rPr>
          <w:rFonts w:ascii="Avenir Book" w:hAnsi="Avenir Book"/>
          <w:lang w:val="pt-BR"/>
        </w:rPr>
      </w:pPr>
      <w:r w:rsidRPr="0018293E">
        <w:rPr>
          <w:rStyle w:val="FootnoteReference"/>
          <w:rFonts w:ascii="Avenir Book" w:hAnsi="Avenir Book"/>
        </w:rPr>
        <w:footnoteRef/>
      </w:r>
      <w:r w:rsidRPr="0018293E">
        <w:rPr>
          <w:rFonts w:ascii="Avenir Book" w:hAnsi="Avenir Book"/>
        </w:rPr>
        <w:t xml:space="preserve"> </w:t>
      </w:r>
      <w:r w:rsidR="00856094">
        <w:rPr>
          <w:rFonts w:ascii="Avenir Book" w:eastAsia="Arial" w:hAnsi="Avenir Book" w:cs="Arial"/>
        </w:rPr>
        <w:t>Mestrando no Programa de Pós-gradu</w:t>
      </w:r>
      <w:r w:rsidR="009B3751">
        <w:rPr>
          <w:rFonts w:ascii="Avenir Book" w:eastAsia="Arial" w:hAnsi="Avenir Book" w:cs="Arial"/>
        </w:rPr>
        <w:t>a</w:t>
      </w:r>
      <w:r w:rsidR="009B3751" w:rsidRPr="0018293E">
        <w:rPr>
          <w:rFonts w:ascii="Avenir Book" w:eastAsia="Arial" w:hAnsi="Avenir Book" w:cs="Arial"/>
        </w:rPr>
        <w:t>çã</w:t>
      </w:r>
      <w:r w:rsidR="00856094">
        <w:rPr>
          <w:rFonts w:ascii="Avenir Book" w:eastAsia="Arial" w:hAnsi="Avenir Book" w:cs="Arial"/>
        </w:rPr>
        <w:t xml:space="preserve">o em Desenvolvimento Territorial e Sistemas Agroindustriais </w:t>
      </w:r>
      <w:r w:rsidR="006903FE">
        <w:rPr>
          <w:rFonts w:ascii="Avenir Book" w:eastAsia="Arial" w:hAnsi="Avenir Book" w:cs="Arial"/>
        </w:rPr>
        <w:t>Universidade Federal de Pelotas</w:t>
      </w:r>
      <w:r w:rsidR="003A49A9">
        <w:rPr>
          <w:rFonts w:ascii="Avenir Book" w:eastAsia="Arial" w:hAnsi="Avenir Book" w:cs="Arial"/>
        </w:rPr>
        <w:t xml:space="preserve"> e Bolsista da Coordenação de Aperfeiçoamento de Pessoal de Nivel Superior</w:t>
      </w:r>
      <w:r w:rsidRPr="0018293E">
        <w:rPr>
          <w:rFonts w:ascii="Avenir Book" w:eastAsia="Arial" w:hAnsi="Avenir Book" w:cs="Arial"/>
        </w:rPr>
        <w:t xml:space="preserve">, </w:t>
      </w:r>
      <w:hyperlink r:id="rId1" w:history="1">
        <w:r w:rsidR="006903FE" w:rsidRPr="003409C2">
          <w:rPr>
            <w:rStyle w:val="Hyperlink"/>
            <w:rFonts w:ascii="Avenir Book" w:eastAsia="Arial" w:hAnsi="Avenir Book" w:cs="Arial"/>
          </w:rPr>
          <w:t>edubauereyeshua@yahoo.com.br</w:t>
        </w:r>
      </w:hyperlink>
      <w:r w:rsidR="006903FE">
        <w:rPr>
          <w:rFonts w:ascii="Avenir Book" w:eastAsia="Arial" w:hAnsi="Avenir Book" w:cs="Arial"/>
        </w:rPr>
        <w:t xml:space="preserve"> </w:t>
      </w:r>
    </w:p>
  </w:footnote>
  <w:footnote w:id="2">
    <w:p w14:paraId="0FB8A3DC" w14:textId="5BC91824" w:rsidR="00A821B3" w:rsidRDefault="00216EFF" w:rsidP="00856094">
      <w:pPr>
        <w:pStyle w:val="FootnoteText"/>
        <w:rPr>
          <w:rFonts w:ascii="Avenir Book" w:eastAsia="Arial" w:hAnsi="Avenir Book" w:cs="Arial"/>
        </w:rPr>
      </w:pPr>
      <w:r w:rsidRPr="0018293E">
        <w:rPr>
          <w:rStyle w:val="FootnoteReference"/>
          <w:rFonts w:ascii="Avenir Book" w:hAnsi="Avenir Book"/>
        </w:rPr>
        <w:footnoteRef/>
      </w:r>
      <w:r w:rsidRPr="0018293E">
        <w:rPr>
          <w:rFonts w:ascii="Avenir Book" w:hAnsi="Avenir Book"/>
        </w:rPr>
        <w:t xml:space="preserve"> </w:t>
      </w:r>
      <w:r w:rsidR="009B3751">
        <w:rPr>
          <w:rFonts w:ascii="Avenir Book" w:eastAsia="Arial" w:hAnsi="Avenir Book" w:cs="Arial"/>
        </w:rPr>
        <w:t>Professora no Programa de Pós-gradua</w:t>
      </w:r>
      <w:r w:rsidR="009B3751" w:rsidRPr="0018293E">
        <w:rPr>
          <w:rFonts w:ascii="Avenir Book" w:eastAsia="Arial" w:hAnsi="Avenir Book" w:cs="Arial"/>
        </w:rPr>
        <w:t>çã</w:t>
      </w:r>
      <w:r w:rsidR="009B3751">
        <w:rPr>
          <w:rFonts w:ascii="Avenir Book" w:eastAsia="Arial" w:hAnsi="Avenir Book" w:cs="Arial"/>
        </w:rPr>
        <w:t>o em Desenvolvimento Territorial e Sistemas Agroindustriais</w:t>
      </w:r>
      <w:r w:rsidRPr="0018293E">
        <w:rPr>
          <w:rFonts w:ascii="Avenir Book" w:eastAsia="Arial" w:hAnsi="Avenir Book" w:cs="Arial"/>
        </w:rPr>
        <w:t xml:space="preserve"> </w:t>
      </w:r>
      <w:r w:rsidR="006903FE">
        <w:rPr>
          <w:rFonts w:ascii="Avenir Book" w:eastAsia="Arial" w:hAnsi="Avenir Book" w:cs="Arial"/>
        </w:rPr>
        <w:t>Universidade Federal de Pelotas</w:t>
      </w:r>
      <w:r w:rsidRPr="0018293E">
        <w:rPr>
          <w:rFonts w:ascii="Avenir Book" w:eastAsia="Arial" w:hAnsi="Avenir Book" w:cs="Arial"/>
        </w:rPr>
        <w:t xml:space="preserve">, </w:t>
      </w:r>
      <w:hyperlink r:id="rId2" w:history="1">
        <w:r w:rsidR="006903FE" w:rsidRPr="003409C2">
          <w:rPr>
            <w:rStyle w:val="Hyperlink"/>
            <w:rFonts w:ascii="Avenir Book" w:eastAsia="Arial" w:hAnsi="Avenir Book" w:cs="Arial"/>
          </w:rPr>
          <w:t>marielen.kaufmann@ufpel.edu.br</w:t>
        </w:r>
      </w:hyperlink>
      <w:r w:rsidR="006903FE">
        <w:rPr>
          <w:rFonts w:ascii="Avenir Book" w:eastAsia="Arial" w:hAnsi="Avenir Book" w:cs="Arial"/>
        </w:rPr>
        <w:t xml:space="preserve"> </w:t>
      </w:r>
    </w:p>
    <w:p w14:paraId="6AC1B41D" w14:textId="34D7B2F9" w:rsidR="00A821B3" w:rsidRPr="008B57FA" w:rsidRDefault="009D55C1" w:rsidP="00216EFF">
      <w:pPr>
        <w:pStyle w:val="FootnoteText"/>
        <w:rPr>
          <w:rFonts w:ascii="Avenir Book" w:eastAsia="Arial" w:hAnsi="Avenir Book" w:cs="Arial"/>
        </w:rPr>
      </w:pPr>
      <w:r>
        <w:rPr>
          <w:rFonts w:ascii="Avenir Book" w:eastAsia="Arial" w:hAnsi="Avenir Book" w:cs="Arial"/>
          <w:vertAlign w:val="superscript"/>
        </w:rPr>
        <w:t xml:space="preserve">3 </w:t>
      </w:r>
      <w:r w:rsidR="008F0AB7">
        <w:rPr>
          <w:rFonts w:ascii="Avenir Book" w:eastAsia="Arial" w:hAnsi="Avenir Book" w:cs="Arial"/>
        </w:rPr>
        <w:t>Universidade Federal de Pelotas</w:t>
      </w:r>
      <w:r w:rsidR="006F2559">
        <w:rPr>
          <w:rFonts w:ascii="Avenir Book" w:eastAsia="Arial" w:hAnsi="Avenir Book" w:cs="Arial"/>
        </w:rPr>
        <w:t xml:space="preserve">, </w:t>
      </w:r>
      <w:hyperlink r:id="rId3" w:history="1">
        <w:r w:rsidR="00A821B3" w:rsidRPr="00A93587">
          <w:rPr>
            <w:rStyle w:val="Hyperlink"/>
            <w:rFonts w:ascii="Avenir Book" w:eastAsia="Arial" w:hAnsi="Avenir Book" w:cs="Arial"/>
          </w:rPr>
          <w:t>dlrmuseologo@yahoo.com.br</w:t>
        </w:r>
      </w:hyperlink>
    </w:p>
  </w:footnote>
  <w:footnote w:id="3">
    <w:p w14:paraId="19C6829B" w14:textId="462BEDF4" w:rsidR="00EF0BF3" w:rsidRPr="00EF0BF3" w:rsidRDefault="00EF0BF3">
      <w:pPr>
        <w:pStyle w:val="FootnoteText"/>
        <w:rPr>
          <w:lang w:val="pt-BR"/>
        </w:rPr>
      </w:pPr>
    </w:p>
  </w:footnote>
  <w:footnote w:id="4">
    <w:p w14:paraId="14866753" w14:textId="29EF6161" w:rsidR="00420B2F" w:rsidRPr="00E36BC5" w:rsidRDefault="00420B2F" w:rsidP="0008571A">
      <w:pPr>
        <w:pStyle w:val="FootnoteText"/>
        <w:jc w:val="both"/>
        <w:rPr>
          <w:rFonts w:asciiTheme="minorHAnsi" w:hAnsiTheme="minorHAnsi"/>
          <w:lang w:val="pt-BR"/>
        </w:rPr>
      </w:pPr>
      <w:r w:rsidRPr="00E36BC5">
        <w:rPr>
          <w:rStyle w:val="FootnoteReference"/>
          <w:rFonts w:asciiTheme="minorHAnsi" w:hAnsiTheme="minorHAnsi"/>
        </w:rPr>
        <w:footnoteRef/>
      </w:r>
      <w:r w:rsidR="00E36BC5" w:rsidRPr="00E36BC5">
        <w:rPr>
          <w:rFonts w:asciiTheme="minorHAnsi" w:hAnsiTheme="minorHAnsi"/>
        </w:rPr>
        <w:t>O termo é utilizado para descrever a situação de segmentos negros no Brasil em diversos contextos e regiões, referindo-se a diferentes formas de acesso e uso da terra</w:t>
      </w:r>
      <w:r w:rsidR="00B541B8">
        <w:rPr>
          <w:rFonts w:asciiTheme="minorHAnsi" w:hAnsiTheme="minorHAnsi"/>
        </w:rPr>
        <w:t xml:space="preserve"> </w:t>
      </w:r>
      <w:r w:rsidR="0008571A">
        <w:rPr>
          <w:rFonts w:asciiTheme="minorHAnsi" w:hAnsiTheme="minorHAnsi"/>
        </w:rPr>
        <w:t>(</w:t>
      </w:r>
      <w:r w:rsidR="0008571A" w:rsidRPr="0008571A">
        <w:rPr>
          <w:rFonts w:asciiTheme="minorHAnsi" w:hAnsiTheme="minorHAnsi"/>
          <w:lang w:val="pt-BR"/>
        </w:rPr>
        <w:t xml:space="preserve">Souza; </w:t>
      </w:r>
      <w:proofErr w:type="spellStart"/>
      <w:r w:rsidR="0008571A" w:rsidRPr="0008571A">
        <w:rPr>
          <w:rFonts w:asciiTheme="minorHAnsi" w:hAnsiTheme="minorHAnsi"/>
          <w:lang w:val="pt-BR"/>
        </w:rPr>
        <w:t>Prioste</w:t>
      </w:r>
      <w:proofErr w:type="spellEnd"/>
      <w:r w:rsidR="0008571A" w:rsidRPr="0008571A">
        <w:rPr>
          <w:rFonts w:asciiTheme="minorHAnsi" w:hAnsiTheme="minorHAnsi"/>
          <w:lang w:val="pt-BR"/>
        </w:rPr>
        <w:t>, 2017</w:t>
      </w:r>
      <w:r w:rsidR="0008571A">
        <w:rPr>
          <w:rFonts w:asciiTheme="minorHAnsi" w:hAnsiTheme="minorHAnsi"/>
          <w:lang w:val="pt-BR"/>
        </w:rPr>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AFB"/>
    <w:rsid w:val="00000C5B"/>
    <w:rsid w:val="000065BD"/>
    <w:rsid w:val="000111FF"/>
    <w:rsid w:val="000131A7"/>
    <w:rsid w:val="000236ED"/>
    <w:rsid w:val="00025AF8"/>
    <w:rsid w:val="00036856"/>
    <w:rsid w:val="000665FF"/>
    <w:rsid w:val="000679C8"/>
    <w:rsid w:val="00074111"/>
    <w:rsid w:val="0008571A"/>
    <w:rsid w:val="000868F1"/>
    <w:rsid w:val="000B60D4"/>
    <w:rsid w:val="000C4A89"/>
    <w:rsid w:val="000D55B7"/>
    <w:rsid w:val="000F10A8"/>
    <w:rsid w:val="000F3B3A"/>
    <w:rsid w:val="000F7A78"/>
    <w:rsid w:val="0010445B"/>
    <w:rsid w:val="00112D81"/>
    <w:rsid w:val="00116911"/>
    <w:rsid w:val="001229BD"/>
    <w:rsid w:val="001427CF"/>
    <w:rsid w:val="00144868"/>
    <w:rsid w:val="00144A99"/>
    <w:rsid w:val="00160AE9"/>
    <w:rsid w:val="00170854"/>
    <w:rsid w:val="0017588A"/>
    <w:rsid w:val="001918D8"/>
    <w:rsid w:val="00196D5E"/>
    <w:rsid w:val="001B14B7"/>
    <w:rsid w:val="001B225E"/>
    <w:rsid w:val="001B4737"/>
    <w:rsid w:val="001D236F"/>
    <w:rsid w:val="001E22FD"/>
    <w:rsid w:val="001E29B5"/>
    <w:rsid w:val="001E3DD2"/>
    <w:rsid w:val="001E67E7"/>
    <w:rsid w:val="001E71B1"/>
    <w:rsid w:val="001F2AEF"/>
    <w:rsid w:val="00204398"/>
    <w:rsid w:val="00216EFF"/>
    <w:rsid w:val="00217858"/>
    <w:rsid w:val="002241BD"/>
    <w:rsid w:val="002252C1"/>
    <w:rsid w:val="0023117E"/>
    <w:rsid w:val="00236515"/>
    <w:rsid w:val="00236F9B"/>
    <w:rsid w:val="0024038C"/>
    <w:rsid w:val="00260EA4"/>
    <w:rsid w:val="00270C3F"/>
    <w:rsid w:val="002739D3"/>
    <w:rsid w:val="0027518C"/>
    <w:rsid w:val="0028070F"/>
    <w:rsid w:val="00282729"/>
    <w:rsid w:val="00285B59"/>
    <w:rsid w:val="00285F26"/>
    <w:rsid w:val="002864C8"/>
    <w:rsid w:val="00292135"/>
    <w:rsid w:val="00295FBE"/>
    <w:rsid w:val="002A760F"/>
    <w:rsid w:val="002B2423"/>
    <w:rsid w:val="002B3962"/>
    <w:rsid w:val="002B4123"/>
    <w:rsid w:val="002B5595"/>
    <w:rsid w:val="002C5C37"/>
    <w:rsid w:val="002D379A"/>
    <w:rsid w:val="002D46ED"/>
    <w:rsid w:val="002D6BE4"/>
    <w:rsid w:val="002D7634"/>
    <w:rsid w:val="002E0A16"/>
    <w:rsid w:val="002E29E4"/>
    <w:rsid w:val="003155E6"/>
    <w:rsid w:val="003218CB"/>
    <w:rsid w:val="00323A81"/>
    <w:rsid w:val="0032757F"/>
    <w:rsid w:val="00331583"/>
    <w:rsid w:val="0034142B"/>
    <w:rsid w:val="00346F5F"/>
    <w:rsid w:val="00352A38"/>
    <w:rsid w:val="0036057E"/>
    <w:rsid w:val="003743A3"/>
    <w:rsid w:val="00374FA4"/>
    <w:rsid w:val="00380655"/>
    <w:rsid w:val="003871F3"/>
    <w:rsid w:val="0039720E"/>
    <w:rsid w:val="003A49A9"/>
    <w:rsid w:val="003A4E47"/>
    <w:rsid w:val="003A5BAC"/>
    <w:rsid w:val="003B5D85"/>
    <w:rsid w:val="003C29CB"/>
    <w:rsid w:val="004108B1"/>
    <w:rsid w:val="00420B2F"/>
    <w:rsid w:val="00427016"/>
    <w:rsid w:val="004273E2"/>
    <w:rsid w:val="00441D0F"/>
    <w:rsid w:val="004432B7"/>
    <w:rsid w:val="00443FE5"/>
    <w:rsid w:val="0044563B"/>
    <w:rsid w:val="0045398B"/>
    <w:rsid w:val="00456212"/>
    <w:rsid w:val="00457A2D"/>
    <w:rsid w:val="00464AC0"/>
    <w:rsid w:val="00474B5E"/>
    <w:rsid w:val="004805BA"/>
    <w:rsid w:val="00487EA1"/>
    <w:rsid w:val="004906DE"/>
    <w:rsid w:val="004B0BBF"/>
    <w:rsid w:val="004B5A8A"/>
    <w:rsid w:val="004C55D8"/>
    <w:rsid w:val="004F4B11"/>
    <w:rsid w:val="00507B98"/>
    <w:rsid w:val="0051108A"/>
    <w:rsid w:val="00522A40"/>
    <w:rsid w:val="0053021A"/>
    <w:rsid w:val="00532067"/>
    <w:rsid w:val="005376AF"/>
    <w:rsid w:val="0054017E"/>
    <w:rsid w:val="0055658C"/>
    <w:rsid w:val="005617C7"/>
    <w:rsid w:val="00587068"/>
    <w:rsid w:val="00590C9B"/>
    <w:rsid w:val="005928F0"/>
    <w:rsid w:val="005A0039"/>
    <w:rsid w:val="005A72F4"/>
    <w:rsid w:val="005C6F62"/>
    <w:rsid w:val="005D6436"/>
    <w:rsid w:val="005F2C7E"/>
    <w:rsid w:val="00604529"/>
    <w:rsid w:val="0061439B"/>
    <w:rsid w:val="0061467E"/>
    <w:rsid w:val="00634370"/>
    <w:rsid w:val="00634CEE"/>
    <w:rsid w:val="0064517D"/>
    <w:rsid w:val="0065655F"/>
    <w:rsid w:val="006608BC"/>
    <w:rsid w:val="006628BA"/>
    <w:rsid w:val="00676CF3"/>
    <w:rsid w:val="00680A10"/>
    <w:rsid w:val="0068308E"/>
    <w:rsid w:val="006903FE"/>
    <w:rsid w:val="00692EEB"/>
    <w:rsid w:val="0069638B"/>
    <w:rsid w:val="006B0B0F"/>
    <w:rsid w:val="006B19A1"/>
    <w:rsid w:val="006B5EFA"/>
    <w:rsid w:val="006D5EA7"/>
    <w:rsid w:val="006D6830"/>
    <w:rsid w:val="006E1122"/>
    <w:rsid w:val="006F1362"/>
    <w:rsid w:val="006F2559"/>
    <w:rsid w:val="006F34A8"/>
    <w:rsid w:val="006F61E6"/>
    <w:rsid w:val="00704D19"/>
    <w:rsid w:val="007125FD"/>
    <w:rsid w:val="007336AB"/>
    <w:rsid w:val="00733AFB"/>
    <w:rsid w:val="00735C04"/>
    <w:rsid w:val="00740DEB"/>
    <w:rsid w:val="00741DEF"/>
    <w:rsid w:val="007432B2"/>
    <w:rsid w:val="00744A18"/>
    <w:rsid w:val="00755370"/>
    <w:rsid w:val="00757F24"/>
    <w:rsid w:val="007612B9"/>
    <w:rsid w:val="0077548C"/>
    <w:rsid w:val="00781351"/>
    <w:rsid w:val="00784944"/>
    <w:rsid w:val="00795DD4"/>
    <w:rsid w:val="007B4239"/>
    <w:rsid w:val="007B47F4"/>
    <w:rsid w:val="007C048F"/>
    <w:rsid w:val="007F150C"/>
    <w:rsid w:val="007F648A"/>
    <w:rsid w:val="00812203"/>
    <w:rsid w:val="0081602F"/>
    <w:rsid w:val="00816041"/>
    <w:rsid w:val="00830EB6"/>
    <w:rsid w:val="00834EAA"/>
    <w:rsid w:val="00835507"/>
    <w:rsid w:val="0084029A"/>
    <w:rsid w:val="008454F3"/>
    <w:rsid w:val="00847D9B"/>
    <w:rsid w:val="00856094"/>
    <w:rsid w:val="0086231B"/>
    <w:rsid w:val="00865A5A"/>
    <w:rsid w:val="00873AEF"/>
    <w:rsid w:val="00873B12"/>
    <w:rsid w:val="00883755"/>
    <w:rsid w:val="0089530B"/>
    <w:rsid w:val="008A3363"/>
    <w:rsid w:val="008A50E4"/>
    <w:rsid w:val="008B54C1"/>
    <w:rsid w:val="008B57FA"/>
    <w:rsid w:val="008D5EDE"/>
    <w:rsid w:val="008E4C8C"/>
    <w:rsid w:val="008E7A76"/>
    <w:rsid w:val="008F077C"/>
    <w:rsid w:val="008F0AB7"/>
    <w:rsid w:val="008F2CE9"/>
    <w:rsid w:val="00903635"/>
    <w:rsid w:val="00930652"/>
    <w:rsid w:val="00936A6B"/>
    <w:rsid w:val="0094054E"/>
    <w:rsid w:val="00956A00"/>
    <w:rsid w:val="009613B4"/>
    <w:rsid w:val="009924C0"/>
    <w:rsid w:val="009925AA"/>
    <w:rsid w:val="009A0760"/>
    <w:rsid w:val="009A0792"/>
    <w:rsid w:val="009A3C27"/>
    <w:rsid w:val="009A45E1"/>
    <w:rsid w:val="009A6981"/>
    <w:rsid w:val="009A770F"/>
    <w:rsid w:val="009B3751"/>
    <w:rsid w:val="009B69D3"/>
    <w:rsid w:val="009C5184"/>
    <w:rsid w:val="009D55C1"/>
    <w:rsid w:val="009D5CAA"/>
    <w:rsid w:val="00A04DCE"/>
    <w:rsid w:val="00A15A6F"/>
    <w:rsid w:val="00A1672F"/>
    <w:rsid w:val="00A32627"/>
    <w:rsid w:val="00A46497"/>
    <w:rsid w:val="00A50BC3"/>
    <w:rsid w:val="00A53E4F"/>
    <w:rsid w:val="00A5494A"/>
    <w:rsid w:val="00A55CB4"/>
    <w:rsid w:val="00A645D4"/>
    <w:rsid w:val="00A752B0"/>
    <w:rsid w:val="00A821B3"/>
    <w:rsid w:val="00A93D83"/>
    <w:rsid w:val="00A96FFD"/>
    <w:rsid w:val="00AA5FFA"/>
    <w:rsid w:val="00AB0DE3"/>
    <w:rsid w:val="00AB4A46"/>
    <w:rsid w:val="00AC42B0"/>
    <w:rsid w:val="00AD15BF"/>
    <w:rsid w:val="00AD6304"/>
    <w:rsid w:val="00AE30CD"/>
    <w:rsid w:val="00AE47D8"/>
    <w:rsid w:val="00B000CF"/>
    <w:rsid w:val="00B118D7"/>
    <w:rsid w:val="00B12E5C"/>
    <w:rsid w:val="00B23A4B"/>
    <w:rsid w:val="00B31D9A"/>
    <w:rsid w:val="00B3310B"/>
    <w:rsid w:val="00B34E08"/>
    <w:rsid w:val="00B42F6C"/>
    <w:rsid w:val="00B47455"/>
    <w:rsid w:val="00B541B8"/>
    <w:rsid w:val="00B61734"/>
    <w:rsid w:val="00B7583B"/>
    <w:rsid w:val="00B86EF2"/>
    <w:rsid w:val="00B900C6"/>
    <w:rsid w:val="00B95C67"/>
    <w:rsid w:val="00BA38A4"/>
    <w:rsid w:val="00BA3CC6"/>
    <w:rsid w:val="00BB13A6"/>
    <w:rsid w:val="00BB2AB4"/>
    <w:rsid w:val="00BB7DEA"/>
    <w:rsid w:val="00BC2B1E"/>
    <w:rsid w:val="00BC7D46"/>
    <w:rsid w:val="00BD041D"/>
    <w:rsid w:val="00BD4462"/>
    <w:rsid w:val="00BE637A"/>
    <w:rsid w:val="00BE77DA"/>
    <w:rsid w:val="00C043CF"/>
    <w:rsid w:val="00C31131"/>
    <w:rsid w:val="00C544B9"/>
    <w:rsid w:val="00C54E5F"/>
    <w:rsid w:val="00C601C7"/>
    <w:rsid w:val="00C71B11"/>
    <w:rsid w:val="00C93884"/>
    <w:rsid w:val="00C95EB0"/>
    <w:rsid w:val="00C97470"/>
    <w:rsid w:val="00CB3343"/>
    <w:rsid w:val="00CC16A3"/>
    <w:rsid w:val="00CD4FB8"/>
    <w:rsid w:val="00CE0BED"/>
    <w:rsid w:val="00CE59B4"/>
    <w:rsid w:val="00CE7279"/>
    <w:rsid w:val="00CF488F"/>
    <w:rsid w:val="00D0081B"/>
    <w:rsid w:val="00D0133A"/>
    <w:rsid w:val="00D036CC"/>
    <w:rsid w:val="00D11518"/>
    <w:rsid w:val="00D2429F"/>
    <w:rsid w:val="00D271D5"/>
    <w:rsid w:val="00D31A9F"/>
    <w:rsid w:val="00D46408"/>
    <w:rsid w:val="00D503D4"/>
    <w:rsid w:val="00D50C29"/>
    <w:rsid w:val="00D671AF"/>
    <w:rsid w:val="00D77A38"/>
    <w:rsid w:val="00D77AB3"/>
    <w:rsid w:val="00D836C2"/>
    <w:rsid w:val="00DB0D29"/>
    <w:rsid w:val="00DB5209"/>
    <w:rsid w:val="00DC7824"/>
    <w:rsid w:val="00DD20BE"/>
    <w:rsid w:val="00DE01E0"/>
    <w:rsid w:val="00DE579D"/>
    <w:rsid w:val="00DF0422"/>
    <w:rsid w:val="00DF20E7"/>
    <w:rsid w:val="00E17198"/>
    <w:rsid w:val="00E233F7"/>
    <w:rsid w:val="00E36BC5"/>
    <w:rsid w:val="00E446DC"/>
    <w:rsid w:val="00E475A2"/>
    <w:rsid w:val="00E50178"/>
    <w:rsid w:val="00E548D3"/>
    <w:rsid w:val="00E56644"/>
    <w:rsid w:val="00E9577F"/>
    <w:rsid w:val="00EC1C12"/>
    <w:rsid w:val="00ED0705"/>
    <w:rsid w:val="00EE278E"/>
    <w:rsid w:val="00EE28ED"/>
    <w:rsid w:val="00EF0BF3"/>
    <w:rsid w:val="00EF3853"/>
    <w:rsid w:val="00F11770"/>
    <w:rsid w:val="00F277E7"/>
    <w:rsid w:val="00F37502"/>
    <w:rsid w:val="00F42C71"/>
    <w:rsid w:val="00F432B8"/>
    <w:rsid w:val="00F503C3"/>
    <w:rsid w:val="00F549DF"/>
    <w:rsid w:val="00F56C68"/>
    <w:rsid w:val="00F6656A"/>
    <w:rsid w:val="00F72584"/>
    <w:rsid w:val="00F72BC6"/>
    <w:rsid w:val="00F83CC0"/>
    <w:rsid w:val="00F927A0"/>
    <w:rsid w:val="00F953DE"/>
    <w:rsid w:val="00FB6759"/>
    <w:rsid w:val="00FC42FD"/>
    <w:rsid w:val="00FC59E7"/>
    <w:rsid w:val="00FD7059"/>
    <w:rsid w:val="00FF4F7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42EBCB"/>
  <w15:chartTrackingRefBased/>
  <w15:docId w15:val="{DBC90632-BADD-A447-AB5B-26A76A680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pt-B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6408"/>
  </w:style>
  <w:style w:type="paragraph" w:styleId="Heading1">
    <w:name w:val="heading 1"/>
    <w:basedOn w:val="Normal"/>
    <w:next w:val="Normal"/>
    <w:link w:val="Heading1Char"/>
    <w:uiPriority w:val="9"/>
    <w:qFormat/>
    <w:rsid w:val="00733AF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link w:val="Heading2Char"/>
    <w:uiPriority w:val="9"/>
    <w:qFormat/>
    <w:rsid w:val="00D46408"/>
    <w:pPr>
      <w:spacing w:before="100" w:beforeAutospacing="1" w:after="100" w:afterAutospacing="1"/>
      <w:outlineLvl w:val="1"/>
    </w:pPr>
    <w:rPr>
      <w:rFonts w:ascii="Times New Roman" w:eastAsia="Times New Roman" w:hAnsi="Times New Roman" w:cs="Times New Roman"/>
      <w:b/>
      <w:bCs/>
      <w:kern w:val="0"/>
      <w:sz w:val="36"/>
      <w:szCs w:val="36"/>
      <w:lang w:eastAsia="pt-BR"/>
      <w14:ligatures w14:val="none"/>
    </w:rPr>
  </w:style>
  <w:style w:type="paragraph" w:styleId="Heading3">
    <w:name w:val="heading 3"/>
    <w:basedOn w:val="Normal"/>
    <w:next w:val="Normal"/>
    <w:link w:val="Heading3Char"/>
    <w:uiPriority w:val="9"/>
    <w:semiHidden/>
    <w:unhideWhenUsed/>
    <w:qFormat/>
    <w:rsid w:val="00733AF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33AF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33AF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33AF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33AF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33AF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33AF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46408"/>
    <w:rPr>
      <w:rFonts w:ascii="Times New Roman" w:eastAsia="Times New Roman" w:hAnsi="Times New Roman" w:cs="Times New Roman"/>
      <w:b/>
      <w:bCs/>
      <w:kern w:val="0"/>
      <w:sz w:val="36"/>
      <w:szCs w:val="36"/>
      <w:lang w:eastAsia="pt-BR"/>
      <w14:ligatures w14:val="none"/>
    </w:rPr>
  </w:style>
  <w:style w:type="character" w:styleId="Strong">
    <w:name w:val="Strong"/>
    <w:basedOn w:val="DefaultParagraphFont"/>
    <w:uiPriority w:val="22"/>
    <w:qFormat/>
    <w:rsid w:val="00D46408"/>
    <w:rPr>
      <w:b/>
      <w:bCs/>
    </w:rPr>
  </w:style>
  <w:style w:type="character" w:customStyle="1" w:styleId="Heading1Char">
    <w:name w:val="Heading 1 Char"/>
    <w:basedOn w:val="DefaultParagraphFont"/>
    <w:link w:val="Heading1"/>
    <w:uiPriority w:val="9"/>
    <w:rsid w:val="00733AFB"/>
    <w:rPr>
      <w:rFonts w:asciiTheme="majorHAnsi" w:eastAsiaTheme="majorEastAsia" w:hAnsiTheme="majorHAnsi" w:cstheme="majorBidi"/>
      <w:color w:val="0F4761" w:themeColor="accent1" w:themeShade="BF"/>
      <w:sz w:val="40"/>
      <w:szCs w:val="40"/>
    </w:rPr>
  </w:style>
  <w:style w:type="character" w:customStyle="1" w:styleId="Heading3Char">
    <w:name w:val="Heading 3 Char"/>
    <w:basedOn w:val="DefaultParagraphFont"/>
    <w:link w:val="Heading3"/>
    <w:uiPriority w:val="9"/>
    <w:semiHidden/>
    <w:rsid w:val="00733AF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33AF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33AF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33AF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33AF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33AF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33AFB"/>
    <w:rPr>
      <w:rFonts w:eastAsiaTheme="majorEastAsia" w:cstheme="majorBidi"/>
      <w:color w:val="272727" w:themeColor="text1" w:themeTint="D8"/>
    </w:rPr>
  </w:style>
  <w:style w:type="paragraph" w:styleId="Title">
    <w:name w:val="Title"/>
    <w:basedOn w:val="Normal"/>
    <w:next w:val="Normal"/>
    <w:link w:val="TitleChar"/>
    <w:uiPriority w:val="10"/>
    <w:qFormat/>
    <w:rsid w:val="00733AF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33AF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33AFB"/>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33AF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33AF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33AFB"/>
    <w:rPr>
      <w:i/>
      <w:iCs/>
      <w:color w:val="404040" w:themeColor="text1" w:themeTint="BF"/>
    </w:rPr>
  </w:style>
  <w:style w:type="paragraph" w:styleId="ListParagraph">
    <w:name w:val="List Paragraph"/>
    <w:basedOn w:val="Normal"/>
    <w:uiPriority w:val="34"/>
    <w:qFormat/>
    <w:rsid w:val="00733AFB"/>
    <w:pPr>
      <w:ind w:left="720"/>
      <w:contextualSpacing/>
    </w:pPr>
  </w:style>
  <w:style w:type="character" w:styleId="IntenseEmphasis">
    <w:name w:val="Intense Emphasis"/>
    <w:basedOn w:val="DefaultParagraphFont"/>
    <w:uiPriority w:val="21"/>
    <w:qFormat/>
    <w:rsid w:val="00733AFB"/>
    <w:rPr>
      <w:i/>
      <w:iCs/>
      <w:color w:val="0F4761" w:themeColor="accent1" w:themeShade="BF"/>
    </w:rPr>
  </w:style>
  <w:style w:type="paragraph" w:styleId="IntenseQuote">
    <w:name w:val="Intense Quote"/>
    <w:basedOn w:val="Normal"/>
    <w:next w:val="Normal"/>
    <w:link w:val="IntenseQuoteChar"/>
    <w:uiPriority w:val="30"/>
    <w:qFormat/>
    <w:rsid w:val="00733AF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33AFB"/>
    <w:rPr>
      <w:i/>
      <w:iCs/>
      <w:color w:val="0F4761" w:themeColor="accent1" w:themeShade="BF"/>
    </w:rPr>
  </w:style>
  <w:style w:type="character" w:styleId="IntenseReference">
    <w:name w:val="Intense Reference"/>
    <w:basedOn w:val="DefaultParagraphFont"/>
    <w:uiPriority w:val="32"/>
    <w:qFormat/>
    <w:rsid w:val="00733AFB"/>
    <w:rPr>
      <w:b/>
      <w:bCs/>
      <w:smallCaps/>
      <w:color w:val="0F4761" w:themeColor="accent1" w:themeShade="BF"/>
      <w:spacing w:val="5"/>
    </w:rPr>
  </w:style>
  <w:style w:type="paragraph" w:styleId="Revision">
    <w:name w:val="Revision"/>
    <w:hidden/>
    <w:uiPriority w:val="99"/>
    <w:semiHidden/>
    <w:rsid w:val="00733AFB"/>
  </w:style>
  <w:style w:type="paragraph" w:styleId="NoSpacing">
    <w:name w:val="No Spacing"/>
    <w:link w:val="NoSpacingChar"/>
    <w:uiPriority w:val="1"/>
    <w:qFormat/>
    <w:rsid w:val="0053021A"/>
    <w:rPr>
      <w:rFonts w:eastAsiaTheme="minorEastAsia"/>
      <w:kern w:val="0"/>
      <w:sz w:val="22"/>
      <w:szCs w:val="22"/>
      <w:lang w:val="en-US" w:eastAsia="zh-CN"/>
      <w14:ligatures w14:val="none"/>
    </w:rPr>
  </w:style>
  <w:style w:type="character" w:customStyle="1" w:styleId="NoSpacingChar">
    <w:name w:val="No Spacing Char"/>
    <w:basedOn w:val="DefaultParagraphFont"/>
    <w:link w:val="NoSpacing"/>
    <w:uiPriority w:val="1"/>
    <w:rsid w:val="0053021A"/>
    <w:rPr>
      <w:rFonts w:eastAsiaTheme="minorEastAsia"/>
      <w:kern w:val="0"/>
      <w:sz w:val="22"/>
      <w:szCs w:val="22"/>
      <w:lang w:val="en-US" w:eastAsia="zh-CN"/>
      <w14:ligatures w14:val="none"/>
    </w:rPr>
  </w:style>
  <w:style w:type="paragraph" w:styleId="Header">
    <w:name w:val="header"/>
    <w:basedOn w:val="Normal"/>
    <w:link w:val="HeaderChar"/>
    <w:uiPriority w:val="99"/>
    <w:unhideWhenUsed/>
    <w:rsid w:val="0027518C"/>
    <w:pPr>
      <w:tabs>
        <w:tab w:val="center" w:pos="4252"/>
        <w:tab w:val="right" w:pos="8504"/>
      </w:tabs>
    </w:pPr>
  </w:style>
  <w:style w:type="character" w:customStyle="1" w:styleId="HeaderChar">
    <w:name w:val="Header Char"/>
    <w:basedOn w:val="DefaultParagraphFont"/>
    <w:link w:val="Header"/>
    <w:uiPriority w:val="99"/>
    <w:rsid w:val="0027518C"/>
  </w:style>
  <w:style w:type="paragraph" w:styleId="Footer">
    <w:name w:val="footer"/>
    <w:basedOn w:val="Normal"/>
    <w:link w:val="FooterChar"/>
    <w:uiPriority w:val="99"/>
    <w:unhideWhenUsed/>
    <w:rsid w:val="0027518C"/>
    <w:pPr>
      <w:tabs>
        <w:tab w:val="center" w:pos="4252"/>
        <w:tab w:val="right" w:pos="8504"/>
      </w:tabs>
    </w:pPr>
  </w:style>
  <w:style w:type="character" w:customStyle="1" w:styleId="FooterChar">
    <w:name w:val="Footer Char"/>
    <w:basedOn w:val="DefaultParagraphFont"/>
    <w:link w:val="Footer"/>
    <w:uiPriority w:val="99"/>
    <w:rsid w:val="0027518C"/>
  </w:style>
  <w:style w:type="paragraph" w:styleId="FootnoteText">
    <w:name w:val="footnote text"/>
    <w:basedOn w:val="Normal"/>
    <w:link w:val="FootnoteTextChar"/>
    <w:uiPriority w:val="99"/>
    <w:unhideWhenUsed/>
    <w:rsid w:val="00216EFF"/>
    <w:pPr>
      <w:widowControl w:val="0"/>
    </w:pPr>
    <w:rPr>
      <w:rFonts w:ascii="Times New Roman" w:eastAsia="Times New Roman" w:hAnsi="Times New Roman" w:cs="Times New Roman"/>
      <w:kern w:val="0"/>
      <w:sz w:val="20"/>
      <w:szCs w:val="20"/>
      <w:lang w:val="pt-PT" w:eastAsia="pt-BR"/>
      <w14:ligatures w14:val="none"/>
    </w:rPr>
  </w:style>
  <w:style w:type="character" w:customStyle="1" w:styleId="FootnoteTextChar">
    <w:name w:val="Footnote Text Char"/>
    <w:basedOn w:val="DefaultParagraphFont"/>
    <w:link w:val="FootnoteText"/>
    <w:uiPriority w:val="99"/>
    <w:rsid w:val="00216EFF"/>
    <w:rPr>
      <w:rFonts w:ascii="Times New Roman" w:eastAsia="Times New Roman" w:hAnsi="Times New Roman" w:cs="Times New Roman"/>
      <w:kern w:val="0"/>
      <w:sz w:val="20"/>
      <w:szCs w:val="20"/>
      <w:lang w:val="pt-PT" w:eastAsia="pt-BR"/>
      <w14:ligatures w14:val="none"/>
    </w:rPr>
  </w:style>
  <w:style w:type="character" w:styleId="FootnoteReference">
    <w:name w:val="footnote reference"/>
    <w:basedOn w:val="DefaultParagraphFont"/>
    <w:uiPriority w:val="99"/>
    <w:semiHidden/>
    <w:unhideWhenUsed/>
    <w:rsid w:val="00216EFF"/>
    <w:rPr>
      <w:vertAlign w:val="superscript"/>
    </w:rPr>
  </w:style>
  <w:style w:type="character" w:styleId="Hyperlink">
    <w:name w:val="Hyperlink"/>
    <w:basedOn w:val="DefaultParagraphFont"/>
    <w:uiPriority w:val="99"/>
    <w:unhideWhenUsed/>
    <w:rsid w:val="006903FE"/>
    <w:rPr>
      <w:color w:val="467886" w:themeColor="hyperlink"/>
      <w:u w:val="single"/>
    </w:rPr>
  </w:style>
  <w:style w:type="character" w:styleId="UnresolvedMention">
    <w:name w:val="Unresolved Mention"/>
    <w:basedOn w:val="DefaultParagraphFont"/>
    <w:uiPriority w:val="99"/>
    <w:semiHidden/>
    <w:unhideWhenUsed/>
    <w:rsid w:val="006903FE"/>
    <w:rPr>
      <w:color w:val="605E5C"/>
      <w:shd w:val="clear" w:color="auto" w:fill="E1DFDD"/>
    </w:rPr>
  </w:style>
  <w:style w:type="character" w:styleId="CommentReference">
    <w:name w:val="annotation reference"/>
    <w:basedOn w:val="DefaultParagraphFont"/>
    <w:uiPriority w:val="99"/>
    <w:semiHidden/>
    <w:unhideWhenUsed/>
    <w:rsid w:val="0023117E"/>
    <w:rPr>
      <w:sz w:val="16"/>
      <w:szCs w:val="16"/>
    </w:rPr>
  </w:style>
  <w:style w:type="paragraph" w:styleId="CommentText">
    <w:name w:val="annotation text"/>
    <w:basedOn w:val="Normal"/>
    <w:link w:val="CommentTextChar"/>
    <w:uiPriority w:val="99"/>
    <w:semiHidden/>
    <w:unhideWhenUsed/>
    <w:rsid w:val="0023117E"/>
    <w:rPr>
      <w:sz w:val="20"/>
      <w:szCs w:val="20"/>
    </w:rPr>
  </w:style>
  <w:style w:type="character" w:customStyle="1" w:styleId="CommentTextChar">
    <w:name w:val="Comment Text Char"/>
    <w:basedOn w:val="DefaultParagraphFont"/>
    <w:link w:val="CommentText"/>
    <w:uiPriority w:val="99"/>
    <w:semiHidden/>
    <w:rsid w:val="0023117E"/>
    <w:rPr>
      <w:sz w:val="20"/>
      <w:szCs w:val="20"/>
    </w:rPr>
  </w:style>
  <w:style w:type="paragraph" w:styleId="CommentSubject">
    <w:name w:val="annotation subject"/>
    <w:basedOn w:val="CommentText"/>
    <w:next w:val="CommentText"/>
    <w:link w:val="CommentSubjectChar"/>
    <w:uiPriority w:val="99"/>
    <w:semiHidden/>
    <w:unhideWhenUsed/>
    <w:rsid w:val="0023117E"/>
    <w:rPr>
      <w:b/>
      <w:bCs/>
    </w:rPr>
  </w:style>
  <w:style w:type="character" w:customStyle="1" w:styleId="CommentSubjectChar">
    <w:name w:val="Comment Subject Char"/>
    <w:basedOn w:val="CommentTextChar"/>
    <w:link w:val="CommentSubject"/>
    <w:uiPriority w:val="99"/>
    <w:semiHidden/>
    <w:rsid w:val="0023117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hdl.handle.net/11612/3555"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mailto:dlrmuseologo@yahoo.com.br" TargetMode="External"/><Relationship Id="rId2" Type="http://schemas.openxmlformats.org/officeDocument/2006/relationships/hyperlink" Target="mailto:marielen.kaufmann@ufpel.edu.br" TargetMode="External"/><Relationship Id="rId1" Type="http://schemas.openxmlformats.org/officeDocument/2006/relationships/hyperlink" Target="mailto:edubauereyeshua@yahoo.com.br"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Garamond-Trebuchet MS">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ABEA5E-5DB0-C544-9A6C-831521451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4038</Words>
  <Characters>21811</Characters>
  <Application>Microsoft Office Word</Application>
  <DocSecurity>0</DocSecurity>
  <Lines>181</Lines>
  <Paragraphs>51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Estúdio Cori</Company>
  <LinksUpToDate>false</LinksUpToDate>
  <CharactersWithSpaces>25798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Tomin</dc:creator>
  <cp:keywords/>
  <dc:description/>
  <cp:lastModifiedBy>Anonimo</cp:lastModifiedBy>
  <cp:revision>3</cp:revision>
  <dcterms:created xsi:type="dcterms:W3CDTF">2025-05-12T23:56:00Z</dcterms:created>
  <dcterms:modified xsi:type="dcterms:W3CDTF">2025-05-12T23:58:00Z</dcterms:modified>
</cp:coreProperties>
</file>