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0CB1" w14:textId="76FB084C" w:rsidR="00C246DD" w:rsidRDefault="00FD0936" w:rsidP="00D472F1">
      <w:pPr>
        <w:jc w:val="center"/>
        <w:rPr>
          <w:sz w:val="24"/>
          <w:szCs w:val="24"/>
        </w:rPr>
      </w:pPr>
      <w:r w:rsidRPr="002135B3">
        <w:rPr>
          <w:b/>
          <w:sz w:val="24"/>
          <w:szCs w:val="24"/>
        </w:rPr>
        <w:t>ASPECTOS EPIDEMIOLÓGICOS DOS ACIDENTES OFÍDICOS OCORRIDOS NA REGIÃO DO BAIXO TOCANTINS, PARÁ, 2018–2022</w:t>
      </w:r>
    </w:p>
    <w:p w14:paraId="48202EBA" w14:textId="77777777" w:rsidR="00D472F1" w:rsidRDefault="00D472F1" w:rsidP="00D472F1">
      <w:pPr>
        <w:jc w:val="center"/>
        <w:rPr>
          <w:sz w:val="24"/>
          <w:szCs w:val="24"/>
        </w:rPr>
      </w:pPr>
    </w:p>
    <w:p w14:paraId="488A52A5" w14:textId="740FA5E2" w:rsidR="003949CE" w:rsidRPr="00C246DD" w:rsidRDefault="00C246DD" w:rsidP="00C246DD">
      <w:pPr>
        <w:shd w:val="clear" w:color="auto" w:fill="FFFFFF"/>
        <w:tabs>
          <w:tab w:val="left" w:pos="2500"/>
        </w:tabs>
        <w:jc w:val="center"/>
        <w:rPr>
          <w:color w:val="FF0000"/>
          <w:sz w:val="24"/>
          <w:szCs w:val="24"/>
        </w:rPr>
      </w:pPr>
      <w:r>
        <w:rPr>
          <w:sz w:val="24"/>
          <w:szCs w:val="24"/>
        </w:rPr>
        <w:t>Camila Marcela Oliveira da Silva</w:t>
      </w:r>
      <w:r w:rsidR="003949CE">
        <w:rPr>
          <w:sz w:val="24"/>
          <w:szCs w:val="24"/>
          <w:vertAlign w:val="superscript"/>
        </w:rPr>
        <w:t>1</w:t>
      </w:r>
      <w:r w:rsidR="003949CE">
        <w:rPr>
          <w:sz w:val="24"/>
          <w:szCs w:val="24"/>
        </w:rPr>
        <w:t xml:space="preserve">; </w:t>
      </w:r>
      <w:r>
        <w:rPr>
          <w:sz w:val="24"/>
          <w:szCs w:val="24"/>
        </w:rPr>
        <w:t>Christian de Mello Vieira</w:t>
      </w:r>
      <w:r w:rsidR="003949CE">
        <w:rPr>
          <w:sz w:val="24"/>
          <w:szCs w:val="24"/>
          <w:vertAlign w:val="superscript"/>
        </w:rPr>
        <w:t>2</w:t>
      </w:r>
      <w:r w:rsidR="00124202">
        <w:rPr>
          <w:sz w:val="24"/>
          <w:szCs w:val="24"/>
        </w:rPr>
        <w:t>.</w:t>
      </w:r>
    </w:p>
    <w:p w14:paraId="4CC4B375" w14:textId="5E6F3DF2" w:rsidR="003949CE" w:rsidRPr="00124202" w:rsidRDefault="003949CE" w:rsidP="00124202">
      <w:pPr>
        <w:keepLines/>
        <w:shd w:val="clear" w:color="auto" w:fill="FFFFFF"/>
        <w:tabs>
          <w:tab w:val="left" w:pos="2500"/>
        </w:tabs>
        <w:jc w:val="center"/>
        <w:rPr>
          <w:sz w:val="24"/>
          <w:szCs w:val="24"/>
        </w:rPr>
      </w:pPr>
      <w:r>
        <w:rPr>
          <w:sz w:val="24"/>
          <w:szCs w:val="24"/>
          <w:vertAlign w:val="superscript"/>
        </w:rPr>
        <w:t xml:space="preserve">1 </w:t>
      </w:r>
      <w:r w:rsidR="00C246DD">
        <w:rPr>
          <w:sz w:val="24"/>
          <w:szCs w:val="24"/>
        </w:rPr>
        <w:t>Pós Graduanda em Educação Ambiental</w:t>
      </w:r>
      <w:r w:rsidR="00124202">
        <w:rPr>
          <w:sz w:val="24"/>
          <w:szCs w:val="24"/>
        </w:rPr>
        <w:t>.</w:t>
      </w:r>
      <w:r w:rsidR="00C246DD">
        <w:rPr>
          <w:sz w:val="24"/>
          <w:szCs w:val="24"/>
        </w:rPr>
        <w:t xml:space="preserve"> Centro de Estudos de Especialização e Extensão. </w:t>
      </w:r>
      <w:hyperlink r:id="rId8" w:history="1">
        <w:r w:rsidR="00C246DD" w:rsidRPr="00FA7271">
          <w:rPr>
            <w:rStyle w:val="Hyperlink"/>
            <w:color w:val="000000" w:themeColor="text1"/>
            <w:sz w:val="24"/>
            <w:szCs w:val="24"/>
            <w:u w:val="none"/>
          </w:rPr>
          <w:t>mila2001marcela@gmail.com</w:t>
        </w:r>
      </w:hyperlink>
      <w:r w:rsidR="00C246DD" w:rsidRPr="00FA7271">
        <w:rPr>
          <w:color w:val="000000" w:themeColor="text1"/>
          <w:sz w:val="24"/>
          <w:szCs w:val="24"/>
        </w:rPr>
        <w:t xml:space="preserve"> </w:t>
      </w:r>
      <w:r w:rsidR="00124202" w:rsidRPr="00FA7271">
        <w:rPr>
          <w:color w:val="000000" w:themeColor="text1"/>
          <w:sz w:val="24"/>
          <w:szCs w:val="24"/>
        </w:rPr>
        <w:t xml:space="preserve"> </w:t>
      </w:r>
    </w:p>
    <w:p w14:paraId="6562E980" w14:textId="73832624" w:rsidR="003949CE" w:rsidRDefault="003949CE" w:rsidP="00124202">
      <w:pPr>
        <w:keepLines/>
        <w:shd w:val="clear" w:color="auto" w:fill="FFFFFF"/>
        <w:tabs>
          <w:tab w:val="left" w:pos="2500"/>
        </w:tabs>
        <w:jc w:val="center"/>
        <w:rPr>
          <w:sz w:val="24"/>
          <w:szCs w:val="24"/>
        </w:rPr>
      </w:pPr>
      <w:r>
        <w:rPr>
          <w:sz w:val="24"/>
          <w:szCs w:val="24"/>
          <w:vertAlign w:val="superscript"/>
        </w:rPr>
        <w:t xml:space="preserve">2 </w:t>
      </w:r>
      <w:r w:rsidR="00C246DD">
        <w:rPr>
          <w:sz w:val="24"/>
          <w:szCs w:val="24"/>
        </w:rPr>
        <w:t>Mestre</w:t>
      </w:r>
      <w:r w:rsidR="00124202">
        <w:rPr>
          <w:sz w:val="24"/>
          <w:szCs w:val="24"/>
        </w:rPr>
        <w:t xml:space="preserve"> em </w:t>
      </w:r>
      <w:r w:rsidR="00C246DD">
        <w:rPr>
          <w:sz w:val="24"/>
          <w:szCs w:val="24"/>
        </w:rPr>
        <w:t>Ecologia e Conservação de Recursos Naturais</w:t>
      </w:r>
      <w:r w:rsidR="00124202">
        <w:rPr>
          <w:sz w:val="24"/>
          <w:szCs w:val="24"/>
        </w:rPr>
        <w:t xml:space="preserve">. Professor da Universidade do Estado do Pará. </w:t>
      </w:r>
    </w:p>
    <w:p w14:paraId="510FA547" w14:textId="77777777" w:rsidR="00124202" w:rsidRDefault="00124202" w:rsidP="00124202">
      <w:pPr>
        <w:keepLines/>
        <w:shd w:val="clear" w:color="auto" w:fill="FFFFFF"/>
        <w:tabs>
          <w:tab w:val="left" w:pos="2500"/>
        </w:tabs>
        <w:jc w:val="center"/>
        <w:rPr>
          <w:sz w:val="24"/>
          <w:szCs w:val="24"/>
        </w:rPr>
      </w:pPr>
    </w:p>
    <w:p w14:paraId="1EA4B476" w14:textId="77777777" w:rsidR="003949CE" w:rsidRPr="000E7C84" w:rsidRDefault="003949CE" w:rsidP="00D472F1">
      <w:pPr>
        <w:pBdr>
          <w:bottom w:val="none" w:sz="0" w:space="8" w:color="000000"/>
        </w:pBdr>
        <w:shd w:val="clear" w:color="auto" w:fill="FFFFFF"/>
        <w:tabs>
          <w:tab w:val="left" w:pos="2500"/>
        </w:tabs>
        <w:jc w:val="center"/>
        <w:rPr>
          <w:b/>
          <w:sz w:val="24"/>
          <w:szCs w:val="24"/>
        </w:rPr>
      </w:pPr>
      <w:r w:rsidRPr="000E7C84">
        <w:rPr>
          <w:b/>
          <w:sz w:val="24"/>
          <w:szCs w:val="24"/>
        </w:rPr>
        <w:t>RESUMO</w:t>
      </w:r>
    </w:p>
    <w:p w14:paraId="5A669B98" w14:textId="0B66FFFE" w:rsidR="00FD0936" w:rsidRPr="002135B3" w:rsidRDefault="00FD0936" w:rsidP="00D472F1">
      <w:pPr>
        <w:jc w:val="both"/>
        <w:rPr>
          <w:sz w:val="24"/>
          <w:szCs w:val="24"/>
        </w:rPr>
      </w:pPr>
      <w:r w:rsidRPr="002135B3">
        <w:rPr>
          <w:sz w:val="24"/>
          <w:szCs w:val="24"/>
        </w:rPr>
        <w:t>O presente trabalho objetiva descrever o perfil epidemiológico dos acidentes ofídicos ocorridos na região do Baixo Tocantins, no período de 2018 a 2022. Os acidentes ofídicos são reconhecidos pela Organização Mundial da Saúde como Doenças Tropicais Negligenciadas, afetando principalmente populações rurais vulneráveis. Na região do Baixo Tocantins há escassez de estudos que relacionem aspectos ambientais, ocupacionais e sociodemográficos aos registros de sinan, o que limita ações de prevenção e planejamento sanitário. A pesquisa trata-se de um estudo epidemiológico de série histórica (2018–2022), de caráter descritivo e retrospectivo. Foram utilizados dados secundários do SINAN e informações da Secretaria Municipal de Saúde de Cametá. As variáveis analisadas incluíram município de notificação, sexo, faixa etária, escolaridade, sintomas e local da picada. A tabulação foi realizada no TabWin e os gráficos foram gerados em Excel. No período estudado foram notificados 2.617 acidentes ofídicos na região do Baixo Tocantins, correspondendo a uma taxa média de incidência de 52,3 casos/10.000 hab. O gênero Bothrops respondeu por 2.190 casos (83,6%). O ano com maior número de notificações foi 2022 (599 casos) e o menor foi 2020 (459 casos). Predominaram vítimas do sexo masculino (78,7%), com maior frequência entre 20 e 34 anos (n=825). O local da picada mais comum foi o pé (51,8%). Os sintomas mais relatados foram dor (97,4%) e edema (86,8%). Os resultados indicam relação entre as atividades econômicas (agricultura e pesca), variações climáticas e maior exposição ao risco de ofidismo, especialmente entre homens jovens. Recomenda‑se reforço das medidas de prevenção (EPI, educação em saúde) e melhoria no registro e no acesso ao tratamento, incluindo disponibilidade de soro antiofídico nas unidades de saúde regionais. Ressalta‑se a necessidade de melhor qualificação dos registros do SINAN para fortalecer vigilância e ações de prevenção.</w:t>
      </w:r>
    </w:p>
    <w:p w14:paraId="26426727" w14:textId="77777777" w:rsidR="00D472F1" w:rsidRDefault="00D472F1" w:rsidP="00D472F1">
      <w:pPr>
        <w:jc w:val="both"/>
        <w:rPr>
          <w:color w:val="FF0000"/>
          <w:sz w:val="24"/>
          <w:szCs w:val="24"/>
        </w:rPr>
      </w:pPr>
    </w:p>
    <w:p w14:paraId="71340687" w14:textId="378FE49F" w:rsidR="003949CE" w:rsidRDefault="003949CE" w:rsidP="00D472F1">
      <w:pPr>
        <w:jc w:val="both"/>
        <w:rPr>
          <w:sz w:val="24"/>
          <w:szCs w:val="24"/>
        </w:rPr>
      </w:pPr>
      <w:r>
        <w:rPr>
          <w:b/>
          <w:sz w:val="24"/>
          <w:szCs w:val="24"/>
        </w:rPr>
        <w:t xml:space="preserve">Palavras-chave: </w:t>
      </w:r>
      <w:r w:rsidR="00434378" w:rsidRPr="002135B3">
        <w:rPr>
          <w:sz w:val="24"/>
          <w:szCs w:val="24"/>
        </w:rPr>
        <w:t>Envenenamento por serpentes. Doenças tropicais negligenciadas. Saúde pública.</w:t>
      </w:r>
    </w:p>
    <w:p w14:paraId="1E88FD63" w14:textId="77777777" w:rsidR="00D472F1" w:rsidRDefault="00D472F1" w:rsidP="00D472F1">
      <w:pPr>
        <w:jc w:val="both"/>
        <w:rPr>
          <w:sz w:val="24"/>
          <w:szCs w:val="24"/>
        </w:rPr>
      </w:pPr>
    </w:p>
    <w:p w14:paraId="73EB5E4E" w14:textId="20782DFB" w:rsidR="003949CE" w:rsidRDefault="003949CE" w:rsidP="00D472F1">
      <w:pPr>
        <w:shd w:val="clear" w:color="auto" w:fill="FFFFFF"/>
        <w:tabs>
          <w:tab w:val="left" w:pos="2500"/>
        </w:tabs>
        <w:rPr>
          <w:b/>
          <w:color w:val="0000FF"/>
          <w:sz w:val="24"/>
          <w:szCs w:val="24"/>
          <w:u w:val="single"/>
        </w:rPr>
      </w:pPr>
      <w:r>
        <w:rPr>
          <w:b/>
          <w:sz w:val="24"/>
          <w:szCs w:val="24"/>
        </w:rPr>
        <w:t>Área de Interesse do Simpósio</w:t>
      </w:r>
      <w:r>
        <w:rPr>
          <w:sz w:val="24"/>
          <w:szCs w:val="24"/>
        </w:rPr>
        <w:t xml:space="preserve">: </w:t>
      </w:r>
      <w:r w:rsidR="000436E8">
        <w:rPr>
          <w:sz w:val="24"/>
          <w:szCs w:val="24"/>
        </w:rPr>
        <w:t>Ciências Biológicas</w:t>
      </w:r>
    </w:p>
    <w:p w14:paraId="278DBA84" w14:textId="77777777" w:rsidR="003949CE" w:rsidRDefault="003949CE" w:rsidP="003949CE">
      <w:pPr>
        <w:pBdr>
          <w:bottom w:val="none" w:sz="0" w:space="8" w:color="000000"/>
        </w:pBdr>
        <w:shd w:val="clear" w:color="auto" w:fill="FFFFFF"/>
        <w:tabs>
          <w:tab w:val="left" w:pos="2500"/>
        </w:tabs>
        <w:rPr>
          <w:b/>
          <w:sz w:val="24"/>
          <w:szCs w:val="24"/>
        </w:rPr>
      </w:pPr>
    </w:p>
    <w:p w14:paraId="6B3C1A2B" w14:textId="77777777" w:rsidR="00D472F1" w:rsidRDefault="00D472F1" w:rsidP="003949CE">
      <w:pPr>
        <w:pBdr>
          <w:bottom w:val="none" w:sz="0" w:space="8" w:color="000000"/>
        </w:pBdr>
        <w:shd w:val="clear" w:color="auto" w:fill="FFFFFF"/>
        <w:tabs>
          <w:tab w:val="left" w:pos="2500"/>
        </w:tabs>
        <w:rPr>
          <w:b/>
          <w:sz w:val="24"/>
          <w:szCs w:val="24"/>
        </w:rPr>
      </w:pPr>
    </w:p>
    <w:p w14:paraId="4703D9D6" w14:textId="77777777" w:rsidR="00D472F1" w:rsidRDefault="00D472F1" w:rsidP="003949CE">
      <w:pPr>
        <w:pBdr>
          <w:bottom w:val="none" w:sz="0" w:space="8" w:color="000000"/>
        </w:pBdr>
        <w:shd w:val="clear" w:color="auto" w:fill="FFFFFF"/>
        <w:tabs>
          <w:tab w:val="left" w:pos="2500"/>
        </w:tabs>
        <w:rPr>
          <w:b/>
          <w:sz w:val="24"/>
          <w:szCs w:val="24"/>
        </w:rPr>
      </w:pPr>
    </w:p>
    <w:p w14:paraId="3B9A69AB" w14:textId="77777777" w:rsidR="00D472F1" w:rsidRDefault="00D472F1" w:rsidP="003949CE">
      <w:pPr>
        <w:pBdr>
          <w:bottom w:val="none" w:sz="0" w:space="8" w:color="000000"/>
        </w:pBdr>
        <w:shd w:val="clear" w:color="auto" w:fill="FFFFFF"/>
        <w:tabs>
          <w:tab w:val="left" w:pos="2500"/>
        </w:tabs>
        <w:rPr>
          <w:b/>
          <w:sz w:val="24"/>
          <w:szCs w:val="24"/>
        </w:rPr>
      </w:pPr>
    </w:p>
    <w:p w14:paraId="4F8184F2" w14:textId="77777777" w:rsidR="00D472F1" w:rsidRDefault="00D472F1" w:rsidP="003949CE">
      <w:pPr>
        <w:pBdr>
          <w:bottom w:val="none" w:sz="0" w:space="8" w:color="000000"/>
        </w:pBdr>
        <w:shd w:val="clear" w:color="auto" w:fill="FFFFFF"/>
        <w:tabs>
          <w:tab w:val="left" w:pos="2500"/>
        </w:tabs>
        <w:rPr>
          <w:b/>
          <w:sz w:val="24"/>
          <w:szCs w:val="24"/>
        </w:rPr>
      </w:pPr>
    </w:p>
    <w:p w14:paraId="6B35A14B" w14:textId="7021B4C1" w:rsidR="003949CE" w:rsidRDefault="003949CE" w:rsidP="003949CE">
      <w:pPr>
        <w:pBdr>
          <w:bottom w:val="none" w:sz="0" w:space="18" w:color="000000"/>
        </w:pBdr>
        <w:shd w:val="clear" w:color="auto" w:fill="FFFFFF"/>
        <w:tabs>
          <w:tab w:val="left" w:pos="2500"/>
        </w:tabs>
        <w:spacing w:line="360" w:lineRule="auto"/>
        <w:jc w:val="both"/>
        <w:rPr>
          <w:color w:val="FF0000"/>
          <w:sz w:val="24"/>
          <w:szCs w:val="24"/>
        </w:rPr>
      </w:pPr>
      <w:r>
        <w:rPr>
          <w:b/>
          <w:sz w:val="24"/>
          <w:szCs w:val="24"/>
        </w:rPr>
        <w:lastRenderedPageBreak/>
        <w:t>1. INTRODUÇÃO</w:t>
      </w:r>
    </w:p>
    <w:p w14:paraId="23FF091A" w14:textId="195C7DAE" w:rsidR="00434378" w:rsidRPr="002135B3" w:rsidRDefault="00434378" w:rsidP="00434378">
      <w:pPr>
        <w:spacing w:line="360" w:lineRule="auto"/>
        <w:ind w:firstLine="720"/>
        <w:jc w:val="both"/>
        <w:rPr>
          <w:sz w:val="24"/>
          <w:szCs w:val="24"/>
        </w:rPr>
      </w:pPr>
      <w:r w:rsidRPr="002135B3">
        <w:rPr>
          <w:sz w:val="24"/>
          <w:szCs w:val="24"/>
        </w:rPr>
        <w:t>Os acidentes ofídicos representam importante problema de saúde pública global e foram incluídos pela Organização Mundial da Saúde (OMS) na lista de Doenças Tropicais Negligenciadas em 2017, dada sua elevada incidência, letalidade e impacto socioeconômico (WHO, 2019). Estima‑se que mais de 5 milhões de pessoas sofram acidentes com serpentes a cada ano, resultando em até 138 mil mortes e mais de 400 mil casos de incapacidades permanentes (Gutiérrez et al., 2021). No Brasil, os acidentes por serpentes peçonhentas concentram‑se na região Amazônica e Nordeste, associando‑se a fatores ambientais, ocupacionais e sociais, e permanecem um desafio para os serviços de vigilância e assistência (Oliveira et al., 2022).</w:t>
      </w:r>
    </w:p>
    <w:p w14:paraId="0A0CF0A8" w14:textId="77777777" w:rsidR="00434378" w:rsidRPr="002135B3" w:rsidRDefault="00434378" w:rsidP="00434378">
      <w:pPr>
        <w:spacing w:line="360" w:lineRule="auto"/>
        <w:ind w:firstLine="720"/>
        <w:jc w:val="both"/>
        <w:rPr>
          <w:sz w:val="24"/>
          <w:szCs w:val="24"/>
        </w:rPr>
      </w:pPr>
      <w:r w:rsidRPr="002135B3">
        <w:rPr>
          <w:sz w:val="24"/>
          <w:szCs w:val="24"/>
        </w:rPr>
        <w:t xml:space="preserve">No estado do Pará, as serpentes do gênero </w:t>
      </w:r>
      <w:r w:rsidRPr="002135B3">
        <w:rPr>
          <w:i/>
          <w:iCs/>
          <w:sz w:val="24"/>
          <w:szCs w:val="24"/>
        </w:rPr>
        <w:t>Bothrops</w:t>
      </w:r>
      <w:r w:rsidRPr="002135B3">
        <w:rPr>
          <w:sz w:val="24"/>
          <w:szCs w:val="24"/>
        </w:rPr>
        <w:t xml:space="preserve"> são responsáveis pela maioria das ocorrências, com maior frequência em áreas rurais de agricultura familiar e pesca artesanal. Os acidentes resultam em complicações locais e sistêmicas que demandam atendimento imediato e acesso a soro antiofídico (Brasil, 2023). Apesar da relevância epidemiológica, há escassez de estudos regionais que explorem a relação entre fatores ambientais, ocupacionais e sociodemográficos com os registros do SINAN, o que dificulta estratégias específicas de prevenção e intervenção. Este trabalho objetiva caracterizar os acidentes ofídicos no Baixo Tocantins (2018–2022), contribuindo com subsídios para vigilância em saúde e redução de impactos sobre populações vulneráveis.</w:t>
      </w:r>
    </w:p>
    <w:p w14:paraId="2D791814" w14:textId="3BF62AD8" w:rsidR="00434378" w:rsidRPr="002135B3" w:rsidRDefault="00434378" w:rsidP="00434378">
      <w:pPr>
        <w:spacing w:line="360" w:lineRule="auto"/>
        <w:ind w:firstLine="720"/>
        <w:jc w:val="both"/>
        <w:rPr>
          <w:sz w:val="24"/>
          <w:szCs w:val="24"/>
        </w:rPr>
      </w:pPr>
      <w:r w:rsidRPr="002135B3">
        <w:rPr>
          <w:sz w:val="24"/>
          <w:szCs w:val="24"/>
        </w:rPr>
        <w:t xml:space="preserve">Os envenenamentos no Brasil são atribuídos principalmente a quatro grupos: </w:t>
      </w:r>
      <w:r w:rsidRPr="002135B3">
        <w:rPr>
          <w:i/>
          <w:iCs/>
          <w:sz w:val="24"/>
          <w:szCs w:val="24"/>
        </w:rPr>
        <w:t>Bothrops, Crotalus, Lachesis e Micrurus</w:t>
      </w:r>
      <w:r w:rsidRPr="002135B3">
        <w:rPr>
          <w:sz w:val="24"/>
          <w:szCs w:val="24"/>
        </w:rPr>
        <w:t xml:space="preserve">. </w:t>
      </w:r>
      <w:r w:rsidRPr="002135B3">
        <w:rPr>
          <w:i/>
          <w:iCs/>
          <w:sz w:val="24"/>
          <w:szCs w:val="24"/>
        </w:rPr>
        <w:t>Bothrops</w:t>
      </w:r>
      <w:r w:rsidRPr="002135B3">
        <w:rPr>
          <w:sz w:val="24"/>
          <w:szCs w:val="24"/>
        </w:rPr>
        <w:t xml:space="preserve"> apresenta maior relevância epidemiológica pela ampla distribuição e alta frequência de acidentes, com ação proteolítica, coagulante e hemorrágica (Bernarde, 2014; Oliveira et al., 2022). </w:t>
      </w:r>
      <w:r w:rsidRPr="002135B3">
        <w:rPr>
          <w:i/>
          <w:iCs/>
          <w:sz w:val="24"/>
          <w:szCs w:val="24"/>
        </w:rPr>
        <w:t>Lachesis</w:t>
      </w:r>
      <w:r w:rsidRPr="002135B3">
        <w:rPr>
          <w:sz w:val="24"/>
          <w:szCs w:val="24"/>
        </w:rPr>
        <w:t xml:space="preserve"> </w:t>
      </w:r>
      <w:r w:rsidRPr="002135B3">
        <w:rPr>
          <w:i/>
          <w:iCs/>
          <w:sz w:val="24"/>
          <w:szCs w:val="24"/>
        </w:rPr>
        <w:t>muta, Crotalus durissus</w:t>
      </w:r>
      <w:r w:rsidRPr="002135B3">
        <w:rPr>
          <w:sz w:val="24"/>
          <w:szCs w:val="24"/>
        </w:rPr>
        <w:t xml:space="preserve"> e serpentes do gênero </w:t>
      </w:r>
      <w:r w:rsidRPr="002135B3">
        <w:rPr>
          <w:i/>
          <w:iCs/>
          <w:sz w:val="24"/>
          <w:szCs w:val="24"/>
        </w:rPr>
        <w:t>Micrurus</w:t>
      </w:r>
      <w:r w:rsidRPr="002135B3">
        <w:rPr>
          <w:sz w:val="24"/>
          <w:szCs w:val="24"/>
        </w:rPr>
        <w:t xml:space="preserve"> apresentam toxicidade diferenciada, com manifestações clínicas que variam de efeitos neurotóxicos a complicações hemostáticas. O tratamento específico com soro antiofídico permanece o recurso terapêutico mais eficaz, sendo essencial a correta identificação clínica e epidemiológica (Brasil, 2023).</w:t>
      </w:r>
    </w:p>
    <w:p w14:paraId="0ED8DCE2" w14:textId="74B45813" w:rsidR="003949CE" w:rsidRPr="001E146C" w:rsidRDefault="003949CE" w:rsidP="00434378">
      <w:pPr>
        <w:pBdr>
          <w:bottom w:val="none" w:sz="0" w:space="8" w:color="000000"/>
        </w:pBdr>
        <w:shd w:val="clear" w:color="auto" w:fill="FFFFFF"/>
        <w:tabs>
          <w:tab w:val="left" w:pos="699"/>
        </w:tabs>
        <w:spacing w:line="360" w:lineRule="auto"/>
        <w:jc w:val="both"/>
        <w:rPr>
          <w:sz w:val="24"/>
          <w:szCs w:val="24"/>
        </w:rPr>
      </w:pPr>
    </w:p>
    <w:p w14:paraId="309E8D17" w14:textId="727BBBAC" w:rsidR="003949CE" w:rsidRDefault="003949CE" w:rsidP="00D472F1">
      <w:pPr>
        <w:pBdr>
          <w:bottom w:val="none" w:sz="0" w:space="18" w:color="000000"/>
        </w:pBdr>
        <w:shd w:val="clear" w:color="auto" w:fill="FFFFFF"/>
        <w:tabs>
          <w:tab w:val="left" w:pos="2500"/>
        </w:tabs>
        <w:spacing w:line="310" w:lineRule="auto"/>
        <w:jc w:val="both"/>
        <w:rPr>
          <w:color w:val="FF0000"/>
          <w:sz w:val="24"/>
          <w:szCs w:val="24"/>
        </w:rPr>
      </w:pPr>
      <w:r>
        <w:rPr>
          <w:b/>
          <w:sz w:val="24"/>
          <w:szCs w:val="24"/>
        </w:rPr>
        <w:lastRenderedPageBreak/>
        <w:t>2. METODOLOGIA</w:t>
      </w:r>
    </w:p>
    <w:p w14:paraId="6FEAA204" w14:textId="56A7F3CB" w:rsidR="00AA48D3" w:rsidRPr="00D472F1" w:rsidRDefault="00D472F1" w:rsidP="00D472F1">
      <w:pPr>
        <w:pStyle w:val="PargrafodaLista"/>
        <w:numPr>
          <w:ilvl w:val="1"/>
          <w:numId w:val="7"/>
        </w:numPr>
        <w:spacing w:before="0"/>
        <w:ind w:right="0"/>
        <w:rPr>
          <w:bCs/>
          <w:sz w:val="24"/>
          <w:szCs w:val="24"/>
        </w:rPr>
      </w:pPr>
      <w:r w:rsidRPr="00D472F1">
        <w:rPr>
          <w:bCs/>
          <w:sz w:val="24"/>
          <w:szCs w:val="24"/>
        </w:rPr>
        <w:t>ÁREA DE</w:t>
      </w:r>
      <w:r w:rsidRPr="00D472F1">
        <w:rPr>
          <w:bCs/>
          <w:spacing w:val="-1"/>
          <w:sz w:val="24"/>
          <w:szCs w:val="24"/>
        </w:rPr>
        <w:t xml:space="preserve"> </w:t>
      </w:r>
      <w:r w:rsidRPr="00D472F1">
        <w:rPr>
          <w:bCs/>
          <w:sz w:val="24"/>
          <w:szCs w:val="24"/>
        </w:rPr>
        <w:t>ESTUDO</w:t>
      </w:r>
    </w:p>
    <w:p w14:paraId="247E111D" w14:textId="77777777" w:rsidR="00D472F1" w:rsidRPr="00D472F1" w:rsidRDefault="00D472F1" w:rsidP="00D472F1">
      <w:pPr>
        <w:pStyle w:val="PargrafodaLista"/>
        <w:spacing w:before="0"/>
        <w:ind w:left="1080" w:firstLine="0"/>
        <w:rPr>
          <w:bCs/>
          <w:sz w:val="24"/>
          <w:szCs w:val="24"/>
        </w:rPr>
      </w:pPr>
    </w:p>
    <w:p w14:paraId="7E43776E" w14:textId="36D61979" w:rsidR="00D95DCA" w:rsidRDefault="00434378" w:rsidP="00D472F1">
      <w:pPr>
        <w:spacing w:line="360" w:lineRule="auto"/>
        <w:ind w:firstLine="720"/>
        <w:jc w:val="both"/>
        <w:rPr>
          <w:sz w:val="24"/>
          <w:szCs w:val="24"/>
        </w:rPr>
      </w:pPr>
      <w:r w:rsidRPr="00434378">
        <w:rPr>
          <w:sz w:val="24"/>
          <w:szCs w:val="24"/>
        </w:rPr>
        <w:t>O estudo foi realizado na região do Baixo Tocantins, nordeste do estado do Pará (Abaetetuba, Igarapé‑Miri, Limoeiro do Ajuru, Cametá, Mocajuba, Baião e Oeiras do Pará). A região é caracterizada por atividades de pesca, cultivo de açaí e agricultura familiar, com vegetação de floresta equatorial densa e forte pressão de exploração de recursos naturais (Almeida, 2010).</w:t>
      </w:r>
    </w:p>
    <w:p w14:paraId="0F7A9E37" w14:textId="6A2D9649" w:rsidR="00D95DCA" w:rsidRDefault="00D95DCA" w:rsidP="00D472F1">
      <w:pPr>
        <w:spacing w:line="360" w:lineRule="auto"/>
        <w:jc w:val="center"/>
        <w:rPr>
          <w:sz w:val="24"/>
          <w:szCs w:val="24"/>
        </w:rPr>
      </w:pPr>
      <w:r>
        <w:rPr>
          <w:sz w:val="24"/>
          <w:szCs w:val="24"/>
        </w:rPr>
        <w:t>Figura 1: Mapa do Baixo Tocantins.</w:t>
      </w:r>
    </w:p>
    <w:p w14:paraId="6D182280" w14:textId="32AFB767" w:rsidR="00D472F1" w:rsidRDefault="00D472F1" w:rsidP="00D472F1">
      <w:pPr>
        <w:spacing w:line="360" w:lineRule="auto"/>
        <w:jc w:val="center"/>
        <w:rPr>
          <w:sz w:val="24"/>
          <w:szCs w:val="24"/>
        </w:rPr>
      </w:pPr>
      <w:r>
        <w:rPr>
          <w:noProof/>
          <w:sz w:val="24"/>
          <w:szCs w:val="24"/>
        </w:rPr>
        <w:drawing>
          <wp:inline distT="0" distB="0" distL="0" distR="0" wp14:anchorId="38C862A3" wp14:editId="69D88693">
            <wp:extent cx="3682365" cy="2548255"/>
            <wp:effectExtent l="0" t="0" r="0" b="4445"/>
            <wp:docPr id="17396097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2365" cy="2548255"/>
                    </a:xfrm>
                    <a:prstGeom prst="rect">
                      <a:avLst/>
                    </a:prstGeom>
                    <a:noFill/>
                  </pic:spPr>
                </pic:pic>
              </a:graphicData>
            </a:graphic>
          </wp:inline>
        </w:drawing>
      </w:r>
    </w:p>
    <w:p w14:paraId="4BDA5BCE" w14:textId="1A1BC9E1" w:rsidR="00D95DCA" w:rsidRPr="00434378" w:rsidRDefault="00D95DCA" w:rsidP="00D95DCA">
      <w:pPr>
        <w:spacing w:line="360" w:lineRule="auto"/>
        <w:jc w:val="both"/>
        <w:rPr>
          <w:sz w:val="24"/>
          <w:szCs w:val="24"/>
        </w:rPr>
      </w:pPr>
      <w:r>
        <w:rPr>
          <w:sz w:val="24"/>
          <w:szCs w:val="24"/>
        </w:rPr>
        <w:t xml:space="preserve">  </w:t>
      </w:r>
      <w:r w:rsidR="00D472F1">
        <w:rPr>
          <w:sz w:val="24"/>
          <w:szCs w:val="24"/>
        </w:rPr>
        <w:tab/>
      </w:r>
      <w:r>
        <w:rPr>
          <w:sz w:val="24"/>
          <w:szCs w:val="24"/>
        </w:rPr>
        <w:t xml:space="preserve">Fonte: </w:t>
      </w:r>
      <w:r w:rsidRPr="007740EC">
        <w:rPr>
          <w:sz w:val="24"/>
          <w:szCs w:val="24"/>
        </w:rPr>
        <w:t>Cunha,</w:t>
      </w:r>
      <w:r w:rsidRPr="007740EC">
        <w:rPr>
          <w:spacing w:val="-3"/>
          <w:sz w:val="24"/>
          <w:szCs w:val="24"/>
        </w:rPr>
        <w:t xml:space="preserve"> </w:t>
      </w:r>
      <w:r w:rsidRPr="007740EC">
        <w:rPr>
          <w:sz w:val="24"/>
          <w:szCs w:val="24"/>
        </w:rPr>
        <w:t>R,</w:t>
      </w:r>
      <w:r w:rsidRPr="007740EC">
        <w:rPr>
          <w:spacing w:val="-3"/>
          <w:sz w:val="24"/>
          <w:szCs w:val="24"/>
        </w:rPr>
        <w:t xml:space="preserve"> </w:t>
      </w:r>
      <w:r w:rsidRPr="007740EC">
        <w:rPr>
          <w:sz w:val="24"/>
          <w:szCs w:val="24"/>
        </w:rPr>
        <w:t>Souza,</w:t>
      </w:r>
      <w:r w:rsidRPr="007740EC">
        <w:rPr>
          <w:spacing w:val="-1"/>
          <w:sz w:val="24"/>
          <w:szCs w:val="24"/>
        </w:rPr>
        <w:t xml:space="preserve"> </w:t>
      </w:r>
      <w:r w:rsidRPr="007740EC">
        <w:rPr>
          <w:sz w:val="24"/>
          <w:szCs w:val="24"/>
        </w:rPr>
        <w:t>2024.</w:t>
      </w:r>
      <w:r w:rsidRPr="007740EC">
        <w:rPr>
          <w:spacing w:val="-1"/>
          <w:sz w:val="24"/>
          <w:szCs w:val="24"/>
        </w:rPr>
        <w:t xml:space="preserve"> </w:t>
      </w:r>
      <w:r w:rsidRPr="007740EC">
        <w:rPr>
          <w:sz w:val="24"/>
          <w:szCs w:val="24"/>
        </w:rPr>
        <w:t>Adaptado</w:t>
      </w:r>
      <w:r w:rsidRPr="007740EC">
        <w:rPr>
          <w:spacing w:val="-1"/>
          <w:sz w:val="24"/>
          <w:szCs w:val="24"/>
        </w:rPr>
        <w:t xml:space="preserve"> </w:t>
      </w:r>
      <w:r w:rsidRPr="007740EC">
        <w:rPr>
          <w:sz w:val="24"/>
          <w:szCs w:val="24"/>
        </w:rPr>
        <w:t>SINAN</w:t>
      </w:r>
      <w:r>
        <w:rPr>
          <w:sz w:val="24"/>
          <w:szCs w:val="24"/>
        </w:rPr>
        <w:t>.</w:t>
      </w:r>
    </w:p>
    <w:p w14:paraId="023998A7" w14:textId="66A98CF4" w:rsidR="00434378" w:rsidRPr="00D472F1" w:rsidRDefault="00D472F1" w:rsidP="00D472F1">
      <w:pPr>
        <w:spacing w:line="360" w:lineRule="auto"/>
        <w:rPr>
          <w:sz w:val="24"/>
          <w:szCs w:val="24"/>
        </w:rPr>
      </w:pPr>
      <w:r>
        <w:rPr>
          <w:color w:val="000000" w:themeColor="text1"/>
          <w:sz w:val="24"/>
          <w:szCs w:val="24"/>
        </w:rPr>
        <w:t xml:space="preserve">2.2 </w:t>
      </w:r>
      <w:r w:rsidRPr="00D472F1">
        <w:rPr>
          <w:color w:val="000000" w:themeColor="text1"/>
          <w:sz w:val="24"/>
          <w:szCs w:val="24"/>
        </w:rPr>
        <w:t>MÉTODO</w:t>
      </w:r>
      <w:r w:rsidRPr="00D472F1">
        <w:rPr>
          <w:color w:val="000000" w:themeColor="text1"/>
          <w:spacing w:val="-3"/>
          <w:sz w:val="24"/>
          <w:szCs w:val="24"/>
        </w:rPr>
        <w:t xml:space="preserve"> </w:t>
      </w:r>
      <w:r w:rsidRPr="00D472F1">
        <w:rPr>
          <w:color w:val="000000" w:themeColor="text1"/>
          <w:sz w:val="24"/>
          <w:szCs w:val="24"/>
        </w:rPr>
        <w:t>DE</w:t>
      </w:r>
      <w:r w:rsidRPr="00D472F1">
        <w:rPr>
          <w:color w:val="000000" w:themeColor="text1"/>
          <w:spacing w:val="-2"/>
          <w:sz w:val="24"/>
          <w:szCs w:val="24"/>
        </w:rPr>
        <w:t xml:space="preserve"> </w:t>
      </w:r>
      <w:r w:rsidRPr="00D472F1">
        <w:rPr>
          <w:color w:val="000000" w:themeColor="text1"/>
          <w:sz w:val="24"/>
          <w:szCs w:val="24"/>
        </w:rPr>
        <w:t>PESQUISA</w:t>
      </w:r>
      <w:r w:rsidRPr="00D472F1">
        <w:rPr>
          <w:sz w:val="24"/>
          <w:szCs w:val="24"/>
        </w:rPr>
        <w:t xml:space="preserve"> </w:t>
      </w:r>
    </w:p>
    <w:p w14:paraId="7759F9CD" w14:textId="6D059E08" w:rsidR="00434378" w:rsidRPr="00434378" w:rsidRDefault="00434378" w:rsidP="00D472F1">
      <w:pPr>
        <w:spacing w:line="360" w:lineRule="auto"/>
        <w:ind w:firstLine="720"/>
        <w:jc w:val="both"/>
        <w:rPr>
          <w:sz w:val="24"/>
          <w:szCs w:val="24"/>
        </w:rPr>
      </w:pPr>
      <w:r w:rsidRPr="00434378">
        <w:rPr>
          <w:sz w:val="24"/>
          <w:szCs w:val="24"/>
        </w:rPr>
        <w:t>Estudo epidemiológico de série histórica (2018–2022), descritivo de dados secundários (SINAN). A busca bibliográfica utilizou palavras‑chave: acidente ofídico, perfil epidemiológico, animal peçonhento, Baixo Tocantins. A pesquisa bibliográfica foi realizada em revistas científicas das áreas de saúde e epidemiologia, boletins da Secretaria de Vigilância em Saúde do Ministério da Saúde e artigos disponíveis nas plataformas SciELO e Instituto Butantan.</w:t>
      </w:r>
    </w:p>
    <w:p w14:paraId="3316CA55" w14:textId="4131A20D" w:rsidR="00434378" w:rsidRPr="00D472F1" w:rsidRDefault="00D472F1" w:rsidP="00D472F1">
      <w:pPr>
        <w:spacing w:line="360" w:lineRule="auto"/>
        <w:jc w:val="both"/>
        <w:rPr>
          <w:color w:val="000000" w:themeColor="text1"/>
          <w:sz w:val="24"/>
          <w:szCs w:val="24"/>
        </w:rPr>
      </w:pPr>
      <w:r>
        <w:rPr>
          <w:color w:val="000000" w:themeColor="text1"/>
          <w:sz w:val="24"/>
          <w:szCs w:val="24"/>
        </w:rPr>
        <w:t xml:space="preserve">2.3 </w:t>
      </w:r>
      <w:r w:rsidRPr="00D472F1">
        <w:rPr>
          <w:color w:val="000000" w:themeColor="text1"/>
          <w:sz w:val="24"/>
          <w:szCs w:val="24"/>
        </w:rPr>
        <w:t>OBTENÇÃO</w:t>
      </w:r>
      <w:r w:rsidRPr="00D472F1">
        <w:rPr>
          <w:color w:val="000000" w:themeColor="text1"/>
          <w:spacing w:val="-5"/>
          <w:sz w:val="24"/>
          <w:szCs w:val="24"/>
        </w:rPr>
        <w:t xml:space="preserve"> </w:t>
      </w:r>
      <w:r w:rsidRPr="00D472F1">
        <w:rPr>
          <w:color w:val="000000" w:themeColor="text1"/>
          <w:sz w:val="24"/>
          <w:szCs w:val="24"/>
        </w:rPr>
        <w:t>E</w:t>
      </w:r>
      <w:r w:rsidRPr="00D472F1">
        <w:rPr>
          <w:color w:val="000000" w:themeColor="text1"/>
          <w:spacing w:val="-2"/>
          <w:sz w:val="24"/>
          <w:szCs w:val="24"/>
        </w:rPr>
        <w:t xml:space="preserve"> </w:t>
      </w:r>
      <w:r w:rsidRPr="00D472F1">
        <w:rPr>
          <w:color w:val="000000" w:themeColor="text1"/>
          <w:sz w:val="24"/>
          <w:szCs w:val="24"/>
        </w:rPr>
        <w:t>ANÁLISE</w:t>
      </w:r>
      <w:r w:rsidRPr="00D472F1">
        <w:rPr>
          <w:color w:val="000000" w:themeColor="text1"/>
          <w:spacing w:val="-2"/>
          <w:sz w:val="24"/>
          <w:szCs w:val="24"/>
        </w:rPr>
        <w:t xml:space="preserve"> </w:t>
      </w:r>
      <w:r w:rsidRPr="00D472F1">
        <w:rPr>
          <w:color w:val="000000" w:themeColor="text1"/>
          <w:sz w:val="24"/>
          <w:szCs w:val="24"/>
        </w:rPr>
        <w:t>DE</w:t>
      </w:r>
      <w:r w:rsidRPr="00D472F1">
        <w:rPr>
          <w:color w:val="000000" w:themeColor="text1"/>
          <w:spacing w:val="-1"/>
          <w:sz w:val="24"/>
          <w:szCs w:val="24"/>
        </w:rPr>
        <w:t xml:space="preserve"> </w:t>
      </w:r>
      <w:r w:rsidRPr="00D472F1">
        <w:rPr>
          <w:color w:val="000000" w:themeColor="text1"/>
          <w:sz w:val="24"/>
          <w:szCs w:val="24"/>
        </w:rPr>
        <w:t>DADOS</w:t>
      </w:r>
      <w:r w:rsidRPr="00D472F1">
        <w:rPr>
          <w:sz w:val="24"/>
          <w:szCs w:val="24"/>
        </w:rPr>
        <w:t xml:space="preserve"> </w:t>
      </w:r>
    </w:p>
    <w:p w14:paraId="45570972" w14:textId="5B0D55D2" w:rsidR="003949CE" w:rsidRPr="00434378" w:rsidRDefault="00434378" w:rsidP="00D472F1">
      <w:pPr>
        <w:spacing w:line="360" w:lineRule="auto"/>
        <w:ind w:firstLine="720"/>
        <w:jc w:val="both"/>
        <w:rPr>
          <w:sz w:val="24"/>
          <w:szCs w:val="24"/>
        </w:rPr>
      </w:pPr>
      <w:r w:rsidRPr="00434378">
        <w:rPr>
          <w:sz w:val="24"/>
          <w:szCs w:val="24"/>
        </w:rPr>
        <w:t xml:space="preserve">Foram utilizados dados secundários do SINAN e informações da Secretaria Municipal de Saúde de Cametá. Variáveis analisadas: município de notificação, sexo, idade, escolaridade, </w:t>
      </w:r>
      <w:r w:rsidRPr="00434378">
        <w:rPr>
          <w:sz w:val="24"/>
          <w:szCs w:val="24"/>
        </w:rPr>
        <w:lastRenderedPageBreak/>
        <w:t>sintomas e local da picada. A tabulação foi realizada no TabWin e os gráficos foram produzidos no Excel. Por se tratar de dados públicos agregados, não foi necessário parecer do Comitê de Ética em Pesquisa (CEP).</w:t>
      </w:r>
    </w:p>
    <w:p w14:paraId="4ECD85E8" w14:textId="0F2C9F4C" w:rsidR="003949CE" w:rsidRPr="00AA48D3" w:rsidRDefault="003949CE" w:rsidP="00AA48D3">
      <w:pPr>
        <w:pBdr>
          <w:bottom w:val="none" w:sz="0" w:space="8" w:color="000000"/>
        </w:pBdr>
        <w:shd w:val="clear" w:color="auto" w:fill="FFFFFF"/>
        <w:tabs>
          <w:tab w:val="left" w:pos="2500"/>
        </w:tabs>
        <w:spacing w:line="310" w:lineRule="auto"/>
        <w:jc w:val="both"/>
        <w:rPr>
          <w:color w:val="FF0000"/>
          <w:sz w:val="24"/>
          <w:szCs w:val="24"/>
        </w:rPr>
      </w:pPr>
      <w:r>
        <w:rPr>
          <w:b/>
          <w:sz w:val="24"/>
          <w:szCs w:val="24"/>
        </w:rPr>
        <w:t>3. RESULTADOS E DISCUSSÃO</w:t>
      </w:r>
      <w:r>
        <w:rPr>
          <w:b/>
          <w:sz w:val="28"/>
          <w:szCs w:val="28"/>
        </w:rPr>
        <w:t xml:space="preserve"> </w:t>
      </w:r>
    </w:p>
    <w:p w14:paraId="08C5E95E" w14:textId="089E0E21" w:rsidR="0069063C" w:rsidRPr="002135B3" w:rsidRDefault="0069063C" w:rsidP="0069063C">
      <w:pPr>
        <w:spacing w:line="360" w:lineRule="auto"/>
        <w:ind w:firstLine="720"/>
        <w:jc w:val="both"/>
        <w:rPr>
          <w:sz w:val="24"/>
          <w:szCs w:val="24"/>
        </w:rPr>
      </w:pPr>
      <w:r w:rsidRPr="002135B3">
        <w:rPr>
          <w:sz w:val="24"/>
          <w:szCs w:val="24"/>
        </w:rPr>
        <w:t xml:space="preserve">No período de 2018 a 2022 foram registrados 2.617 acidentes ofídicos no Baixo Tocantins, correspondendo a uma taxa média de incidência de 52,3 casos por 10.000 habitantes. O gênero </w:t>
      </w:r>
      <w:r w:rsidRPr="002135B3">
        <w:rPr>
          <w:i/>
          <w:iCs/>
          <w:sz w:val="24"/>
          <w:szCs w:val="24"/>
        </w:rPr>
        <w:t>Bothrops</w:t>
      </w:r>
      <w:r w:rsidRPr="002135B3">
        <w:rPr>
          <w:sz w:val="24"/>
          <w:szCs w:val="24"/>
        </w:rPr>
        <w:t xml:space="preserve"> foi responsável por 2.190 ocorrências (83,6%), corroborando a literatura nacional (Oliveira et al., 2022; Silva et al., 2023). O maior número de casos foi observado em 2022 (599 notificações), enquanto 2020 apresentou a menor frequência (459), possivelmente associado a subnotificações durante a pandemia de COVID‑19.</w:t>
      </w:r>
    </w:p>
    <w:p w14:paraId="2B966C01" w14:textId="1B6CAEED" w:rsidR="0069063C" w:rsidRPr="002135B3" w:rsidRDefault="0069063C" w:rsidP="0069063C">
      <w:pPr>
        <w:spacing w:line="360" w:lineRule="auto"/>
        <w:ind w:firstLine="720"/>
        <w:jc w:val="both"/>
        <w:rPr>
          <w:sz w:val="24"/>
          <w:szCs w:val="24"/>
        </w:rPr>
      </w:pPr>
      <w:r w:rsidRPr="002135B3">
        <w:rPr>
          <w:sz w:val="24"/>
          <w:szCs w:val="24"/>
        </w:rPr>
        <w:t>A predominância de homens jovens (78,7% entre 20 e 34 anos) reforça o caráter ocupacional dos acidentes, relacionado a atividades agrícolas e pesqueiras, em concordância com estudos recentes realizados na Amazônia brasileira (Silva et al., 2023). O local de picada mais frequente foi o pé (51,8%), resultado compatível com a dinâmica de trabalho em áreas de várzea e roçados sem uso de equipamentos de proteção.</w:t>
      </w:r>
    </w:p>
    <w:p w14:paraId="44BA2653" w14:textId="1FDB8F46" w:rsidR="0069063C" w:rsidRPr="002135B3" w:rsidRDefault="0069063C" w:rsidP="0069063C">
      <w:pPr>
        <w:spacing w:line="360" w:lineRule="auto"/>
        <w:ind w:firstLine="720"/>
        <w:jc w:val="both"/>
        <w:rPr>
          <w:sz w:val="24"/>
          <w:szCs w:val="24"/>
        </w:rPr>
      </w:pPr>
      <w:r w:rsidRPr="002135B3">
        <w:rPr>
          <w:sz w:val="24"/>
          <w:szCs w:val="24"/>
        </w:rPr>
        <w:t>A sazonalidade encontrada, com maior número de casos nos meses chuvosos, reflete tanto o comportamento ecológico das serpentes quanto o aumento das atividades rurais nesse período (Brasil, 2023; Gutiérrez et al., 2021). Tais resultados evidenciam que, além de fatores ambientais, a vulnerabilidade social e ocupacional exerce papel central na ocorrência de acidentes.</w:t>
      </w:r>
    </w:p>
    <w:p w14:paraId="05682E53" w14:textId="53A32611" w:rsidR="0069063C" w:rsidRPr="0069063C" w:rsidRDefault="0069063C" w:rsidP="0069063C">
      <w:pPr>
        <w:spacing w:line="360" w:lineRule="auto"/>
        <w:ind w:firstLine="720"/>
        <w:jc w:val="both"/>
        <w:rPr>
          <w:sz w:val="24"/>
          <w:szCs w:val="24"/>
        </w:rPr>
      </w:pPr>
      <w:r w:rsidRPr="002135B3">
        <w:rPr>
          <w:sz w:val="24"/>
          <w:szCs w:val="24"/>
        </w:rPr>
        <w:t>Comparando com outros estudos nacionais, este trabalho confirma a necessidade de fortalecer a vigilância epidemiológica e ampliar a distribuição de soro antiofídico em unidades regionais. Contudo, destaca‑se que a análise local permite compreender especificidades do Baixo Tocantins, o que contribui para políticas mais direcionadas à realidade amazônica.</w:t>
      </w:r>
    </w:p>
    <w:p w14:paraId="074C3C7C" w14:textId="77777777" w:rsidR="00D472F1" w:rsidRDefault="00AA48D3" w:rsidP="00D472F1">
      <w:pPr>
        <w:pStyle w:val="Corpodetexto"/>
        <w:spacing w:line="360" w:lineRule="auto"/>
        <w:ind w:left="121" w:right="3" w:firstLine="707"/>
        <w:jc w:val="both"/>
      </w:pPr>
      <w:r w:rsidRPr="007740EC">
        <w:t>Ao analisar os acidentes por região, o maior número de casos foi registrado nas</w:t>
      </w:r>
      <w:r w:rsidRPr="007740EC">
        <w:rPr>
          <w:spacing w:val="1"/>
        </w:rPr>
        <w:t xml:space="preserve"> </w:t>
      </w:r>
      <w:r w:rsidRPr="007740EC">
        <w:t>cidades de Cametá (N= 722/ 5,3 por 10 mil Hab.) e Abaetetuba (N=528) e o menor em</w:t>
      </w:r>
      <w:r w:rsidRPr="007740EC">
        <w:rPr>
          <w:spacing w:val="1"/>
        </w:rPr>
        <w:t xml:space="preserve"> </w:t>
      </w:r>
      <w:r w:rsidRPr="007740EC">
        <w:t>Limoeiro</w:t>
      </w:r>
      <w:r w:rsidRPr="007740EC">
        <w:rPr>
          <w:spacing w:val="-4"/>
        </w:rPr>
        <w:t xml:space="preserve"> </w:t>
      </w:r>
      <w:r w:rsidRPr="007740EC">
        <w:t>do</w:t>
      </w:r>
      <w:r w:rsidRPr="007740EC">
        <w:rPr>
          <w:spacing w:val="-4"/>
        </w:rPr>
        <w:t xml:space="preserve"> </w:t>
      </w:r>
      <w:r w:rsidRPr="007740EC">
        <w:t>Ajuru</w:t>
      </w:r>
      <w:r w:rsidRPr="007740EC">
        <w:rPr>
          <w:spacing w:val="-3"/>
        </w:rPr>
        <w:t xml:space="preserve"> </w:t>
      </w:r>
      <w:r w:rsidRPr="007740EC">
        <w:t>(N=166).</w:t>
      </w:r>
      <w:r w:rsidRPr="007740EC">
        <w:rPr>
          <w:spacing w:val="-5"/>
        </w:rPr>
        <w:t xml:space="preserve"> </w:t>
      </w:r>
      <w:r w:rsidRPr="007740EC">
        <w:t>É</w:t>
      </w:r>
      <w:r w:rsidRPr="007740EC">
        <w:rPr>
          <w:spacing w:val="-4"/>
        </w:rPr>
        <w:t xml:space="preserve"> </w:t>
      </w:r>
      <w:r w:rsidRPr="007740EC">
        <w:t>necessário</w:t>
      </w:r>
      <w:r w:rsidRPr="007740EC">
        <w:rPr>
          <w:spacing w:val="-3"/>
        </w:rPr>
        <w:t xml:space="preserve"> </w:t>
      </w:r>
      <w:r w:rsidRPr="007740EC">
        <w:t>considerar</w:t>
      </w:r>
      <w:r w:rsidRPr="007740EC">
        <w:rPr>
          <w:spacing w:val="-2"/>
        </w:rPr>
        <w:t xml:space="preserve"> </w:t>
      </w:r>
      <w:r w:rsidRPr="007740EC">
        <w:t>o</w:t>
      </w:r>
      <w:r w:rsidRPr="007740EC">
        <w:rPr>
          <w:spacing w:val="-4"/>
        </w:rPr>
        <w:t xml:space="preserve"> </w:t>
      </w:r>
      <w:r w:rsidRPr="007740EC">
        <w:t>número</w:t>
      </w:r>
      <w:r w:rsidRPr="007740EC">
        <w:rPr>
          <w:spacing w:val="-4"/>
        </w:rPr>
        <w:t xml:space="preserve"> </w:t>
      </w:r>
      <w:r w:rsidRPr="007740EC">
        <w:t>de</w:t>
      </w:r>
      <w:r w:rsidRPr="007740EC">
        <w:rPr>
          <w:spacing w:val="-6"/>
        </w:rPr>
        <w:t xml:space="preserve"> </w:t>
      </w:r>
      <w:r w:rsidRPr="007740EC">
        <w:t>habitantes</w:t>
      </w:r>
      <w:r w:rsidRPr="007740EC">
        <w:rPr>
          <w:spacing w:val="-5"/>
        </w:rPr>
        <w:t xml:space="preserve"> </w:t>
      </w:r>
      <w:r w:rsidRPr="007740EC">
        <w:t>por</w:t>
      </w:r>
      <w:r w:rsidRPr="007740EC">
        <w:rPr>
          <w:spacing w:val="-1"/>
        </w:rPr>
        <w:t xml:space="preserve"> </w:t>
      </w:r>
      <w:r w:rsidRPr="007740EC">
        <w:t>região,</w:t>
      </w:r>
      <w:r w:rsidRPr="007740EC">
        <w:rPr>
          <w:spacing w:val="-4"/>
        </w:rPr>
        <w:t xml:space="preserve"> </w:t>
      </w:r>
      <w:r w:rsidRPr="007740EC">
        <w:t>de</w:t>
      </w:r>
      <w:r w:rsidRPr="007740EC">
        <w:rPr>
          <w:spacing w:val="-64"/>
        </w:rPr>
        <w:t xml:space="preserve"> </w:t>
      </w:r>
      <w:r w:rsidRPr="007740EC">
        <w:rPr>
          <w:spacing w:val="-1"/>
        </w:rPr>
        <w:t>acordo</w:t>
      </w:r>
      <w:r w:rsidRPr="007740EC">
        <w:rPr>
          <w:spacing w:val="-13"/>
        </w:rPr>
        <w:t xml:space="preserve"> </w:t>
      </w:r>
      <w:r w:rsidRPr="007740EC">
        <w:rPr>
          <w:spacing w:val="-1"/>
        </w:rPr>
        <w:t>com</w:t>
      </w:r>
      <w:r w:rsidRPr="007740EC">
        <w:rPr>
          <w:spacing w:val="-15"/>
        </w:rPr>
        <w:t xml:space="preserve"> </w:t>
      </w:r>
      <w:r w:rsidRPr="007740EC">
        <w:rPr>
          <w:spacing w:val="-1"/>
        </w:rPr>
        <w:t>o</w:t>
      </w:r>
      <w:r w:rsidRPr="007740EC">
        <w:rPr>
          <w:spacing w:val="-14"/>
        </w:rPr>
        <w:t xml:space="preserve"> </w:t>
      </w:r>
      <w:r w:rsidRPr="007740EC">
        <w:rPr>
          <w:spacing w:val="-1"/>
        </w:rPr>
        <w:t>Instituto</w:t>
      </w:r>
      <w:r w:rsidRPr="007740EC">
        <w:rPr>
          <w:spacing w:val="-15"/>
        </w:rPr>
        <w:t xml:space="preserve"> </w:t>
      </w:r>
      <w:r w:rsidRPr="007740EC">
        <w:rPr>
          <w:spacing w:val="-1"/>
        </w:rPr>
        <w:t>Brasileiro</w:t>
      </w:r>
      <w:r w:rsidRPr="007740EC">
        <w:rPr>
          <w:spacing w:val="-14"/>
        </w:rPr>
        <w:t xml:space="preserve"> </w:t>
      </w:r>
      <w:r w:rsidRPr="007740EC">
        <w:t>de</w:t>
      </w:r>
      <w:r w:rsidRPr="007740EC">
        <w:rPr>
          <w:spacing w:val="-14"/>
        </w:rPr>
        <w:t xml:space="preserve"> </w:t>
      </w:r>
      <w:r w:rsidRPr="007740EC">
        <w:t>Geografia</w:t>
      </w:r>
      <w:r w:rsidRPr="007740EC">
        <w:rPr>
          <w:spacing w:val="-16"/>
        </w:rPr>
        <w:t xml:space="preserve"> </w:t>
      </w:r>
      <w:r w:rsidRPr="007740EC">
        <w:t>e</w:t>
      </w:r>
      <w:r w:rsidRPr="007740EC">
        <w:rPr>
          <w:spacing w:val="-13"/>
        </w:rPr>
        <w:t xml:space="preserve"> </w:t>
      </w:r>
      <w:r w:rsidRPr="007740EC">
        <w:t>Estatística</w:t>
      </w:r>
      <w:r w:rsidRPr="007740EC">
        <w:rPr>
          <w:spacing w:val="-8"/>
        </w:rPr>
        <w:t xml:space="preserve"> </w:t>
      </w:r>
      <w:r w:rsidRPr="007740EC">
        <w:t>(IBGE),</w:t>
      </w:r>
      <w:r w:rsidRPr="007740EC">
        <w:rPr>
          <w:spacing w:val="-15"/>
        </w:rPr>
        <w:t xml:space="preserve"> </w:t>
      </w:r>
      <w:r w:rsidRPr="007740EC">
        <w:t>no</w:t>
      </w:r>
      <w:r w:rsidRPr="007740EC">
        <w:rPr>
          <w:spacing w:val="-14"/>
        </w:rPr>
        <w:t xml:space="preserve"> </w:t>
      </w:r>
      <w:r w:rsidRPr="007740EC">
        <w:t>último</w:t>
      </w:r>
      <w:r w:rsidRPr="007740EC">
        <w:rPr>
          <w:spacing w:val="-13"/>
        </w:rPr>
        <w:t xml:space="preserve"> </w:t>
      </w:r>
      <w:r w:rsidRPr="007740EC">
        <w:t>censo</w:t>
      </w:r>
      <w:r w:rsidRPr="007740EC">
        <w:rPr>
          <w:spacing w:val="-14"/>
        </w:rPr>
        <w:t xml:space="preserve"> </w:t>
      </w:r>
      <w:r w:rsidRPr="007740EC">
        <w:t>a</w:t>
      </w:r>
      <w:r w:rsidRPr="007740EC">
        <w:rPr>
          <w:spacing w:val="-14"/>
        </w:rPr>
        <w:t xml:space="preserve"> </w:t>
      </w:r>
      <w:r w:rsidRPr="007740EC">
        <w:t>cidade</w:t>
      </w:r>
      <w:r w:rsidRPr="007740EC">
        <w:rPr>
          <w:spacing w:val="-64"/>
        </w:rPr>
        <w:t xml:space="preserve"> </w:t>
      </w:r>
      <w:r w:rsidRPr="007740EC">
        <w:t>de</w:t>
      </w:r>
      <w:r w:rsidRPr="007740EC">
        <w:rPr>
          <w:spacing w:val="-12"/>
        </w:rPr>
        <w:t xml:space="preserve"> </w:t>
      </w:r>
      <w:r w:rsidRPr="007740EC">
        <w:t>Cametá</w:t>
      </w:r>
      <w:r w:rsidRPr="007740EC">
        <w:rPr>
          <w:spacing w:val="-11"/>
        </w:rPr>
        <w:t xml:space="preserve"> </w:t>
      </w:r>
      <w:r w:rsidRPr="007740EC">
        <w:t>alcançou</w:t>
      </w:r>
      <w:r w:rsidRPr="007740EC">
        <w:rPr>
          <w:spacing w:val="-12"/>
        </w:rPr>
        <w:t xml:space="preserve"> </w:t>
      </w:r>
      <w:r w:rsidRPr="007740EC">
        <w:t>134.184</w:t>
      </w:r>
      <w:r w:rsidRPr="007740EC">
        <w:rPr>
          <w:spacing w:val="-13"/>
        </w:rPr>
        <w:t xml:space="preserve"> </w:t>
      </w:r>
      <w:r w:rsidRPr="007740EC">
        <w:t>pessoas,</w:t>
      </w:r>
      <w:r w:rsidRPr="007740EC">
        <w:rPr>
          <w:spacing w:val="-12"/>
        </w:rPr>
        <w:t xml:space="preserve"> </w:t>
      </w:r>
      <w:r w:rsidRPr="007740EC">
        <w:t>já</w:t>
      </w:r>
      <w:r w:rsidRPr="007740EC">
        <w:rPr>
          <w:spacing w:val="-13"/>
        </w:rPr>
        <w:t xml:space="preserve"> </w:t>
      </w:r>
      <w:r w:rsidR="009F5D08">
        <w:rPr>
          <w:spacing w:val="-13"/>
        </w:rPr>
        <w:t xml:space="preserve"> </w:t>
      </w:r>
      <w:r w:rsidRPr="007740EC">
        <w:t>Limoeiro,</w:t>
      </w:r>
      <w:r w:rsidRPr="007740EC">
        <w:rPr>
          <w:spacing w:val="-12"/>
        </w:rPr>
        <w:t xml:space="preserve"> </w:t>
      </w:r>
      <w:r w:rsidRPr="007740EC">
        <w:t>29.569.</w:t>
      </w:r>
    </w:p>
    <w:p w14:paraId="7A0BF958" w14:textId="18CADE59" w:rsidR="008F290C" w:rsidRPr="008F290C" w:rsidRDefault="008F290C" w:rsidP="00D472F1">
      <w:pPr>
        <w:pStyle w:val="Corpodetexto"/>
        <w:spacing w:line="360" w:lineRule="auto"/>
        <w:ind w:right="3"/>
        <w:jc w:val="center"/>
        <w:rPr>
          <w:bCs/>
        </w:rPr>
      </w:pPr>
      <w:r>
        <w:rPr>
          <w:bCs/>
        </w:rPr>
        <w:t>Tabela 1: Frequencia de acidentes por município.</w:t>
      </w:r>
    </w:p>
    <w:tbl>
      <w:tblPr>
        <w:tblStyle w:val="Tabelacomgrade"/>
        <w:tblW w:w="0" w:type="auto"/>
        <w:jc w:val="center"/>
        <w:tblLook w:val="04A0" w:firstRow="1" w:lastRow="0" w:firstColumn="1" w:lastColumn="0" w:noHBand="0" w:noVBand="1"/>
      </w:tblPr>
      <w:tblGrid>
        <w:gridCol w:w="1304"/>
        <w:gridCol w:w="546"/>
        <w:gridCol w:w="1096"/>
        <w:gridCol w:w="1035"/>
        <w:gridCol w:w="1060"/>
        <w:gridCol w:w="1096"/>
        <w:gridCol w:w="1231"/>
        <w:gridCol w:w="674"/>
      </w:tblGrid>
      <w:tr w:rsidR="008F290C" w:rsidRPr="00C7095D" w14:paraId="0516340D" w14:textId="77777777" w:rsidTr="00D472F1">
        <w:trPr>
          <w:trHeight w:val="714"/>
          <w:jc w:val="center"/>
        </w:trPr>
        <w:tc>
          <w:tcPr>
            <w:tcW w:w="1303" w:type="dxa"/>
            <w:shd w:val="clear" w:color="auto" w:fill="EEECE1" w:themeFill="background2"/>
          </w:tcPr>
          <w:p w14:paraId="67A39C4C" w14:textId="77777777" w:rsidR="008F290C" w:rsidRPr="00C7095D" w:rsidRDefault="008F290C" w:rsidP="00D61097">
            <w:pPr>
              <w:jc w:val="both"/>
            </w:pPr>
            <w:r w:rsidRPr="00C7095D">
              <w:lastRenderedPageBreak/>
              <w:t>Município</w:t>
            </w:r>
          </w:p>
        </w:tc>
        <w:tc>
          <w:tcPr>
            <w:tcW w:w="537" w:type="dxa"/>
            <w:shd w:val="clear" w:color="auto" w:fill="EEECE1" w:themeFill="background2"/>
          </w:tcPr>
          <w:p w14:paraId="0AAFF55E" w14:textId="77777777" w:rsidR="008F290C" w:rsidRPr="00C7095D" w:rsidRDefault="008F290C" w:rsidP="00D61097">
            <w:pPr>
              <w:jc w:val="both"/>
            </w:pPr>
            <w:r w:rsidRPr="00C7095D">
              <w:t>Ign</w:t>
            </w:r>
          </w:p>
        </w:tc>
        <w:tc>
          <w:tcPr>
            <w:tcW w:w="1093" w:type="dxa"/>
            <w:shd w:val="clear" w:color="auto" w:fill="EEECE1" w:themeFill="background2"/>
          </w:tcPr>
          <w:p w14:paraId="1B64BDE4" w14:textId="77777777" w:rsidR="008F290C" w:rsidRPr="00C7095D" w:rsidRDefault="008F290C" w:rsidP="00D61097">
            <w:pPr>
              <w:jc w:val="both"/>
            </w:pPr>
            <w:r w:rsidRPr="00C7095D">
              <w:t>Botrópico</w:t>
            </w:r>
          </w:p>
        </w:tc>
        <w:tc>
          <w:tcPr>
            <w:tcW w:w="1031" w:type="dxa"/>
            <w:shd w:val="clear" w:color="auto" w:fill="EEECE1" w:themeFill="background2"/>
          </w:tcPr>
          <w:p w14:paraId="02D583C9" w14:textId="77777777" w:rsidR="008F290C" w:rsidRPr="00C7095D" w:rsidRDefault="008F290C" w:rsidP="00D61097">
            <w:pPr>
              <w:jc w:val="both"/>
            </w:pPr>
            <w:r w:rsidRPr="00C7095D">
              <w:t>Crotálico</w:t>
            </w:r>
          </w:p>
        </w:tc>
        <w:tc>
          <w:tcPr>
            <w:tcW w:w="1056" w:type="dxa"/>
            <w:shd w:val="clear" w:color="auto" w:fill="EEECE1" w:themeFill="background2"/>
          </w:tcPr>
          <w:p w14:paraId="542D7316" w14:textId="77777777" w:rsidR="008F290C" w:rsidRPr="00C7095D" w:rsidRDefault="008F290C" w:rsidP="00D61097">
            <w:pPr>
              <w:jc w:val="both"/>
            </w:pPr>
            <w:r w:rsidRPr="00C7095D">
              <w:t>Elapídico</w:t>
            </w:r>
          </w:p>
        </w:tc>
        <w:tc>
          <w:tcPr>
            <w:tcW w:w="1093" w:type="dxa"/>
            <w:shd w:val="clear" w:color="auto" w:fill="EEECE1" w:themeFill="background2"/>
          </w:tcPr>
          <w:p w14:paraId="6EA4EE41" w14:textId="77777777" w:rsidR="008F290C" w:rsidRPr="00C7095D" w:rsidRDefault="008F290C" w:rsidP="00D61097">
            <w:pPr>
              <w:jc w:val="both"/>
            </w:pPr>
            <w:r w:rsidRPr="00C7095D">
              <w:t>Laquético</w:t>
            </w:r>
          </w:p>
        </w:tc>
        <w:tc>
          <w:tcPr>
            <w:tcW w:w="1229" w:type="dxa"/>
            <w:shd w:val="clear" w:color="auto" w:fill="EEECE1" w:themeFill="background2"/>
          </w:tcPr>
          <w:p w14:paraId="48552D99" w14:textId="77777777" w:rsidR="008F290C" w:rsidRPr="00C7095D" w:rsidRDefault="008F290C" w:rsidP="00D61097">
            <w:pPr>
              <w:jc w:val="both"/>
            </w:pPr>
            <w:r w:rsidRPr="00C7095D">
              <w:t>Não Peçonhenta</w:t>
            </w:r>
          </w:p>
        </w:tc>
        <w:tc>
          <w:tcPr>
            <w:tcW w:w="674" w:type="dxa"/>
            <w:shd w:val="clear" w:color="auto" w:fill="EEECE1" w:themeFill="background2"/>
          </w:tcPr>
          <w:p w14:paraId="06C31556" w14:textId="77777777" w:rsidR="008F290C" w:rsidRPr="00C7095D" w:rsidRDefault="008F290C" w:rsidP="00D61097">
            <w:pPr>
              <w:jc w:val="both"/>
            </w:pPr>
            <w:r w:rsidRPr="00C7095D">
              <w:t>Total</w:t>
            </w:r>
          </w:p>
        </w:tc>
      </w:tr>
      <w:tr w:rsidR="008F290C" w:rsidRPr="00C7095D" w14:paraId="24E2A63A" w14:textId="77777777" w:rsidTr="00D472F1">
        <w:trPr>
          <w:trHeight w:val="463"/>
          <w:jc w:val="center"/>
        </w:trPr>
        <w:tc>
          <w:tcPr>
            <w:tcW w:w="1303" w:type="dxa"/>
          </w:tcPr>
          <w:p w14:paraId="3FD785DA" w14:textId="77777777" w:rsidR="008F290C" w:rsidRPr="00C7095D" w:rsidRDefault="008F290C" w:rsidP="00D61097">
            <w:pPr>
              <w:jc w:val="both"/>
            </w:pPr>
            <w:r w:rsidRPr="00C7095D">
              <w:rPr>
                <w:b/>
              </w:rPr>
              <w:t>Abaetetuba</w:t>
            </w:r>
          </w:p>
        </w:tc>
        <w:tc>
          <w:tcPr>
            <w:tcW w:w="537" w:type="dxa"/>
          </w:tcPr>
          <w:p w14:paraId="4A36DFB3" w14:textId="77777777" w:rsidR="008F290C" w:rsidRPr="00C7095D" w:rsidRDefault="008F290C" w:rsidP="00D61097">
            <w:pPr>
              <w:jc w:val="both"/>
            </w:pPr>
            <w:r w:rsidRPr="00C7095D">
              <w:t>125</w:t>
            </w:r>
          </w:p>
        </w:tc>
        <w:tc>
          <w:tcPr>
            <w:tcW w:w="1093" w:type="dxa"/>
          </w:tcPr>
          <w:p w14:paraId="3630B842" w14:textId="77777777" w:rsidR="008F290C" w:rsidRPr="00C7095D" w:rsidRDefault="008F290C" w:rsidP="00D61097">
            <w:pPr>
              <w:jc w:val="both"/>
            </w:pPr>
            <w:r w:rsidRPr="00C7095D">
              <w:t>393</w:t>
            </w:r>
          </w:p>
        </w:tc>
        <w:tc>
          <w:tcPr>
            <w:tcW w:w="1031" w:type="dxa"/>
          </w:tcPr>
          <w:p w14:paraId="06199AD7" w14:textId="77777777" w:rsidR="008F290C" w:rsidRPr="00C7095D" w:rsidRDefault="008F290C" w:rsidP="00D61097">
            <w:pPr>
              <w:jc w:val="both"/>
            </w:pPr>
            <w:r w:rsidRPr="00C7095D">
              <w:t>2</w:t>
            </w:r>
          </w:p>
        </w:tc>
        <w:tc>
          <w:tcPr>
            <w:tcW w:w="1056" w:type="dxa"/>
          </w:tcPr>
          <w:p w14:paraId="1F55DBEF" w14:textId="77777777" w:rsidR="008F290C" w:rsidRPr="00C7095D" w:rsidRDefault="008F290C" w:rsidP="00D61097">
            <w:pPr>
              <w:jc w:val="both"/>
            </w:pPr>
            <w:r w:rsidRPr="00C7095D">
              <w:t>0</w:t>
            </w:r>
          </w:p>
        </w:tc>
        <w:tc>
          <w:tcPr>
            <w:tcW w:w="1093" w:type="dxa"/>
          </w:tcPr>
          <w:p w14:paraId="3BE331A6" w14:textId="77777777" w:rsidR="008F290C" w:rsidRPr="00C7095D" w:rsidRDefault="008F290C" w:rsidP="00D61097">
            <w:pPr>
              <w:jc w:val="both"/>
            </w:pPr>
            <w:r w:rsidRPr="00C7095D">
              <w:t>7</w:t>
            </w:r>
          </w:p>
        </w:tc>
        <w:tc>
          <w:tcPr>
            <w:tcW w:w="1229" w:type="dxa"/>
          </w:tcPr>
          <w:p w14:paraId="15F46E45" w14:textId="77777777" w:rsidR="008F290C" w:rsidRPr="00C7095D" w:rsidRDefault="008F290C" w:rsidP="00D61097">
            <w:pPr>
              <w:jc w:val="both"/>
            </w:pPr>
            <w:r w:rsidRPr="00C7095D">
              <w:t>1</w:t>
            </w:r>
          </w:p>
        </w:tc>
        <w:tc>
          <w:tcPr>
            <w:tcW w:w="674" w:type="dxa"/>
          </w:tcPr>
          <w:p w14:paraId="5D37130C" w14:textId="77777777" w:rsidR="008F290C" w:rsidRPr="00C7095D" w:rsidRDefault="008F290C" w:rsidP="00D61097">
            <w:pPr>
              <w:jc w:val="both"/>
            </w:pPr>
            <w:r w:rsidRPr="00C7095D">
              <w:t>528</w:t>
            </w:r>
          </w:p>
        </w:tc>
      </w:tr>
      <w:tr w:rsidR="008F290C" w:rsidRPr="00C7095D" w14:paraId="4FCF152E" w14:textId="77777777" w:rsidTr="00D472F1">
        <w:trPr>
          <w:trHeight w:val="238"/>
          <w:jc w:val="center"/>
        </w:trPr>
        <w:tc>
          <w:tcPr>
            <w:tcW w:w="1303" w:type="dxa"/>
          </w:tcPr>
          <w:p w14:paraId="260FC402" w14:textId="77777777" w:rsidR="008F290C" w:rsidRPr="00C7095D" w:rsidRDefault="008F290C" w:rsidP="00D61097">
            <w:pPr>
              <w:jc w:val="both"/>
            </w:pPr>
            <w:r w:rsidRPr="00C7095D">
              <w:rPr>
                <w:b/>
              </w:rPr>
              <w:t>Baião</w:t>
            </w:r>
          </w:p>
        </w:tc>
        <w:tc>
          <w:tcPr>
            <w:tcW w:w="537" w:type="dxa"/>
          </w:tcPr>
          <w:p w14:paraId="45DF3866" w14:textId="77777777" w:rsidR="008F290C" w:rsidRPr="00C7095D" w:rsidRDefault="008F290C" w:rsidP="00D61097">
            <w:pPr>
              <w:jc w:val="both"/>
            </w:pPr>
            <w:r w:rsidRPr="00C7095D">
              <w:t>33</w:t>
            </w:r>
          </w:p>
        </w:tc>
        <w:tc>
          <w:tcPr>
            <w:tcW w:w="1093" w:type="dxa"/>
          </w:tcPr>
          <w:p w14:paraId="1F837953" w14:textId="77777777" w:rsidR="008F290C" w:rsidRPr="00C7095D" w:rsidRDefault="008F290C" w:rsidP="00D61097">
            <w:pPr>
              <w:jc w:val="both"/>
            </w:pPr>
            <w:r w:rsidRPr="00C7095D">
              <w:t>176</w:t>
            </w:r>
          </w:p>
        </w:tc>
        <w:tc>
          <w:tcPr>
            <w:tcW w:w="1031" w:type="dxa"/>
          </w:tcPr>
          <w:p w14:paraId="11D21795" w14:textId="77777777" w:rsidR="008F290C" w:rsidRPr="00C7095D" w:rsidRDefault="008F290C" w:rsidP="00D61097">
            <w:pPr>
              <w:jc w:val="both"/>
            </w:pPr>
            <w:r w:rsidRPr="00C7095D">
              <w:t>1</w:t>
            </w:r>
          </w:p>
        </w:tc>
        <w:tc>
          <w:tcPr>
            <w:tcW w:w="1056" w:type="dxa"/>
          </w:tcPr>
          <w:p w14:paraId="43DF6BF9" w14:textId="77777777" w:rsidR="008F290C" w:rsidRPr="00C7095D" w:rsidRDefault="008F290C" w:rsidP="00D61097">
            <w:pPr>
              <w:jc w:val="both"/>
            </w:pPr>
            <w:r w:rsidRPr="00C7095D">
              <w:t>1</w:t>
            </w:r>
          </w:p>
        </w:tc>
        <w:tc>
          <w:tcPr>
            <w:tcW w:w="1093" w:type="dxa"/>
          </w:tcPr>
          <w:p w14:paraId="6D3DF5D0" w14:textId="77777777" w:rsidR="008F290C" w:rsidRPr="00C7095D" w:rsidRDefault="008F290C" w:rsidP="00D61097">
            <w:pPr>
              <w:jc w:val="both"/>
            </w:pPr>
            <w:r w:rsidRPr="00C7095D">
              <w:t>2</w:t>
            </w:r>
          </w:p>
        </w:tc>
        <w:tc>
          <w:tcPr>
            <w:tcW w:w="1229" w:type="dxa"/>
          </w:tcPr>
          <w:p w14:paraId="7D0C1BE7" w14:textId="77777777" w:rsidR="008F290C" w:rsidRPr="00C7095D" w:rsidRDefault="008F290C" w:rsidP="00D61097">
            <w:pPr>
              <w:jc w:val="both"/>
            </w:pPr>
            <w:r w:rsidRPr="00C7095D">
              <w:t>2</w:t>
            </w:r>
          </w:p>
        </w:tc>
        <w:tc>
          <w:tcPr>
            <w:tcW w:w="674" w:type="dxa"/>
          </w:tcPr>
          <w:p w14:paraId="54976A1F" w14:textId="77777777" w:rsidR="008F290C" w:rsidRPr="00C7095D" w:rsidRDefault="008F290C" w:rsidP="00D61097">
            <w:pPr>
              <w:jc w:val="both"/>
            </w:pPr>
            <w:r w:rsidRPr="00C7095D">
              <w:t>215</w:t>
            </w:r>
          </w:p>
        </w:tc>
      </w:tr>
      <w:tr w:rsidR="008F290C" w:rsidRPr="00C7095D" w14:paraId="42915DC8" w14:textId="77777777" w:rsidTr="00D472F1">
        <w:trPr>
          <w:trHeight w:val="238"/>
          <w:jc w:val="center"/>
        </w:trPr>
        <w:tc>
          <w:tcPr>
            <w:tcW w:w="1303" w:type="dxa"/>
          </w:tcPr>
          <w:p w14:paraId="566C7175" w14:textId="77777777" w:rsidR="008F290C" w:rsidRPr="00C7095D" w:rsidRDefault="008F290C" w:rsidP="00D61097">
            <w:pPr>
              <w:jc w:val="both"/>
            </w:pPr>
            <w:r w:rsidRPr="00C7095D">
              <w:rPr>
                <w:b/>
              </w:rPr>
              <w:t>Cametá</w:t>
            </w:r>
          </w:p>
        </w:tc>
        <w:tc>
          <w:tcPr>
            <w:tcW w:w="537" w:type="dxa"/>
          </w:tcPr>
          <w:p w14:paraId="194976FD" w14:textId="77777777" w:rsidR="008F290C" w:rsidRPr="00C7095D" w:rsidRDefault="008F290C" w:rsidP="00D61097">
            <w:pPr>
              <w:jc w:val="both"/>
            </w:pPr>
            <w:r w:rsidRPr="00C7095D">
              <w:t>80</w:t>
            </w:r>
          </w:p>
        </w:tc>
        <w:tc>
          <w:tcPr>
            <w:tcW w:w="1093" w:type="dxa"/>
          </w:tcPr>
          <w:p w14:paraId="32668773" w14:textId="77777777" w:rsidR="008F290C" w:rsidRPr="00C7095D" w:rsidRDefault="008F290C" w:rsidP="00D61097">
            <w:pPr>
              <w:jc w:val="both"/>
            </w:pPr>
            <w:r w:rsidRPr="00C7095D">
              <w:t>637</w:t>
            </w:r>
          </w:p>
        </w:tc>
        <w:tc>
          <w:tcPr>
            <w:tcW w:w="1031" w:type="dxa"/>
          </w:tcPr>
          <w:p w14:paraId="226721D1" w14:textId="77777777" w:rsidR="008F290C" w:rsidRPr="00C7095D" w:rsidRDefault="008F290C" w:rsidP="00D61097">
            <w:pPr>
              <w:jc w:val="both"/>
            </w:pPr>
            <w:r w:rsidRPr="00C7095D">
              <w:t>0</w:t>
            </w:r>
          </w:p>
        </w:tc>
        <w:tc>
          <w:tcPr>
            <w:tcW w:w="1056" w:type="dxa"/>
          </w:tcPr>
          <w:p w14:paraId="69891D00" w14:textId="77777777" w:rsidR="008F290C" w:rsidRPr="00C7095D" w:rsidRDefault="008F290C" w:rsidP="00D61097">
            <w:pPr>
              <w:jc w:val="both"/>
            </w:pPr>
            <w:r w:rsidRPr="00C7095D">
              <w:t>0</w:t>
            </w:r>
          </w:p>
        </w:tc>
        <w:tc>
          <w:tcPr>
            <w:tcW w:w="1093" w:type="dxa"/>
          </w:tcPr>
          <w:p w14:paraId="4C2A6D2E" w14:textId="77777777" w:rsidR="008F290C" w:rsidRPr="00C7095D" w:rsidRDefault="008F290C" w:rsidP="00D61097">
            <w:pPr>
              <w:jc w:val="both"/>
            </w:pPr>
            <w:r w:rsidRPr="00C7095D">
              <w:t>4</w:t>
            </w:r>
          </w:p>
        </w:tc>
        <w:tc>
          <w:tcPr>
            <w:tcW w:w="1229" w:type="dxa"/>
          </w:tcPr>
          <w:p w14:paraId="12AB51EF" w14:textId="77777777" w:rsidR="008F290C" w:rsidRPr="00C7095D" w:rsidRDefault="008F290C" w:rsidP="00D61097">
            <w:pPr>
              <w:jc w:val="both"/>
            </w:pPr>
            <w:r w:rsidRPr="00C7095D">
              <w:t>1</w:t>
            </w:r>
          </w:p>
        </w:tc>
        <w:tc>
          <w:tcPr>
            <w:tcW w:w="674" w:type="dxa"/>
          </w:tcPr>
          <w:p w14:paraId="5172F798" w14:textId="77777777" w:rsidR="008F290C" w:rsidRPr="00C7095D" w:rsidRDefault="008F290C" w:rsidP="00D61097">
            <w:pPr>
              <w:jc w:val="both"/>
            </w:pPr>
            <w:r w:rsidRPr="00C7095D">
              <w:t>722</w:t>
            </w:r>
          </w:p>
        </w:tc>
      </w:tr>
      <w:tr w:rsidR="008F290C" w:rsidRPr="00C7095D" w14:paraId="10B1DF24" w14:textId="77777777" w:rsidTr="00D472F1">
        <w:trPr>
          <w:trHeight w:val="463"/>
          <w:jc w:val="center"/>
        </w:trPr>
        <w:tc>
          <w:tcPr>
            <w:tcW w:w="1303" w:type="dxa"/>
          </w:tcPr>
          <w:p w14:paraId="5DC79A25" w14:textId="77777777" w:rsidR="008F290C" w:rsidRPr="00C7095D" w:rsidRDefault="008F290C" w:rsidP="00D61097">
            <w:pPr>
              <w:jc w:val="both"/>
            </w:pPr>
            <w:r w:rsidRPr="00C7095D">
              <w:rPr>
                <w:b/>
              </w:rPr>
              <w:t>Igarapé-Miri</w:t>
            </w:r>
          </w:p>
        </w:tc>
        <w:tc>
          <w:tcPr>
            <w:tcW w:w="537" w:type="dxa"/>
          </w:tcPr>
          <w:p w14:paraId="4D716B23" w14:textId="77777777" w:rsidR="008F290C" w:rsidRPr="00C7095D" w:rsidRDefault="008F290C" w:rsidP="00D61097">
            <w:pPr>
              <w:jc w:val="both"/>
            </w:pPr>
            <w:r w:rsidRPr="00C7095D">
              <w:t>47</w:t>
            </w:r>
          </w:p>
        </w:tc>
        <w:tc>
          <w:tcPr>
            <w:tcW w:w="1093" w:type="dxa"/>
          </w:tcPr>
          <w:p w14:paraId="1327F48F" w14:textId="77777777" w:rsidR="008F290C" w:rsidRPr="00C7095D" w:rsidRDefault="008F290C" w:rsidP="00D61097">
            <w:pPr>
              <w:jc w:val="both"/>
            </w:pPr>
            <w:r w:rsidRPr="00C7095D">
              <w:t>283</w:t>
            </w:r>
          </w:p>
        </w:tc>
        <w:tc>
          <w:tcPr>
            <w:tcW w:w="1031" w:type="dxa"/>
          </w:tcPr>
          <w:p w14:paraId="7EDDD96D" w14:textId="77777777" w:rsidR="008F290C" w:rsidRPr="00C7095D" w:rsidRDefault="008F290C" w:rsidP="00D61097">
            <w:pPr>
              <w:jc w:val="both"/>
            </w:pPr>
            <w:r w:rsidRPr="00C7095D">
              <w:t>1</w:t>
            </w:r>
          </w:p>
        </w:tc>
        <w:tc>
          <w:tcPr>
            <w:tcW w:w="1056" w:type="dxa"/>
          </w:tcPr>
          <w:p w14:paraId="1FEB35BE" w14:textId="77777777" w:rsidR="008F290C" w:rsidRPr="00C7095D" w:rsidRDefault="008F290C" w:rsidP="00D61097">
            <w:pPr>
              <w:jc w:val="both"/>
            </w:pPr>
            <w:r w:rsidRPr="00C7095D">
              <w:t>1</w:t>
            </w:r>
          </w:p>
        </w:tc>
        <w:tc>
          <w:tcPr>
            <w:tcW w:w="1093" w:type="dxa"/>
          </w:tcPr>
          <w:p w14:paraId="1D797957" w14:textId="77777777" w:rsidR="008F290C" w:rsidRPr="00C7095D" w:rsidRDefault="008F290C" w:rsidP="00D61097">
            <w:pPr>
              <w:jc w:val="both"/>
            </w:pPr>
            <w:r w:rsidRPr="00C7095D">
              <w:t>4</w:t>
            </w:r>
          </w:p>
        </w:tc>
        <w:tc>
          <w:tcPr>
            <w:tcW w:w="1229" w:type="dxa"/>
          </w:tcPr>
          <w:p w14:paraId="5830C4BD" w14:textId="77777777" w:rsidR="008F290C" w:rsidRPr="00C7095D" w:rsidRDefault="008F290C" w:rsidP="00D61097">
            <w:pPr>
              <w:jc w:val="both"/>
            </w:pPr>
            <w:r w:rsidRPr="00C7095D">
              <w:t>1</w:t>
            </w:r>
          </w:p>
        </w:tc>
        <w:tc>
          <w:tcPr>
            <w:tcW w:w="674" w:type="dxa"/>
          </w:tcPr>
          <w:p w14:paraId="61F86119" w14:textId="77777777" w:rsidR="008F290C" w:rsidRPr="00C7095D" w:rsidRDefault="008F290C" w:rsidP="00D61097">
            <w:pPr>
              <w:jc w:val="both"/>
            </w:pPr>
            <w:r w:rsidRPr="00C7095D">
              <w:t>337</w:t>
            </w:r>
          </w:p>
        </w:tc>
      </w:tr>
      <w:tr w:rsidR="008F290C" w:rsidRPr="00C7095D" w14:paraId="1D1D6A5F" w14:textId="77777777" w:rsidTr="00D472F1">
        <w:trPr>
          <w:trHeight w:val="238"/>
          <w:jc w:val="center"/>
        </w:trPr>
        <w:tc>
          <w:tcPr>
            <w:tcW w:w="1303" w:type="dxa"/>
          </w:tcPr>
          <w:p w14:paraId="12CA2081" w14:textId="77777777" w:rsidR="008F290C" w:rsidRPr="00C7095D" w:rsidRDefault="008F290C" w:rsidP="00D61097">
            <w:pPr>
              <w:jc w:val="both"/>
            </w:pPr>
            <w:r w:rsidRPr="00C7095D">
              <w:rPr>
                <w:b/>
              </w:rPr>
              <w:t>Limoeiro</w:t>
            </w:r>
          </w:p>
        </w:tc>
        <w:tc>
          <w:tcPr>
            <w:tcW w:w="537" w:type="dxa"/>
          </w:tcPr>
          <w:p w14:paraId="6F4D9FB8" w14:textId="77777777" w:rsidR="008F290C" w:rsidRPr="00C7095D" w:rsidRDefault="008F290C" w:rsidP="00D61097">
            <w:pPr>
              <w:jc w:val="both"/>
            </w:pPr>
            <w:r w:rsidRPr="00C7095D">
              <w:t>24</w:t>
            </w:r>
          </w:p>
        </w:tc>
        <w:tc>
          <w:tcPr>
            <w:tcW w:w="1093" w:type="dxa"/>
          </w:tcPr>
          <w:p w14:paraId="0FF55227" w14:textId="77777777" w:rsidR="008F290C" w:rsidRPr="00C7095D" w:rsidRDefault="008F290C" w:rsidP="00D61097">
            <w:pPr>
              <w:jc w:val="both"/>
            </w:pPr>
            <w:r w:rsidRPr="00C7095D">
              <w:t>141</w:t>
            </w:r>
          </w:p>
        </w:tc>
        <w:tc>
          <w:tcPr>
            <w:tcW w:w="1031" w:type="dxa"/>
          </w:tcPr>
          <w:p w14:paraId="515D62D5" w14:textId="77777777" w:rsidR="008F290C" w:rsidRPr="00C7095D" w:rsidRDefault="008F290C" w:rsidP="00D61097">
            <w:pPr>
              <w:jc w:val="both"/>
            </w:pPr>
            <w:r w:rsidRPr="00C7095D">
              <w:t>0</w:t>
            </w:r>
          </w:p>
        </w:tc>
        <w:tc>
          <w:tcPr>
            <w:tcW w:w="1056" w:type="dxa"/>
          </w:tcPr>
          <w:p w14:paraId="06A555DB" w14:textId="77777777" w:rsidR="008F290C" w:rsidRPr="00C7095D" w:rsidRDefault="008F290C" w:rsidP="00D61097">
            <w:pPr>
              <w:jc w:val="both"/>
            </w:pPr>
            <w:r w:rsidRPr="00C7095D">
              <w:t>0</w:t>
            </w:r>
          </w:p>
        </w:tc>
        <w:tc>
          <w:tcPr>
            <w:tcW w:w="1093" w:type="dxa"/>
          </w:tcPr>
          <w:p w14:paraId="0FDB692F" w14:textId="77777777" w:rsidR="008F290C" w:rsidRPr="00C7095D" w:rsidRDefault="008F290C" w:rsidP="00D61097">
            <w:pPr>
              <w:jc w:val="both"/>
            </w:pPr>
            <w:r w:rsidRPr="00C7095D">
              <w:t>1</w:t>
            </w:r>
          </w:p>
        </w:tc>
        <w:tc>
          <w:tcPr>
            <w:tcW w:w="1229" w:type="dxa"/>
          </w:tcPr>
          <w:p w14:paraId="6F5EF382" w14:textId="77777777" w:rsidR="008F290C" w:rsidRPr="00C7095D" w:rsidRDefault="008F290C" w:rsidP="00D61097">
            <w:pPr>
              <w:jc w:val="both"/>
            </w:pPr>
            <w:r w:rsidRPr="00C7095D">
              <w:t>0</w:t>
            </w:r>
          </w:p>
        </w:tc>
        <w:tc>
          <w:tcPr>
            <w:tcW w:w="674" w:type="dxa"/>
          </w:tcPr>
          <w:p w14:paraId="28B0AE5A" w14:textId="77777777" w:rsidR="008F290C" w:rsidRPr="00C7095D" w:rsidRDefault="008F290C" w:rsidP="00D61097">
            <w:pPr>
              <w:jc w:val="both"/>
            </w:pPr>
            <w:r w:rsidRPr="00C7095D">
              <w:t>166</w:t>
            </w:r>
          </w:p>
        </w:tc>
      </w:tr>
      <w:tr w:rsidR="008F290C" w:rsidRPr="00C7095D" w14:paraId="031C12CA" w14:textId="77777777" w:rsidTr="00D472F1">
        <w:trPr>
          <w:trHeight w:val="238"/>
          <w:jc w:val="center"/>
        </w:trPr>
        <w:tc>
          <w:tcPr>
            <w:tcW w:w="1303" w:type="dxa"/>
          </w:tcPr>
          <w:p w14:paraId="0C86706B" w14:textId="77777777" w:rsidR="008F290C" w:rsidRPr="00C7095D" w:rsidRDefault="008F290C" w:rsidP="00D61097">
            <w:pPr>
              <w:jc w:val="both"/>
            </w:pPr>
            <w:r w:rsidRPr="00C7095D">
              <w:rPr>
                <w:b/>
              </w:rPr>
              <w:t>Mocajuba</w:t>
            </w:r>
          </w:p>
        </w:tc>
        <w:tc>
          <w:tcPr>
            <w:tcW w:w="537" w:type="dxa"/>
          </w:tcPr>
          <w:p w14:paraId="1C936B4D" w14:textId="77777777" w:rsidR="008F290C" w:rsidRPr="00C7095D" w:rsidRDefault="008F290C" w:rsidP="00D61097">
            <w:pPr>
              <w:jc w:val="both"/>
            </w:pPr>
            <w:r w:rsidRPr="00C7095D">
              <w:t>9</w:t>
            </w:r>
          </w:p>
        </w:tc>
        <w:tc>
          <w:tcPr>
            <w:tcW w:w="1093" w:type="dxa"/>
          </w:tcPr>
          <w:p w14:paraId="5E8825D0" w14:textId="77777777" w:rsidR="008F290C" w:rsidRPr="00C7095D" w:rsidRDefault="008F290C" w:rsidP="00D61097">
            <w:pPr>
              <w:jc w:val="both"/>
            </w:pPr>
            <w:r w:rsidRPr="00C7095D">
              <w:t>185</w:t>
            </w:r>
          </w:p>
        </w:tc>
        <w:tc>
          <w:tcPr>
            <w:tcW w:w="1031" w:type="dxa"/>
          </w:tcPr>
          <w:p w14:paraId="281F8949" w14:textId="77777777" w:rsidR="008F290C" w:rsidRPr="00C7095D" w:rsidRDefault="008F290C" w:rsidP="00D61097">
            <w:pPr>
              <w:jc w:val="both"/>
            </w:pPr>
            <w:r w:rsidRPr="00C7095D">
              <w:t>1</w:t>
            </w:r>
          </w:p>
        </w:tc>
        <w:tc>
          <w:tcPr>
            <w:tcW w:w="1056" w:type="dxa"/>
          </w:tcPr>
          <w:p w14:paraId="5CE27E80" w14:textId="77777777" w:rsidR="008F290C" w:rsidRPr="00C7095D" w:rsidRDefault="008F290C" w:rsidP="00D61097">
            <w:pPr>
              <w:jc w:val="both"/>
            </w:pPr>
            <w:r w:rsidRPr="00C7095D">
              <w:t>0</w:t>
            </w:r>
          </w:p>
        </w:tc>
        <w:tc>
          <w:tcPr>
            <w:tcW w:w="1093" w:type="dxa"/>
          </w:tcPr>
          <w:p w14:paraId="781BCB30" w14:textId="77777777" w:rsidR="008F290C" w:rsidRPr="00C7095D" w:rsidRDefault="008F290C" w:rsidP="00D61097">
            <w:pPr>
              <w:jc w:val="both"/>
            </w:pPr>
            <w:r w:rsidRPr="00C7095D">
              <w:t>0</w:t>
            </w:r>
          </w:p>
        </w:tc>
        <w:tc>
          <w:tcPr>
            <w:tcW w:w="1229" w:type="dxa"/>
          </w:tcPr>
          <w:p w14:paraId="5D4EF6B5" w14:textId="77777777" w:rsidR="008F290C" w:rsidRPr="00C7095D" w:rsidRDefault="008F290C" w:rsidP="00D61097">
            <w:pPr>
              <w:jc w:val="both"/>
            </w:pPr>
            <w:r w:rsidRPr="00C7095D">
              <w:t>0</w:t>
            </w:r>
          </w:p>
        </w:tc>
        <w:tc>
          <w:tcPr>
            <w:tcW w:w="674" w:type="dxa"/>
          </w:tcPr>
          <w:p w14:paraId="395B6AC6" w14:textId="77777777" w:rsidR="008F290C" w:rsidRPr="00C7095D" w:rsidRDefault="008F290C" w:rsidP="00D61097">
            <w:pPr>
              <w:jc w:val="both"/>
            </w:pPr>
            <w:r w:rsidRPr="00C7095D">
              <w:t>195</w:t>
            </w:r>
          </w:p>
        </w:tc>
      </w:tr>
      <w:tr w:rsidR="008F290C" w:rsidRPr="00C7095D" w14:paraId="0DCDE0E1" w14:textId="77777777" w:rsidTr="00D472F1">
        <w:trPr>
          <w:trHeight w:val="224"/>
          <w:jc w:val="center"/>
        </w:trPr>
        <w:tc>
          <w:tcPr>
            <w:tcW w:w="1303" w:type="dxa"/>
          </w:tcPr>
          <w:p w14:paraId="67096F3A" w14:textId="77777777" w:rsidR="008F290C" w:rsidRPr="00C7095D" w:rsidRDefault="008F290C" w:rsidP="00D61097">
            <w:pPr>
              <w:jc w:val="both"/>
            </w:pPr>
            <w:r w:rsidRPr="00C7095D">
              <w:rPr>
                <w:b/>
              </w:rPr>
              <w:t>Oeiras</w:t>
            </w:r>
          </w:p>
        </w:tc>
        <w:tc>
          <w:tcPr>
            <w:tcW w:w="537" w:type="dxa"/>
          </w:tcPr>
          <w:p w14:paraId="6FFCE57A" w14:textId="77777777" w:rsidR="008F290C" w:rsidRPr="00C7095D" w:rsidRDefault="008F290C" w:rsidP="00D61097">
            <w:pPr>
              <w:jc w:val="both"/>
            </w:pPr>
            <w:r w:rsidRPr="00C7095D">
              <w:t>72</w:t>
            </w:r>
          </w:p>
        </w:tc>
        <w:tc>
          <w:tcPr>
            <w:tcW w:w="1093" w:type="dxa"/>
          </w:tcPr>
          <w:p w14:paraId="53FC6F42" w14:textId="77777777" w:rsidR="008F290C" w:rsidRPr="00C7095D" w:rsidRDefault="008F290C" w:rsidP="00D61097">
            <w:pPr>
              <w:jc w:val="both"/>
            </w:pPr>
            <w:r w:rsidRPr="00C7095D">
              <w:t>375</w:t>
            </w:r>
          </w:p>
        </w:tc>
        <w:tc>
          <w:tcPr>
            <w:tcW w:w="1031" w:type="dxa"/>
          </w:tcPr>
          <w:p w14:paraId="16450D39" w14:textId="77777777" w:rsidR="008F290C" w:rsidRPr="00C7095D" w:rsidRDefault="008F290C" w:rsidP="00D61097">
            <w:pPr>
              <w:jc w:val="both"/>
            </w:pPr>
            <w:r w:rsidRPr="00C7095D">
              <w:t>0</w:t>
            </w:r>
          </w:p>
        </w:tc>
        <w:tc>
          <w:tcPr>
            <w:tcW w:w="1056" w:type="dxa"/>
          </w:tcPr>
          <w:p w14:paraId="7218F9CD" w14:textId="77777777" w:rsidR="008F290C" w:rsidRPr="00C7095D" w:rsidRDefault="008F290C" w:rsidP="00D61097">
            <w:pPr>
              <w:jc w:val="both"/>
            </w:pPr>
            <w:r w:rsidRPr="00C7095D">
              <w:t>1</w:t>
            </w:r>
          </w:p>
        </w:tc>
        <w:tc>
          <w:tcPr>
            <w:tcW w:w="1093" w:type="dxa"/>
          </w:tcPr>
          <w:p w14:paraId="43343338" w14:textId="77777777" w:rsidR="008F290C" w:rsidRPr="00C7095D" w:rsidRDefault="008F290C" w:rsidP="00D61097">
            <w:pPr>
              <w:jc w:val="both"/>
            </w:pPr>
            <w:r w:rsidRPr="00C7095D">
              <w:t>6</w:t>
            </w:r>
          </w:p>
        </w:tc>
        <w:tc>
          <w:tcPr>
            <w:tcW w:w="1229" w:type="dxa"/>
          </w:tcPr>
          <w:p w14:paraId="449DCE06" w14:textId="77777777" w:rsidR="008F290C" w:rsidRPr="00C7095D" w:rsidRDefault="008F290C" w:rsidP="00D61097">
            <w:pPr>
              <w:jc w:val="both"/>
            </w:pPr>
            <w:r w:rsidRPr="00C7095D">
              <w:t>0</w:t>
            </w:r>
          </w:p>
        </w:tc>
        <w:tc>
          <w:tcPr>
            <w:tcW w:w="674" w:type="dxa"/>
          </w:tcPr>
          <w:p w14:paraId="74F59E7C" w14:textId="77777777" w:rsidR="008F290C" w:rsidRPr="00C7095D" w:rsidRDefault="008F290C" w:rsidP="00D61097">
            <w:pPr>
              <w:jc w:val="both"/>
            </w:pPr>
            <w:r w:rsidRPr="00C7095D">
              <w:t>454</w:t>
            </w:r>
          </w:p>
        </w:tc>
      </w:tr>
      <w:tr w:rsidR="008F290C" w:rsidRPr="00C7095D" w14:paraId="7347EFA0" w14:textId="77777777" w:rsidTr="00D472F1">
        <w:trPr>
          <w:trHeight w:val="476"/>
          <w:jc w:val="center"/>
        </w:trPr>
        <w:tc>
          <w:tcPr>
            <w:tcW w:w="1303" w:type="dxa"/>
          </w:tcPr>
          <w:p w14:paraId="2E38C585" w14:textId="77777777" w:rsidR="008F290C" w:rsidRPr="00C7095D" w:rsidRDefault="008F290C" w:rsidP="00D61097">
            <w:pPr>
              <w:jc w:val="both"/>
            </w:pPr>
            <w:r w:rsidRPr="00C7095D">
              <w:rPr>
                <w:b/>
              </w:rPr>
              <w:t>Total</w:t>
            </w:r>
          </w:p>
        </w:tc>
        <w:tc>
          <w:tcPr>
            <w:tcW w:w="537" w:type="dxa"/>
          </w:tcPr>
          <w:p w14:paraId="52FE587B" w14:textId="77777777" w:rsidR="008F290C" w:rsidRPr="00C7095D" w:rsidRDefault="008F290C" w:rsidP="00D61097">
            <w:pPr>
              <w:jc w:val="both"/>
            </w:pPr>
            <w:r w:rsidRPr="00C7095D">
              <w:t>390</w:t>
            </w:r>
          </w:p>
        </w:tc>
        <w:tc>
          <w:tcPr>
            <w:tcW w:w="1093" w:type="dxa"/>
          </w:tcPr>
          <w:p w14:paraId="0295465F" w14:textId="77777777" w:rsidR="008F290C" w:rsidRPr="00C7095D" w:rsidRDefault="008F290C" w:rsidP="00D61097">
            <w:pPr>
              <w:jc w:val="both"/>
            </w:pPr>
            <w:r w:rsidRPr="00C7095D">
              <w:t>2190</w:t>
            </w:r>
          </w:p>
        </w:tc>
        <w:tc>
          <w:tcPr>
            <w:tcW w:w="1031" w:type="dxa"/>
          </w:tcPr>
          <w:p w14:paraId="33B95C44" w14:textId="77777777" w:rsidR="008F290C" w:rsidRPr="00C7095D" w:rsidRDefault="008F290C" w:rsidP="00D61097">
            <w:pPr>
              <w:jc w:val="both"/>
            </w:pPr>
            <w:r w:rsidRPr="00C7095D">
              <w:t>5</w:t>
            </w:r>
          </w:p>
        </w:tc>
        <w:tc>
          <w:tcPr>
            <w:tcW w:w="1056" w:type="dxa"/>
          </w:tcPr>
          <w:p w14:paraId="6915678F" w14:textId="77777777" w:rsidR="008F290C" w:rsidRPr="00C7095D" w:rsidRDefault="008F290C" w:rsidP="00D61097">
            <w:pPr>
              <w:jc w:val="both"/>
            </w:pPr>
            <w:r w:rsidRPr="00C7095D">
              <w:t>3</w:t>
            </w:r>
          </w:p>
        </w:tc>
        <w:tc>
          <w:tcPr>
            <w:tcW w:w="1093" w:type="dxa"/>
          </w:tcPr>
          <w:p w14:paraId="7532B508" w14:textId="77777777" w:rsidR="008F290C" w:rsidRPr="00C7095D" w:rsidRDefault="008F290C" w:rsidP="00D61097">
            <w:pPr>
              <w:jc w:val="both"/>
            </w:pPr>
            <w:r w:rsidRPr="00C7095D">
              <w:t>24</w:t>
            </w:r>
          </w:p>
        </w:tc>
        <w:tc>
          <w:tcPr>
            <w:tcW w:w="1229" w:type="dxa"/>
          </w:tcPr>
          <w:p w14:paraId="3557FD2D" w14:textId="77777777" w:rsidR="008F290C" w:rsidRPr="00C7095D" w:rsidRDefault="008F290C" w:rsidP="00D61097">
            <w:pPr>
              <w:jc w:val="both"/>
            </w:pPr>
            <w:r w:rsidRPr="00C7095D">
              <w:t>5</w:t>
            </w:r>
          </w:p>
        </w:tc>
        <w:tc>
          <w:tcPr>
            <w:tcW w:w="674" w:type="dxa"/>
          </w:tcPr>
          <w:p w14:paraId="0B987833" w14:textId="77777777" w:rsidR="008F290C" w:rsidRPr="00C7095D" w:rsidRDefault="008F290C" w:rsidP="00D61097">
            <w:pPr>
              <w:jc w:val="both"/>
            </w:pPr>
            <w:r w:rsidRPr="00C7095D">
              <w:t>2617</w:t>
            </w:r>
          </w:p>
        </w:tc>
      </w:tr>
    </w:tbl>
    <w:p w14:paraId="757FFBB8" w14:textId="12B90C95" w:rsidR="008F290C" w:rsidRPr="008F290C" w:rsidRDefault="008F290C" w:rsidP="00D472F1">
      <w:pPr>
        <w:pStyle w:val="Corpodetexto"/>
        <w:spacing w:line="360" w:lineRule="auto"/>
        <w:ind w:right="3" w:firstLine="720"/>
        <w:jc w:val="both"/>
        <w:rPr>
          <w:bCs/>
        </w:rPr>
      </w:pPr>
      <w:r>
        <w:rPr>
          <w:bCs/>
        </w:rPr>
        <w:t>Fonte: SINAN, 2023.</w:t>
      </w:r>
    </w:p>
    <w:p w14:paraId="334C23AF" w14:textId="65C80447" w:rsidR="000E7C84" w:rsidRDefault="00AA48D3" w:rsidP="00D472F1">
      <w:pPr>
        <w:pStyle w:val="Corpodetexto"/>
        <w:spacing w:line="360" w:lineRule="auto"/>
        <w:ind w:right="3" w:firstLine="707"/>
        <w:jc w:val="both"/>
        <w:rPr>
          <w:b/>
        </w:rPr>
      </w:pPr>
      <w:r w:rsidRPr="000E7C84">
        <w:t>Em</w:t>
      </w:r>
      <w:r w:rsidRPr="000E7C84">
        <w:rPr>
          <w:spacing w:val="-10"/>
        </w:rPr>
        <w:t xml:space="preserve"> </w:t>
      </w:r>
      <w:r w:rsidRPr="000E7C84">
        <w:t>relação</w:t>
      </w:r>
      <w:r w:rsidR="00DA3747" w:rsidRPr="000E7C84">
        <w:t xml:space="preserve"> </w:t>
      </w:r>
      <w:r w:rsidRPr="000E7C84">
        <w:rPr>
          <w:spacing w:val="-64"/>
        </w:rPr>
        <w:t xml:space="preserve"> </w:t>
      </w:r>
      <w:r w:rsidRPr="000E7C84">
        <w:t>à</w:t>
      </w:r>
      <w:r w:rsidRPr="000E7C84">
        <w:rPr>
          <w:spacing w:val="-8"/>
        </w:rPr>
        <w:t xml:space="preserve"> </w:t>
      </w:r>
      <w:r w:rsidRPr="000E7C84">
        <w:t>faixa</w:t>
      </w:r>
      <w:r w:rsidRPr="000E7C84">
        <w:rPr>
          <w:spacing w:val="-11"/>
        </w:rPr>
        <w:t xml:space="preserve"> </w:t>
      </w:r>
      <w:r w:rsidRPr="000E7C84">
        <w:t>etária,</w:t>
      </w:r>
      <w:r w:rsidRPr="007740EC">
        <w:rPr>
          <w:spacing w:val="-8"/>
        </w:rPr>
        <w:t xml:space="preserve"> </w:t>
      </w:r>
      <w:r w:rsidRPr="007740EC">
        <w:t>o</w:t>
      </w:r>
      <w:r w:rsidRPr="007740EC">
        <w:rPr>
          <w:spacing w:val="-11"/>
        </w:rPr>
        <w:t xml:space="preserve"> </w:t>
      </w:r>
      <w:r w:rsidRPr="007740EC">
        <w:t>maior</w:t>
      </w:r>
      <w:r w:rsidRPr="007740EC">
        <w:rPr>
          <w:spacing w:val="-11"/>
        </w:rPr>
        <w:t xml:space="preserve"> </w:t>
      </w:r>
      <w:r w:rsidRPr="007740EC">
        <w:t>número</w:t>
      </w:r>
      <w:r w:rsidRPr="007740EC">
        <w:rPr>
          <w:spacing w:val="-11"/>
        </w:rPr>
        <w:t xml:space="preserve"> </w:t>
      </w:r>
      <w:r w:rsidRPr="007740EC">
        <w:t>de</w:t>
      </w:r>
      <w:r w:rsidRPr="007740EC">
        <w:rPr>
          <w:spacing w:val="-10"/>
        </w:rPr>
        <w:t xml:space="preserve"> </w:t>
      </w:r>
      <w:r w:rsidRPr="007740EC">
        <w:t>acidentes</w:t>
      </w:r>
      <w:r w:rsidRPr="007740EC">
        <w:rPr>
          <w:spacing w:val="-11"/>
        </w:rPr>
        <w:t xml:space="preserve"> </w:t>
      </w:r>
      <w:r w:rsidRPr="007740EC">
        <w:t>ocorreu</w:t>
      </w:r>
      <w:r w:rsidRPr="007740EC">
        <w:rPr>
          <w:spacing w:val="-8"/>
        </w:rPr>
        <w:t xml:space="preserve"> </w:t>
      </w:r>
      <w:r w:rsidRPr="007740EC">
        <w:t>entre</w:t>
      </w:r>
      <w:r w:rsidRPr="007740EC">
        <w:rPr>
          <w:spacing w:val="-9"/>
        </w:rPr>
        <w:t xml:space="preserve"> </w:t>
      </w:r>
      <w:r w:rsidRPr="007740EC">
        <w:t>pessoas</w:t>
      </w:r>
      <w:r w:rsidRPr="007740EC">
        <w:rPr>
          <w:spacing w:val="-8"/>
        </w:rPr>
        <w:t xml:space="preserve"> </w:t>
      </w:r>
      <w:r w:rsidRPr="007740EC">
        <w:t>adultas</w:t>
      </w:r>
      <w:r w:rsidRPr="007740EC">
        <w:rPr>
          <w:spacing w:val="-12"/>
        </w:rPr>
        <w:t xml:space="preserve"> </w:t>
      </w:r>
      <w:r w:rsidRPr="007740EC">
        <w:t>de</w:t>
      </w:r>
      <w:r w:rsidRPr="007740EC">
        <w:rPr>
          <w:spacing w:val="-10"/>
        </w:rPr>
        <w:t xml:space="preserve"> </w:t>
      </w:r>
      <w:r w:rsidRPr="007740EC">
        <w:t>20</w:t>
      </w:r>
      <w:r w:rsidRPr="007740EC">
        <w:rPr>
          <w:spacing w:val="-11"/>
        </w:rPr>
        <w:t xml:space="preserve"> </w:t>
      </w:r>
      <w:r w:rsidRPr="007740EC">
        <w:t>a</w:t>
      </w:r>
      <w:r w:rsidRPr="007740EC">
        <w:rPr>
          <w:spacing w:val="-7"/>
        </w:rPr>
        <w:t xml:space="preserve"> </w:t>
      </w:r>
      <w:r w:rsidRPr="007740EC">
        <w:t>34</w:t>
      </w:r>
      <w:r w:rsidRPr="007740EC">
        <w:rPr>
          <w:spacing w:val="-8"/>
        </w:rPr>
        <w:t xml:space="preserve"> </w:t>
      </w:r>
      <w:r w:rsidRPr="007740EC">
        <w:t>anos,</w:t>
      </w:r>
      <w:r w:rsidR="00256EAE">
        <w:t xml:space="preserve"> </w:t>
      </w:r>
      <w:r w:rsidRPr="007740EC">
        <w:rPr>
          <w:spacing w:val="-64"/>
        </w:rPr>
        <w:t xml:space="preserve"> </w:t>
      </w:r>
      <w:r w:rsidRPr="007740EC">
        <w:t>totalizando</w:t>
      </w:r>
      <w:r w:rsidRPr="007740EC">
        <w:rPr>
          <w:spacing w:val="-6"/>
        </w:rPr>
        <w:t xml:space="preserve"> </w:t>
      </w:r>
      <w:r w:rsidR="00256EAE" w:rsidRPr="002135B3">
        <w:t xml:space="preserve">78,7% </w:t>
      </w:r>
      <w:r w:rsidRPr="007740EC">
        <w:rPr>
          <w:spacing w:val="-6"/>
        </w:rPr>
        <w:t xml:space="preserve"> </w:t>
      </w:r>
      <w:r w:rsidRPr="007740EC">
        <w:t>entre</w:t>
      </w:r>
      <w:r w:rsidRPr="007740EC">
        <w:rPr>
          <w:spacing w:val="-4"/>
        </w:rPr>
        <w:t xml:space="preserve"> </w:t>
      </w:r>
      <w:r w:rsidRPr="007740EC">
        <w:t>esse</w:t>
      </w:r>
      <w:r w:rsidRPr="007740EC">
        <w:rPr>
          <w:spacing w:val="-4"/>
        </w:rPr>
        <w:t xml:space="preserve"> </w:t>
      </w:r>
      <w:r w:rsidRPr="007740EC">
        <w:t>intervalo</w:t>
      </w:r>
      <w:r w:rsidRPr="007740EC">
        <w:rPr>
          <w:spacing w:val="-3"/>
        </w:rPr>
        <w:t xml:space="preserve"> </w:t>
      </w:r>
      <w:r w:rsidRPr="007740EC">
        <w:t>de idade.</w:t>
      </w:r>
      <w:r w:rsidRPr="007740EC">
        <w:rPr>
          <w:spacing w:val="-6"/>
        </w:rPr>
        <w:t xml:space="preserve"> </w:t>
      </w:r>
      <w:r w:rsidRPr="007740EC">
        <w:t>Este</w:t>
      </w:r>
      <w:r w:rsidRPr="007740EC">
        <w:rPr>
          <w:spacing w:val="-3"/>
        </w:rPr>
        <w:t xml:space="preserve"> </w:t>
      </w:r>
      <w:r w:rsidRPr="007740EC">
        <w:t>dado</w:t>
      </w:r>
      <w:r w:rsidRPr="007740EC">
        <w:rPr>
          <w:spacing w:val="-3"/>
        </w:rPr>
        <w:t xml:space="preserve"> </w:t>
      </w:r>
      <w:r w:rsidRPr="007740EC">
        <w:t>evidencia</w:t>
      </w:r>
      <w:r w:rsidRPr="007740EC">
        <w:rPr>
          <w:spacing w:val="-4"/>
        </w:rPr>
        <w:t xml:space="preserve"> </w:t>
      </w:r>
      <w:r w:rsidRPr="007740EC">
        <w:t>que</w:t>
      </w:r>
      <w:r w:rsidRPr="007740EC">
        <w:rPr>
          <w:spacing w:val="-4"/>
        </w:rPr>
        <w:t xml:space="preserve"> </w:t>
      </w:r>
      <w:r w:rsidRPr="007740EC">
        <w:t>a</w:t>
      </w:r>
      <w:r w:rsidRPr="007740EC">
        <w:rPr>
          <w:spacing w:val="-3"/>
        </w:rPr>
        <w:t xml:space="preserve"> </w:t>
      </w:r>
      <w:r w:rsidRPr="007740EC">
        <w:t>faixa</w:t>
      </w:r>
      <w:r w:rsidRPr="007740EC">
        <w:rPr>
          <w:spacing w:val="-4"/>
        </w:rPr>
        <w:t xml:space="preserve"> </w:t>
      </w:r>
      <w:r w:rsidRPr="007740EC">
        <w:t>etária</w:t>
      </w:r>
      <w:r w:rsidR="009506E4">
        <w:t xml:space="preserve"> </w:t>
      </w:r>
      <w:r w:rsidRPr="007740EC">
        <w:rPr>
          <w:spacing w:val="-64"/>
        </w:rPr>
        <w:t xml:space="preserve"> </w:t>
      </w:r>
      <w:r w:rsidRPr="007740EC">
        <w:t>mais</w:t>
      </w:r>
      <w:r w:rsidRPr="007740EC">
        <w:rPr>
          <w:spacing w:val="-5"/>
        </w:rPr>
        <w:t xml:space="preserve"> </w:t>
      </w:r>
      <w:r w:rsidRPr="007740EC">
        <w:t>atingida</w:t>
      </w:r>
      <w:r w:rsidRPr="007740EC">
        <w:rPr>
          <w:spacing w:val="-4"/>
        </w:rPr>
        <w:t xml:space="preserve"> </w:t>
      </w:r>
      <w:r w:rsidRPr="007740EC">
        <w:t>são</w:t>
      </w:r>
      <w:r w:rsidRPr="007740EC">
        <w:rPr>
          <w:spacing w:val="-6"/>
        </w:rPr>
        <w:t xml:space="preserve"> </w:t>
      </w:r>
      <w:r w:rsidRPr="007740EC">
        <w:t>adultos</w:t>
      </w:r>
      <w:r w:rsidRPr="007740EC">
        <w:rPr>
          <w:spacing w:val="-4"/>
        </w:rPr>
        <w:t xml:space="preserve"> </w:t>
      </w:r>
      <w:r w:rsidRPr="007740EC">
        <w:t>jovens,</w:t>
      </w:r>
      <w:r w:rsidRPr="007740EC">
        <w:rPr>
          <w:spacing w:val="-4"/>
        </w:rPr>
        <w:t xml:space="preserve"> </w:t>
      </w:r>
      <w:r w:rsidRPr="007740EC">
        <w:t>com</w:t>
      </w:r>
      <w:r w:rsidRPr="007740EC">
        <w:rPr>
          <w:spacing w:val="-3"/>
        </w:rPr>
        <w:t xml:space="preserve"> </w:t>
      </w:r>
      <w:r w:rsidRPr="007740EC">
        <w:t>escolaridade</w:t>
      </w:r>
      <w:r w:rsidRPr="007740EC">
        <w:rPr>
          <w:spacing w:val="-6"/>
        </w:rPr>
        <w:t xml:space="preserve"> </w:t>
      </w:r>
      <w:r w:rsidRPr="007740EC">
        <w:t>em</w:t>
      </w:r>
      <w:r w:rsidRPr="007740EC">
        <w:rPr>
          <w:spacing w:val="-5"/>
        </w:rPr>
        <w:t xml:space="preserve"> </w:t>
      </w:r>
      <w:r w:rsidRPr="007740EC">
        <w:t>maioria</w:t>
      </w:r>
      <w:r w:rsidRPr="007740EC">
        <w:rPr>
          <w:spacing w:val="-4"/>
        </w:rPr>
        <w:t xml:space="preserve"> </w:t>
      </w:r>
      <w:r w:rsidRPr="007740EC">
        <w:t>de</w:t>
      </w:r>
      <w:r w:rsidRPr="007740EC">
        <w:rPr>
          <w:spacing w:val="-6"/>
        </w:rPr>
        <w:t xml:space="preserve"> </w:t>
      </w:r>
      <w:r w:rsidRPr="007740EC">
        <w:t>5°</w:t>
      </w:r>
      <w:r w:rsidRPr="007740EC">
        <w:rPr>
          <w:spacing w:val="-4"/>
        </w:rPr>
        <w:t xml:space="preserve"> </w:t>
      </w:r>
      <w:r w:rsidRPr="007740EC">
        <w:t>a</w:t>
      </w:r>
      <w:r w:rsidRPr="007740EC">
        <w:rPr>
          <w:spacing w:val="-4"/>
        </w:rPr>
        <w:t xml:space="preserve"> </w:t>
      </w:r>
      <w:r w:rsidRPr="007740EC">
        <w:t>8°</w:t>
      </w:r>
      <w:r w:rsidRPr="007740EC">
        <w:rPr>
          <w:spacing w:val="-4"/>
        </w:rPr>
        <w:t xml:space="preserve"> </w:t>
      </w:r>
      <w:r w:rsidRPr="007740EC">
        <w:t>série</w:t>
      </w:r>
      <w:r w:rsidRPr="007740EC">
        <w:rPr>
          <w:spacing w:val="-4"/>
        </w:rPr>
        <w:t xml:space="preserve"> </w:t>
      </w:r>
      <w:r w:rsidRPr="007740EC">
        <w:t>incompleta</w:t>
      </w:r>
      <w:r w:rsidRPr="007740EC">
        <w:rPr>
          <w:spacing w:val="-64"/>
        </w:rPr>
        <w:t xml:space="preserve"> </w:t>
      </w:r>
      <w:r w:rsidRPr="007740EC">
        <w:t>do Ensino Fundamental</w:t>
      </w:r>
      <w:r w:rsidRPr="009506E4">
        <w:t>,</w:t>
      </w:r>
      <w:r w:rsidRPr="007740EC">
        <w:t xml:space="preserve"> considerados economicamente ativos, exercendo as</w:t>
      </w:r>
      <w:r w:rsidRPr="007740EC">
        <w:rPr>
          <w:spacing w:val="1"/>
        </w:rPr>
        <w:t xml:space="preserve"> </w:t>
      </w:r>
      <w:r w:rsidRPr="007740EC">
        <w:t>atividades rurais discutidas e em consequência de estarem mais presente no ambiente</w:t>
      </w:r>
      <w:r w:rsidRPr="007740EC">
        <w:rPr>
          <w:spacing w:val="1"/>
        </w:rPr>
        <w:t xml:space="preserve"> </w:t>
      </w:r>
      <w:r w:rsidRPr="007740EC">
        <w:t>natural</w:t>
      </w:r>
      <w:r w:rsidRPr="007740EC">
        <w:rPr>
          <w:spacing w:val="1"/>
        </w:rPr>
        <w:t xml:space="preserve"> </w:t>
      </w:r>
      <w:r w:rsidRPr="007740EC">
        <w:t>das</w:t>
      </w:r>
      <w:r w:rsidRPr="007740EC">
        <w:rPr>
          <w:spacing w:val="1"/>
        </w:rPr>
        <w:t xml:space="preserve"> </w:t>
      </w:r>
      <w:r w:rsidRPr="007740EC">
        <w:t>serpentes,</w:t>
      </w:r>
      <w:r w:rsidRPr="007740EC">
        <w:rPr>
          <w:spacing w:val="1"/>
        </w:rPr>
        <w:t xml:space="preserve"> </w:t>
      </w:r>
      <w:r w:rsidRPr="007740EC">
        <w:t>principalmente</w:t>
      </w:r>
      <w:r w:rsidRPr="007740EC">
        <w:rPr>
          <w:spacing w:val="1"/>
        </w:rPr>
        <w:t xml:space="preserve"> </w:t>
      </w:r>
      <w:r w:rsidRPr="007740EC">
        <w:t>nos</w:t>
      </w:r>
      <w:r w:rsidRPr="007740EC">
        <w:rPr>
          <w:spacing w:val="1"/>
        </w:rPr>
        <w:t xml:space="preserve"> </w:t>
      </w:r>
      <w:r w:rsidRPr="007740EC">
        <w:t>períodos</w:t>
      </w:r>
      <w:r w:rsidRPr="007740EC">
        <w:rPr>
          <w:spacing w:val="1"/>
        </w:rPr>
        <w:t xml:space="preserve"> </w:t>
      </w:r>
      <w:r w:rsidRPr="007740EC">
        <w:t>em</w:t>
      </w:r>
      <w:r w:rsidRPr="007740EC">
        <w:rPr>
          <w:spacing w:val="1"/>
        </w:rPr>
        <w:t xml:space="preserve"> </w:t>
      </w:r>
      <w:r w:rsidRPr="007740EC">
        <w:t>que</w:t>
      </w:r>
      <w:r w:rsidRPr="007740EC">
        <w:rPr>
          <w:spacing w:val="1"/>
        </w:rPr>
        <w:t xml:space="preserve"> </w:t>
      </w:r>
      <w:r w:rsidRPr="007740EC">
        <w:t>os</w:t>
      </w:r>
      <w:r w:rsidRPr="007740EC">
        <w:rPr>
          <w:spacing w:val="1"/>
        </w:rPr>
        <w:t xml:space="preserve"> </w:t>
      </w:r>
      <w:r w:rsidRPr="007740EC">
        <w:t>animais</w:t>
      </w:r>
      <w:r w:rsidRPr="007740EC">
        <w:rPr>
          <w:spacing w:val="1"/>
        </w:rPr>
        <w:t xml:space="preserve"> </w:t>
      </w:r>
      <w:r w:rsidRPr="007740EC">
        <w:t>estão</w:t>
      </w:r>
      <w:r w:rsidRPr="007740EC">
        <w:rPr>
          <w:spacing w:val="1"/>
        </w:rPr>
        <w:t xml:space="preserve"> </w:t>
      </w:r>
      <w:r w:rsidRPr="007740EC">
        <w:t>metabolicamente</w:t>
      </w:r>
      <w:r w:rsidRPr="007740EC">
        <w:rPr>
          <w:spacing w:val="-2"/>
        </w:rPr>
        <w:t xml:space="preserve"> </w:t>
      </w:r>
      <w:r w:rsidRPr="007740EC">
        <w:t>mais ativos.</w:t>
      </w:r>
    </w:p>
    <w:p w14:paraId="0E474AB2" w14:textId="78E9A9C8" w:rsidR="00AA48D3" w:rsidRDefault="00AA48D3" w:rsidP="00D472F1">
      <w:pPr>
        <w:pStyle w:val="Corpodetexto"/>
        <w:spacing w:line="360" w:lineRule="auto"/>
        <w:ind w:right="-139" w:firstLine="707"/>
        <w:jc w:val="both"/>
      </w:pPr>
      <w:r w:rsidRPr="00DA3747">
        <w:rPr>
          <w:spacing w:val="-1"/>
        </w:rPr>
        <w:t>O</w:t>
      </w:r>
      <w:r w:rsidRPr="00DA3747">
        <w:rPr>
          <w:spacing w:val="-14"/>
        </w:rPr>
        <w:t xml:space="preserve"> </w:t>
      </w:r>
      <w:r w:rsidRPr="00DA3747">
        <w:rPr>
          <w:spacing w:val="-1"/>
        </w:rPr>
        <w:t>local</w:t>
      </w:r>
      <w:r w:rsidRPr="00DA3747">
        <w:rPr>
          <w:spacing w:val="-15"/>
        </w:rPr>
        <w:t xml:space="preserve"> </w:t>
      </w:r>
      <w:r w:rsidRPr="00DA3747">
        <w:rPr>
          <w:spacing w:val="-1"/>
        </w:rPr>
        <w:t>de</w:t>
      </w:r>
      <w:r w:rsidRPr="00DA3747">
        <w:rPr>
          <w:spacing w:val="-16"/>
        </w:rPr>
        <w:t xml:space="preserve"> </w:t>
      </w:r>
      <w:r w:rsidRPr="00DA3747">
        <w:rPr>
          <w:spacing w:val="-1"/>
        </w:rPr>
        <w:t>mordedura</w:t>
      </w:r>
      <w:r w:rsidRPr="007740EC">
        <w:rPr>
          <w:spacing w:val="-17"/>
        </w:rPr>
        <w:t xml:space="preserve"> </w:t>
      </w:r>
      <w:r w:rsidRPr="007740EC">
        <w:rPr>
          <w:spacing w:val="-1"/>
        </w:rPr>
        <w:t>por</w:t>
      </w:r>
      <w:r w:rsidRPr="007740EC">
        <w:rPr>
          <w:spacing w:val="-15"/>
        </w:rPr>
        <w:t xml:space="preserve"> </w:t>
      </w:r>
      <w:r w:rsidRPr="007740EC">
        <w:t>serpentes</w:t>
      </w:r>
      <w:r w:rsidRPr="007740EC">
        <w:rPr>
          <w:spacing w:val="-14"/>
        </w:rPr>
        <w:t xml:space="preserve"> </w:t>
      </w:r>
      <w:r w:rsidRPr="007740EC">
        <w:t>mais</w:t>
      </w:r>
      <w:r w:rsidRPr="007740EC">
        <w:rPr>
          <w:spacing w:val="-14"/>
        </w:rPr>
        <w:t xml:space="preserve"> </w:t>
      </w:r>
      <w:r w:rsidRPr="007740EC">
        <w:t>atingido</w:t>
      </w:r>
      <w:r w:rsidRPr="007740EC">
        <w:rPr>
          <w:spacing w:val="-13"/>
        </w:rPr>
        <w:t xml:space="preserve"> </w:t>
      </w:r>
      <w:r w:rsidRPr="007740EC">
        <w:t>foi</w:t>
      </w:r>
      <w:r w:rsidRPr="007740EC">
        <w:rPr>
          <w:spacing w:val="-15"/>
        </w:rPr>
        <w:t xml:space="preserve"> </w:t>
      </w:r>
      <w:r w:rsidRPr="007740EC">
        <w:t>o</w:t>
      </w:r>
      <w:r w:rsidRPr="007740EC">
        <w:rPr>
          <w:spacing w:val="-14"/>
        </w:rPr>
        <w:t xml:space="preserve"> </w:t>
      </w:r>
      <w:r w:rsidRPr="007740EC">
        <w:t>pé,</w:t>
      </w:r>
      <w:r w:rsidRPr="007740EC">
        <w:rPr>
          <w:spacing w:val="-14"/>
        </w:rPr>
        <w:t xml:space="preserve"> </w:t>
      </w:r>
      <w:r w:rsidRPr="007740EC">
        <w:t>com</w:t>
      </w:r>
      <w:r w:rsidRPr="007740EC">
        <w:rPr>
          <w:spacing w:val="-12"/>
        </w:rPr>
        <w:t xml:space="preserve"> </w:t>
      </w:r>
      <w:r w:rsidRPr="007740EC">
        <w:t>1.358</w:t>
      </w:r>
      <w:r w:rsidRPr="007740EC">
        <w:rPr>
          <w:spacing w:val="-14"/>
        </w:rPr>
        <w:t xml:space="preserve"> </w:t>
      </w:r>
      <w:r w:rsidR="00256EAE">
        <w:t>(</w:t>
      </w:r>
      <w:r w:rsidRPr="007740EC">
        <w:t>51%)</w:t>
      </w:r>
      <w:r w:rsidRPr="007740EC">
        <w:rPr>
          <w:spacing w:val="-64"/>
        </w:rPr>
        <w:t xml:space="preserve"> </w:t>
      </w:r>
      <w:r w:rsidR="00256EAE">
        <w:rPr>
          <w:spacing w:val="-64"/>
        </w:rPr>
        <w:t xml:space="preserve">  </w:t>
      </w:r>
      <w:r w:rsidRPr="007740EC">
        <w:t>acidentes,</w:t>
      </w:r>
      <w:r w:rsidRPr="007740EC">
        <w:rPr>
          <w:spacing w:val="-7"/>
        </w:rPr>
        <w:t xml:space="preserve"> </w:t>
      </w:r>
      <w:r w:rsidRPr="007740EC">
        <w:t>visto</w:t>
      </w:r>
      <w:r w:rsidRPr="007740EC">
        <w:rPr>
          <w:spacing w:val="-9"/>
        </w:rPr>
        <w:t xml:space="preserve"> </w:t>
      </w:r>
      <w:r w:rsidRPr="007740EC">
        <w:t>o</w:t>
      </w:r>
      <w:r w:rsidRPr="007740EC">
        <w:rPr>
          <w:spacing w:val="-7"/>
        </w:rPr>
        <w:t xml:space="preserve"> </w:t>
      </w:r>
      <w:r w:rsidRPr="007740EC">
        <w:t>hábito</w:t>
      </w:r>
      <w:r w:rsidRPr="007740EC">
        <w:rPr>
          <w:spacing w:val="-7"/>
        </w:rPr>
        <w:t xml:space="preserve"> </w:t>
      </w:r>
      <w:r w:rsidRPr="007740EC">
        <w:t>terrícola</w:t>
      </w:r>
      <w:r w:rsidRPr="007740EC">
        <w:rPr>
          <w:spacing w:val="-10"/>
        </w:rPr>
        <w:t xml:space="preserve"> </w:t>
      </w:r>
      <w:r w:rsidRPr="007740EC">
        <w:t>(com</w:t>
      </w:r>
      <w:r w:rsidRPr="007740EC">
        <w:rPr>
          <w:spacing w:val="-6"/>
        </w:rPr>
        <w:t xml:space="preserve"> </w:t>
      </w:r>
      <w:r w:rsidRPr="007740EC">
        <w:t>exceção</w:t>
      </w:r>
      <w:r w:rsidRPr="007740EC">
        <w:rPr>
          <w:spacing w:val="-7"/>
        </w:rPr>
        <w:t xml:space="preserve"> </w:t>
      </w:r>
      <w:r w:rsidRPr="007740EC">
        <w:t>das</w:t>
      </w:r>
      <w:r w:rsidRPr="007740EC">
        <w:rPr>
          <w:spacing w:val="-8"/>
        </w:rPr>
        <w:t xml:space="preserve"> </w:t>
      </w:r>
      <w:r w:rsidRPr="007740EC">
        <w:t>corais</w:t>
      </w:r>
      <w:r w:rsidRPr="007740EC">
        <w:rPr>
          <w:spacing w:val="-7"/>
        </w:rPr>
        <w:t xml:space="preserve"> </w:t>
      </w:r>
      <w:r w:rsidRPr="007740EC">
        <w:t>verdadeiras,</w:t>
      </w:r>
      <w:r w:rsidRPr="007740EC">
        <w:rPr>
          <w:spacing w:val="-7"/>
        </w:rPr>
        <w:t xml:space="preserve"> </w:t>
      </w:r>
      <w:r w:rsidRPr="007740EC">
        <w:t>de</w:t>
      </w:r>
      <w:r w:rsidRPr="007740EC">
        <w:rPr>
          <w:spacing w:val="-9"/>
        </w:rPr>
        <w:t xml:space="preserve"> </w:t>
      </w:r>
      <w:r w:rsidRPr="007740EC">
        <w:t>hábito</w:t>
      </w:r>
      <w:r w:rsidRPr="007740EC">
        <w:rPr>
          <w:spacing w:val="-9"/>
        </w:rPr>
        <w:t xml:space="preserve"> </w:t>
      </w:r>
      <w:r w:rsidRPr="007740EC">
        <w:t>fossorial)</w:t>
      </w:r>
      <w:r w:rsidRPr="007740EC">
        <w:rPr>
          <w:spacing w:val="-64"/>
        </w:rPr>
        <w:t xml:space="preserve"> </w:t>
      </w:r>
      <w:r w:rsidRPr="007740EC">
        <w:rPr>
          <w:spacing w:val="-1"/>
        </w:rPr>
        <w:t>da</w:t>
      </w:r>
      <w:r w:rsidRPr="007740EC">
        <w:rPr>
          <w:spacing w:val="-16"/>
        </w:rPr>
        <w:t xml:space="preserve"> </w:t>
      </w:r>
      <w:r w:rsidRPr="007740EC">
        <w:rPr>
          <w:spacing w:val="-1"/>
        </w:rPr>
        <w:t>maioria</w:t>
      </w:r>
      <w:r w:rsidRPr="007740EC">
        <w:rPr>
          <w:spacing w:val="-14"/>
        </w:rPr>
        <w:t xml:space="preserve"> </w:t>
      </w:r>
      <w:r w:rsidRPr="007740EC">
        <w:rPr>
          <w:spacing w:val="-1"/>
        </w:rPr>
        <w:t>das</w:t>
      </w:r>
      <w:r w:rsidRPr="007740EC">
        <w:rPr>
          <w:spacing w:val="-17"/>
        </w:rPr>
        <w:t xml:space="preserve"> </w:t>
      </w:r>
      <w:r w:rsidRPr="007740EC">
        <w:rPr>
          <w:spacing w:val="-1"/>
        </w:rPr>
        <w:t>espécies</w:t>
      </w:r>
      <w:r w:rsidRPr="007740EC">
        <w:rPr>
          <w:spacing w:val="-14"/>
        </w:rPr>
        <w:t xml:space="preserve"> </w:t>
      </w:r>
      <w:r w:rsidRPr="007740EC">
        <w:rPr>
          <w:spacing w:val="-1"/>
        </w:rPr>
        <w:t>de</w:t>
      </w:r>
      <w:r w:rsidRPr="007740EC">
        <w:rPr>
          <w:spacing w:val="-16"/>
        </w:rPr>
        <w:t xml:space="preserve"> </w:t>
      </w:r>
      <w:r w:rsidRPr="007740EC">
        <w:rPr>
          <w:spacing w:val="-1"/>
        </w:rPr>
        <w:t>interesse,</w:t>
      </w:r>
      <w:r w:rsidRPr="007740EC">
        <w:rPr>
          <w:spacing w:val="-16"/>
        </w:rPr>
        <w:t xml:space="preserve"> </w:t>
      </w:r>
      <w:r w:rsidRPr="007740EC">
        <w:rPr>
          <w:spacing w:val="-1"/>
        </w:rPr>
        <w:t>além</w:t>
      </w:r>
      <w:r w:rsidRPr="007740EC">
        <w:rPr>
          <w:spacing w:val="-15"/>
        </w:rPr>
        <w:t xml:space="preserve"> </w:t>
      </w:r>
      <w:r w:rsidRPr="007740EC">
        <w:t>do</w:t>
      </w:r>
      <w:r w:rsidRPr="007740EC">
        <w:rPr>
          <w:spacing w:val="-16"/>
        </w:rPr>
        <w:t xml:space="preserve"> </w:t>
      </w:r>
      <w:r w:rsidRPr="007740EC">
        <w:t>período</w:t>
      </w:r>
      <w:r w:rsidRPr="007740EC">
        <w:rPr>
          <w:spacing w:val="-16"/>
        </w:rPr>
        <w:t xml:space="preserve"> </w:t>
      </w:r>
      <w:r w:rsidRPr="007740EC">
        <w:t>de</w:t>
      </w:r>
      <w:r w:rsidRPr="007740EC">
        <w:rPr>
          <w:spacing w:val="-16"/>
        </w:rPr>
        <w:t xml:space="preserve"> </w:t>
      </w:r>
      <w:r w:rsidRPr="007740EC">
        <w:t>atividade</w:t>
      </w:r>
      <w:r w:rsidRPr="007740EC">
        <w:rPr>
          <w:spacing w:val="-14"/>
        </w:rPr>
        <w:t xml:space="preserve"> </w:t>
      </w:r>
      <w:r w:rsidRPr="007740EC">
        <w:t>crepuscular/diurno</w:t>
      </w:r>
      <w:r w:rsidRPr="007740EC">
        <w:rPr>
          <w:spacing w:val="-14"/>
        </w:rPr>
        <w:t xml:space="preserve"> </w:t>
      </w:r>
      <w:r w:rsidRPr="007740EC">
        <w:t>tanto</w:t>
      </w:r>
      <w:r w:rsidRPr="007740EC">
        <w:rPr>
          <w:spacing w:val="-65"/>
        </w:rPr>
        <w:t xml:space="preserve"> </w:t>
      </w:r>
      <w:r w:rsidRPr="007740EC">
        <w:t>das</w:t>
      </w:r>
      <w:r w:rsidRPr="007740EC">
        <w:rPr>
          <w:spacing w:val="-1"/>
        </w:rPr>
        <w:t xml:space="preserve"> </w:t>
      </w:r>
      <w:r w:rsidRPr="007740EC">
        <w:t>serpentes,</w:t>
      </w:r>
      <w:r w:rsidRPr="007740EC">
        <w:rPr>
          <w:spacing w:val="-2"/>
        </w:rPr>
        <w:t xml:space="preserve"> </w:t>
      </w:r>
      <w:r w:rsidRPr="007740EC">
        <w:t>quanto</w:t>
      </w:r>
      <w:r w:rsidRPr="007740EC">
        <w:rPr>
          <w:spacing w:val="-3"/>
        </w:rPr>
        <w:t xml:space="preserve"> </w:t>
      </w:r>
      <w:r w:rsidRPr="007740EC">
        <w:t>dos trabalhadores</w:t>
      </w:r>
      <w:r w:rsidRPr="007740EC">
        <w:rPr>
          <w:spacing w:val="-3"/>
        </w:rPr>
        <w:t xml:space="preserve"> </w:t>
      </w:r>
      <w:r w:rsidRPr="007740EC">
        <w:t>agrícolas.</w:t>
      </w:r>
    </w:p>
    <w:p w14:paraId="1E25DE21" w14:textId="2B8F3CF5" w:rsidR="00086016" w:rsidRDefault="00086016" w:rsidP="00D472F1">
      <w:pPr>
        <w:pStyle w:val="Corpodetexto"/>
        <w:spacing w:line="360" w:lineRule="auto"/>
        <w:ind w:right="-139" w:firstLine="707"/>
        <w:jc w:val="both"/>
        <w:rPr>
          <w:b/>
          <w:bCs/>
        </w:rPr>
      </w:pPr>
      <w:r w:rsidRPr="00086016">
        <w:t xml:space="preserve">A relação entre o local da picada e o gênero da serpente é um fator importante na epidemiologia dos acidentes ofídicos. Estudos indicam que as serpentes do gênero </w:t>
      </w:r>
      <w:r w:rsidRPr="00086016">
        <w:rPr>
          <w:i/>
          <w:iCs/>
        </w:rPr>
        <w:t>Bothrops</w:t>
      </w:r>
      <w:r w:rsidRPr="00086016">
        <w:t xml:space="preserve"> são responsáveis pela maioria dos envenenamentos no Brasil, com as regiões anatômicas mais frequentemente picadas sendo os pés, as mãos e as pernas. Por outro lado, as picadas de serpentes do gênero </w:t>
      </w:r>
      <w:r w:rsidRPr="00086016">
        <w:rPr>
          <w:i/>
          <w:iCs/>
        </w:rPr>
        <w:t>Crotalus</w:t>
      </w:r>
      <w:r w:rsidRPr="00086016">
        <w:t xml:space="preserve"> apresentam padrão semelhante, mas com menor frequência, refletindo diferenças comportamentais e ecológicas entre os gêneros</w:t>
      </w:r>
      <w:r>
        <w:t>.</w:t>
      </w:r>
      <w:r w:rsidR="00DA3747">
        <w:t xml:space="preserve"> </w:t>
      </w:r>
    </w:p>
    <w:p w14:paraId="57CB6482" w14:textId="235C68EC" w:rsidR="00DA3747" w:rsidRPr="00DA3747" w:rsidRDefault="00DA3747" w:rsidP="00D472F1">
      <w:pPr>
        <w:pStyle w:val="Corpodetexto"/>
        <w:spacing w:line="360" w:lineRule="auto"/>
        <w:ind w:right="-139"/>
        <w:jc w:val="center"/>
      </w:pPr>
      <w:r w:rsidRPr="00DA3747">
        <w:t xml:space="preserve">Figura </w:t>
      </w:r>
      <w:r w:rsidR="000E7C84">
        <w:t>2</w:t>
      </w:r>
      <w:r w:rsidRPr="00DA3747">
        <w:t>:</w:t>
      </w:r>
      <w:r>
        <w:rPr>
          <w:b/>
          <w:bCs/>
        </w:rPr>
        <w:t xml:space="preserve"> </w:t>
      </w:r>
      <w:r>
        <w:t>Local da picada e gênero da serpente.</w:t>
      </w:r>
    </w:p>
    <w:p w14:paraId="25B80FAE" w14:textId="77777777" w:rsidR="00DA3747" w:rsidRDefault="00DA3747" w:rsidP="00DA3747">
      <w:pPr>
        <w:pStyle w:val="Corpodetexto"/>
        <w:spacing w:line="360" w:lineRule="auto"/>
        <w:ind w:right="-139"/>
        <w:jc w:val="both"/>
      </w:pPr>
    </w:p>
    <w:p w14:paraId="24342C0F" w14:textId="312244DE" w:rsidR="00DA3747" w:rsidRDefault="00DA3747" w:rsidP="00D472F1">
      <w:pPr>
        <w:pStyle w:val="Corpodetexto"/>
        <w:spacing w:line="360" w:lineRule="auto"/>
        <w:ind w:right="-139"/>
        <w:jc w:val="center"/>
      </w:pPr>
      <w:r>
        <w:rPr>
          <w:noProof/>
        </w:rPr>
        <w:lastRenderedPageBreak/>
        <w:drawing>
          <wp:inline distT="0" distB="0" distL="0" distR="0" wp14:anchorId="2F23DBBD" wp14:editId="42FC901E">
            <wp:extent cx="4134255" cy="3100578"/>
            <wp:effectExtent l="0" t="0" r="0" b="5080"/>
            <wp:docPr id="21354244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24492" name="Imagem 21354244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3530" cy="3115033"/>
                    </a:xfrm>
                    <a:prstGeom prst="rect">
                      <a:avLst/>
                    </a:prstGeom>
                  </pic:spPr>
                </pic:pic>
              </a:graphicData>
            </a:graphic>
          </wp:inline>
        </w:drawing>
      </w:r>
    </w:p>
    <w:p w14:paraId="012FA4FB" w14:textId="0956E6EA" w:rsidR="00DA3747" w:rsidRPr="007740EC" w:rsidRDefault="00DA3747" w:rsidP="00D472F1">
      <w:pPr>
        <w:pStyle w:val="Corpodetexto"/>
        <w:spacing w:line="360" w:lineRule="auto"/>
        <w:ind w:right="-139" w:firstLine="599"/>
        <w:jc w:val="both"/>
      </w:pPr>
      <w:r>
        <w:t>Fonte: SINAN, 2023.</w:t>
      </w:r>
    </w:p>
    <w:p w14:paraId="60094A28" w14:textId="6FD98CD3" w:rsidR="00AA48D3" w:rsidRPr="007740EC" w:rsidRDefault="00AA48D3" w:rsidP="00D472F1">
      <w:pPr>
        <w:pStyle w:val="Corpodetexto"/>
        <w:spacing w:line="360" w:lineRule="auto"/>
        <w:ind w:right="-139" w:firstLine="599"/>
        <w:jc w:val="both"/>
        <w:rPr>
          <w:b/>
        </w:rPr>
      </w:pPr>
      <w:r w:rsidRPr="007740EC">
        <w:t>A utilização de Equipamento de Proteção Individual (EPI) como botas, perneiras e</w:t>
      </w:r>
      <w:r w:rsidRPr="007740EC">
        <w:rPr>
          <w:spacing w:val="1"/>
        </w:rPr>
        <w:t xml:space="preserve"> </w:t>
      </w:r>
      <w:r w:rsidRPr="007740EC">
        <w:t>luvas, é uma importante estratégia para evitar a inoculação da peçonha no indivíduo,</w:t>
      </w:r>
      <w:r w:rsidRPr="007740EC">
        <w:rPr>
          <w:spacing w:val="1"/>
        </w:rPr>
        <w:t xml:space="preserve"> </w:t>
      </w:r>
      <w:r w:rsidRPr="007740EC">
        <w:t>diminuindo assim os riscos de acidentes durante os serviços exercidos. A distribuição e</w:t>
      </w:r>
      <w:r w:rsidRPr="007740EC">
        <w:rPr>
          <w:spacing w:val="1"/>
        </w:rPr>
        <w:t xml:space="preserve"> </w:t>
      </w:r>
      <w:r w:rsidRPr="007740EC">
        <w:t>orientação desses materiais de prevenção, pode atuar como principal método profilático.</w:t>
      </w:r>
    </w:p>
    <w:p w14:paraId="5F6EC2E9" w14:textId="2CD04BBC" w:rsidR="00AA48D3" w:rsidRDefault="00D472F1" w:rsidP="00D472F1">
      <w:pPr>
        <w:pStyle w:val="Corpodetexto"/>
        <w:spacing w:before="1" w:line="360" w:lineRule="auto"/>
        <w:ind w:right="-139"/>
        <w:jc w:val="both"/>
      </w:pPr>
      <w:r>
        <w:tab/>
      </w:r>
      <w:r w:rsidR="00AA48D3" w:rsidRPr="007740EC">
        <w:t>Os</w:t>
      </w:r>
      <w:r w:rsidR="00AA48D3" w:rsidRPr="007740EC">
        <w:rPr>
          <w:spacing w:val="-13"/>
        </w:rPr>
        <w:t xml:space="preserve"> </w:t>
      </w:r>
      <w:r w:rsidR="00AA48D3" w:rsidRPr="007740EC">
        <w:t>sintomas</w:t>
      </w:r>
      <w:r w:rsidR="00AA48D3" w:rsidRPr="007740EC">
        <w:rPr>
          <w:spacing w:val="-13"/>
        </w:rPr>
        <w:t xml:space="preserve"> </w:t>
      </w:r>
      <w:r w:rsidR="00AA48D3" w:rsidRPr="007740EC">
        <w:t>mais</w:t>
      </w:r>
      <w:r w:rsidR="00AA48D3" w:rsidRPr="007740EC">
        <w:rPr>
          <w:spacing w:val="-14"/>
        </w:rPr>
        <w:t xml:space="preserve"> </w:t>
      </w:r>
      <w:r w:rsidR="00AA48D3" w:rsidRPr="007740EC">
        <w:t>recorrentes</w:t>
      </w:r>
      <w:r w:rsidR="00AA48D3" w:rsidRPr="007740EC">
        <w:rPr>
          <w:spacing w:val="-13"/>
        </w:rPr>
        <w:t xml:space="preserve"> </w:t>
      </w:r>
      <w:r w:rsidR="00AA48D3" w:rsidRPr="007740EC">
        <w:t>foram</w:t>
      </w:r>
      <w:r w:rsidR="00AA48D3" w:rsidRPr="007740EC">
        <w:rPr>
          <w:spacing w:val="-13"/>
        </w:rPr>
        <w:t xml:space="preserve"> </w:t>
      </w:r>
      <w:r w:rsidR="00AA48D3" w:rsidRPr="007740EC">
        <w:t>dor</w:t>
      </w:r>
      <w:r w:rsidR="00AA48D3" w:rsidRPr="007740EC">
        <w:rPr>
          <w:spacing w:val="-14"/>
        </w:rPr>
        <w:t xml:space="preserve"> </w:t>
      </w:r>
      <w:r w:rsidR="00AA48D3" w:rsidRPr="007740EC">
        <w:t>2.507</w:t>
      </w:r>
      <w:r w:rsidR="00AA48D3" w:rsidRPr="007740EC">
        <w:rPr>
          <w:spacing w:val="-12"/>
        </w:rPr>
        <w:t xml:space="preserve"> </w:t>
      </w:r>
      <w:r w:rsidR="00256EAE">
        <w:t>(</w:t>
      </w:r>
      <w:r w:rsidR="00AA48D3" w:rsidRPr="007740EC">
        <w:t>97,4%)</w:t>
      </w:r>
      <w:r w:rsidR="00AA48D3" w:rsidRPr="007740EC">
        <w:rPr>
          <w:spacing w:val="-13"/>
        </w:rPr>
        <w:t xml:space="preserve"> </w:t>
      </w:r>
      <w:r w:rsidR="00AA48D3" w:rsidRPr="007740EC">
        <w:t>e</w:t>
      </w:r>
      <w:r w:rsidR="00AA48D3" w:rsidRPr="007740EC">
        <w:rPr>
          <w:spacing w:val="-13"/>
        </w:rPr>
        <w:t xml:space="preserve"> </w:t>
      </w:r>
      <w:r w:rsidR="00AA48D3" w:rsidRPr="007740EC">
        <w:t>edema</w:t>
      </w:r>
      <w:r w:rsidR="00AA48D3" w:rsidRPr="007740EC">
        <w:rPr>
          <w:spacing w:val="-15"/>
        </w:rPr>
        <w:t xml:space="preserve"> </w:t>
      </w:r>
      <w:r w:rsidR="00AA48D3" w:rsidRPr="007740EC">
        <w:t>2.506</w:t>
      </w:r>
      <w:r w:rsidR="00AA48D3" w:rsidRPr="007740EC">
        <w:rPr>
          <w:spacing w:val="-13"/>
        </w:rPr>
        <w:t xml:space="preserve"> </w:t>
      </w:r>
      <w:r w:rsidR="00AA48D3" w:rsidRPr="007740EC">
        <w:t>(</w:t>
      </w:r>
      <w:r w:rsidR="00AA48D3" w:rsidRPr="007740EC">
        <w:rPr>
          <w:spacing w:val="-64"/>
        </w:rPr>
        <w:t xml:space="preserve"> </w:t>
      </w:r>
      <w:r w:rsidR="00AA48D3" w:rsidRPr="007740EC">
        <w:t>86,8%).</w:t>
      </w:r>
      <w:r w:rsidR="00AA48D3" w:rsidRPr="007740EC">
        <w:rPr>
          <w:spacing w:val="64"/>
        </w:rPr>
        <w:t xml:space="preserve"> </w:t>
      </w:r>
      <w:r w:rsidR="00AA48D3" w:rsidRPr="007740EC">
        <w:t>Esses</w:t>
      </w:r>
      <w:r w:rsidR="00AA48D3" w:rsidRPr="007740EC">
        <w:rPr>
          <w:spacing w:val="2"/>
        </w:rPr>
        <w:t xml:space="preserve"> </w:t>
      </w:r>
      <w:r w:rsidR="00AA48D3" w:rsidRPr="007740EC">
        <w:t>sintomas</w:t>
      </w:r>
      <w:r w:rsidR="00AA48D3" w:rsidRPr="007740EC">
        <w:rPr>
          <w:spacing w:val="64"/>
        </w:rPr>
        <w:t xml:space="preserve"> </w:t>
      </w:r>
      <w:r w:rsidR="00AA48D3" w:rsidRPr="007740EC">
        <w:t>podem  variar  de</w:t>
      </w:r>
      <w:r w:rsidR="00AA48D3" w:rsidRPr="007740EC">
        <w:rPr>
          <w:spacing w:val="1"/>
        </w:rPr>
        <w:t xml:space="preserve"> </w:t>
      </w:r>
      <w:r w:rsidR="00AA48D3" w:rsidRPr="007740EC">
        <w:t>acordo</w:t>
      </w:r>
      <w:r w:rsidR="00AA48D3" w:rsidRPr="007740EC">
        <w:rPr>
          <w:spacing w:val="1"/>
        </w:rPr>
        <w:t xml:space="preserve"> </w:t>
      </w:r>
      <w:r w:rsidR="00AA48D3" w:rsidRPr="007740EC">
        <w:t>com  as</w:t>
      </w:r>
      <w:r w:rsidR="00AA48D3" w:rsidRPr="007740EC">
        <w:rPr>
          <w:spacing w:val="1"/>
        </w:rPr>
        <w:t xml:space="preserve"> </w:t>
      </w:r>
      <w:r w:rsidR="00AA48D3" w:rsidRPr="007740EC">
        <w:t>particularidades</w:t>
      </w:r>
      <w:r w:rsidR="00AA48D3" w:rsidRPr="007740EC">
        <w:rPr>
          <w:spacing w:val="64"/>
        </w:rPr>
        <w:t xml:space="preserve"> </w:t>
      </w:r>
      <w:r w:rsidR="00AA48D3" w:rsidRPr="007740EC">
        <w:t>da</w:t>
      </w:r>
      <w:r w:rsidR="00AA48D3" w:rsidRPr="007740EC">
        <w:rPr>
          <w:spacing w:val="1"/>
        </w:rPr>
        <w:t xml:space="preserve"> </w:t>
      </w:r>
      <w:r w:rsidR="00AA48D3" w:rsidRPr="007740EC">
        <w:t>vítima,</w:t>
      </w:r>
      <w:r w:rsidR="00AA48D3">
        <w:t xml:space="preserve"> </w:t>
      </w:r>
      <w:r w:rsidR="00AA48D3" w:rsidRPr="007740EC">
        <w:t>quantidade</w:t>
      </w:r>
      <w:r w:rsidR="00AA48D3" w:rsidRPr="007740EC">
        <w:rPr>
          <w:spacing w:val="1"/>
        </w:rPr>
        <w:t xml:space="preserve"> </w:t>
      </w:r>
      <w:r w:rsidR="00AA48D3" w:rsidRPr="007740EC">
        <w:t>de</w:t>
      </w:r>
      <w:r w:rsidR="00AA48D3" w:rsidRPr="007740EC">
        <w:rPr>
          <w:spacing w:val="1"/>
        </w:rPr>
        <w:t xml:space="preserve"> </w:t>
      </w:r>
      <w:r w:rsidR="00AA48D3" w:rsidRPr="007740EC">
        <w:t>veneno</w:t>
      </w:r>
      <w:r w:rsidR="00AA48D3" w:rsidRPr="007740EC">
        <w:rPr>
          <w:spacing w:val="1"/>
        </w:rPr>
        <w:t xml:space="preserve"> </w:t>
      </w:r>
      <w:r w:rsidR="00AA48D3" w:rsidRPr="007740EC">
        <w:t>inoculada,</w:t>
      </w:r>
      <w:r w:rsidR="00AA48D3" w:rsidRPr="007740EC">
        <w:rPr>
          <w:spacing w:val="1"/>
        </w:rPr>
        <w:t xml:space="preserve"> </w:t>
      </w:r>
      <w:r w:rsidR="00AA48D3" w:rsidRPr="007740EC">
        <w:t>espécie</w:t>
      </w:r>
      <w:r w:rsidR="00AA48D3" w:rsidRPr="007740EC">
        <w:rPr>
          <w:spacing w:val="1"/>
        </w:rPr>
        <w:t xml:space="preserve"> </w:t>
      </w:r>
      <w:r w:rsidR="00AA48D3" w:rsidRPr="007740EC">
        <w:t>causadora</w:t>
      </w:r>
      <w:r w:rsidR="00AA48D3" w:rsidRPr="007740EC">
        <w:rPr>
          <w:spacing w:val="1"/>
        </w:rPr>
        <w:t xml:space="preserve"> </w:t>
      </w:r>
      <w:r w:rsidR="00AA48D3" w:rsidRPr="007740EC">
        <w:t>e</w:t>
      </w:r>
      <w:r w:rsidR="00AA48D3" w:rsidRPr="007740EC">
        <w:rPr>
          <w:spacing w:val="1"/>
        </w:rPr>
        <w:t xml:space="preserve"> </w:t>
      </w:r>
      <w:r w:rsidR="00AA48D3" w:rsidRPr="007740EC">
        <w:t>outros</w:t>
      </w:r>
      <w:r w:rsidR="00AA48D3" w:rsidRPr="007740EC">
        <w:rPr>
          <w:spacing w:val="1"/>
        </w:rPr>
        <w:t xml:space="preserve"> </w:t>
      </w:r>
      <w:r w:rsidR="00AA48D3" w:rsidRPr="007740EC">
        <w:t>fatores.</w:t>
      </w:r>
      <w:r w:rsidR="00AA48D3" w:rsidRPr="007740EC">
        <w:rPr>
          <w:spacing w:val="1"/>
        </w:rPr>
        <w:t xml:space="preserve"> </w:t>
      </w:r>
      <w:r w:rsidR="00AA48D3" w:rsidRPr="007740EC">
        <w:t>A</w:t>
      </w:r>
      <w:r w:rsidR="00AA48D3" w:rsidRPr="007740EC">
        <w:rPr>
          <w:spacing w:val="1"/>
        </w:rPr>
        <w:t xml:space="preserve"> </w:t>
      </w:r>
      <w:r w:rsidR="00AA48D3" w:rsidRPr="007740EC">
        <w:t>partir</w:t>
      </w:r>
      <w:r w:rsidR="00AA48D3" w:rsidRPr="007740EC">
        <w:rPr>
          <w:spacing w:val="1"/>
        </w:rPr>
        <w:t xml:space="preserve"> </w:t>
      </w:r>
      <w:r w:rsidR="00AA48D3" w:rsidRPr="007740EC">
        <w:t>das</w:t>
      </w:r>
      <w:r w:rsidR="00AA48D3" w:rsidRPr="007740EC">
        <w:rPr>
          <w:spacing w:val="1"/>
        </w:rPr>
        <w:t xml:space="preserve"> </w:t>
      </w:r>
      <w:r w:rsidR="00AA48D3" w:rsidRPr="007740EC">
        <w:t>manifestações apresentadas, o acidente pode ser classificado como leve, moderado ou</w:t>
      </w:r>
      <w:r w:rsidR="00AA48D3" w:rsidRPr="007740EC">
        <w:rPr>
          <w:spacing w:val="1"/>
        </w:rPr>
        <w:t xml:space="preserve"> </w:t>
      </w:r>
      <w:r w:rsidR="00AA48D3" w:rsidRPr="007740EC">
        <w:t>grave,</w:t>
      </w:r>
      <w:r w:rsidR="00AA48D3" w:rsidRPr="007740EC">
        <w:rPr>
          <w:spacing w:val="-3"/>
        </w:rPr>
        <w:t xml:space="preserve"> </w:t>
      </w:r>
      <w:r w:rsidR="00AA48D3" w:rsidRPr="007740EC">
        <w:t>podendo</w:t>
      </w:r>
      <w:r w:rsidR="00AA48D3" w:rsidRPr="007740EC">
        <w:rPr>
          <w:spacing w:val="-2"/>
        </w:rPr>
        <w:t xml:space="preserve"> </w:t>
      </w:r>
      <w:r w:rsidR="00AA48D3" w:rsidRPr="007740EC">
        <w:t>assim</w:t>
      </w:r>
      <w:r w:rsidR="00AA48D3" w:rsidRPr="007740EC">
        <w:rPr>
          <w:spacing w:val="-2"/>
        </w:rPr>
        <w:t xml:space="preserve"> </w:t>
      </w:r>
      <w:r w:rsidR="00AA48D3" w:rsidRPr="007740EC">
        <w:t>ser tratado</w:t>
      </w:r>
      <w:r w:rsidR="00AA48D3" w:rsidRPr="007740EC">
        <w:rPr>
          <w:spacing w:val="-3"/>
        </w:rPr>
        <w:t xml:space="preserve"> </w:t>
      </w:r>
      <w:r w:rsidR="00AA48D3" w:rsidRPr="007740EC">
        <w:t>de</w:t>
      </w:r>
      <w:r w:rsidR="00AA48D3" w:rsidRPr="007740EC">
        <w:rPr>
          <w:spacing w:val="-2"/>
        </w:rPr>
        <w:t xml:space="preserve"> </w:t>
      </w:r>
      <w:r w:rsidR="00AA48D3" w:rsidRPr="007740EC">
        <w:t>maneira</w:t>
      </w:r>
      <w:r w:rsidR="00AA48D3" w:rsidRPr="007740EC">
        <w:rPr>
          <w:spacing w:val="-2"/>
        </w:rPr>
        <w:t xml:space="preserve"> </w:t>
      </w:r>
      <w:r w:rsidR="00AA48D3" w:rsidRPr="007740EC">
        <w:t>mais</w:t>
      </w:r>
      <w:r w:rsidR="00AA48D3" w:rsidRPr="007740EC">
        <w:rPr>
          <w:spacing w:val="-4"/>
        </w:rPr>
        <w:t xml:space="preserve"> </w:t>
      </w:r>
      <w:r w:rsidR="00AA48D3" w:rsidRPr="007740EC">
        <w:t>eficiente.</w:t>
      </w:r>
    </w:p>
    <w:p w14:paraId="5FD4F907" w14:textId="59A04AC0" w:rsidR="00086016" w:rsidRDefault="00086016" w:rsidP="00D472F1">
      <w:pPr>
        <w:pStyle w:val="Corpodetexto"/>
        <w:spacing w:before="1" w:line="360" w:lineRule="auto"/>
        <w:ind w:right="-139"/>
        <w:jc w:val="center"/>
      </w:pPr>
      <w:r>
        <w:t>Tabela 2: Sintoma por ação do veneno.</w:t>
      </w:r>
    </w:p>
    <w:tbl>
      <w:tblPr>
        <w:tblStyle w:val="TableNormal"/>
        <w:tblW w:w="0" w:type="auto"/>
        <w:jc w:val="center"/>
        <w:tblLayout w:type="fixed"/>
        <w:tblLook w:val="01E0" w:firstRow="1" w:lastRow="1" w:firstColumn="1" w:lastColumn="1" w:noHBand="0" w:noVBand="0"/>
      </w:tblPr>
      <w:tblGrid>
        <w:gridCol w:w="3115"/>
        <w:gridCol w:w="1097"/>
        <w:gridCol w:w="1107"/>
        <w:gridCol w:w="1300"/>
        <w:gridCol w:w="1495"/>
      </w:tblGrid>
      <w:tr w:rsidR="00086016" w:rsidRPr="007740EC" w14:paraId="4EE23BB0" w14:textId="77777777" w:rsidTr="00D472F1">
        <w:trPr>
          <w:trHeight w:val="323"/>
          <w:jc w:val="center"/>
        </w:trPr>
        <w:tc>
          <w:tcPr>
            <w:tcW w:w="3115" w:type="dxa"/>
            <w:tcBorders>
              <w:bottom w:val="single" w:sz="4" w:space="0" w:color="000000"/>
            </w:tcBorders>
            <w:shd w:val="clear" w:color="auto" w:fill="D9D9D9"/>
          </w:tcPr>
          <w:p w14:paraId="54F69D66" w14:textId="77777777" w:rsidR="00086016" w:rsidRPr="00086016" w:rsidRDefault="00086016" w:rsidP="00D472F1">
            <w:pPr>
              <w:pStyle w:val="TableParagraph"/>
              <w:spacing w:line="255" w:lineRule="exact"/>
            </w:pPr>
            <w:r w:rsidRPr="00086016">
              <w:t>SINTOMA</w:t>
            </w:r>
          </w:p>
        </w:tc>
        <w:tc>
          <w:tcPr>
            <w:tcW w:w="1097" w:type="dxa"/>
            <w:tcBorders>
              <w:bottom w:val="single" w:sz="4" w:space="0" w:color="000000"/>
            </w:tcBorders>
            <w:shd w:val="clear" w:color="auto" w:fill="D9D9D9"/>
          </w:tcPr>
          <w:p w14:paraId="1401302B" w14:textId="77777777" w:rsidR="00086016" w:rsidRPr="00086016" w:rsidRDefault="00086016" w:rsidP="00D472F1">
            <w:pPr>
              <w:pStyle w:val="TableParagraph"/>
              <w:spacing w:line="255" w:lineRule="exact"/>
            </w:pPr>
            <w:r w:rsidRPr="00086016">
              <w:t>SIM</w:t>
            </w:r>
          </w:p>
        </w:tc>
        <w:tc>
          <w:tcPr>
            <w:tcW w:w="1107" w:type="dxa"/>
            <w:tcBorders>
              <w:bottom w:val="single" w:sz="4" w:space="0" w:color="000000"/>
            </w:tcBorders>
            <w:shd w:val="clear" w:color="auto" w:fill="D9D9D9"/>
          </w:tcPr>
          <w:p w14:paraId="0CA19A7F" w14:textId="77777777" w:rsidR="00086016" w:rsidRPr="00086016" w:rsidRDefault="00086016" w:rsidP="00D472F1">
            <w:pPr>
              <w:pStyle w:val="TableParagraph"/>
              <w:spacing w:line="255" w:lineRule="exact"/>
            </w:pPr>
            <w:r w:rsidRPr="00086016">
              <w:t>NÃO</w:t>
            </w:r>
          </w:p>
        </w:tc>
        <w:tc>
          <w:tcPr>
            <w:tcW w:w="1300" w:type="dxa"/>
            <w:tcBorders>
              <w:bottom w:val="single" w:sz="4" w:space="0" w:color="000000"/>
            </w:tcBorders>
            <w:shd w:val="clear" w:color="auto" w:fill="D9D9D9"/>
          </w:tcPr>
          <w:p w14:paraId="2EB0A872" w14:textId="77777777" w:rsidR="00086016" w:rsidRPr="00086016" w:rsidRDefault="00086016" w:rsidP="00D472F1">
            <w:pPr>
              <w:pStyle w:val="TableParagraph"/>
              <w:spacing w:line="255" w:lineRule="exact"/>
            </w:pPr>
            <w:r w:rsidRPr="00086016">
              <w:t>TOTAL</w:t>
            </w:r>
          </w:p>
        </w:tc>
        <w:tc>
          <w:tcPr>
            <w:tcW w:w="1495" w:type="dxa"/>
            <w:tcBorders>
              <w:bottom w:val="single" w:sz="4" w:space="0" w:color="000000"/>
            </w:tcBorders>
            <w:shd w:val="clear" w:color="auto" w:fill="D9D9D9"/>
          </w:tcPr>
          <w:p w14:paraId="4A3ADAA1" w14:textId="77777777" w:rsidR="00086016" w:rsidRPr="00086016" w:rsidRDefault="00086016" w:rsidP="00D472F1">
            <w:pPr>
              <w:pStyle w:val="TableParagraph"/>
              <w:spacing w:line="255" w:lineRule="exact"/>
            </w:pPr>
            <w:r w:rsidRPr="00086016">
              <w:rPr>
                <w:w w:val="99"/>
              </w:rPr>
              <w:t>%</w:t>
            </w:r>
          </w:p>
        </w:tc>
      </w:tr>
      <w:tr w:rsidR="00086016" w:rsidRPr="007740EC" w14:paraId="2B2F7C1D" w14:textId="77777777" w:rsidTr="00D472F1">
        <w:trPr>
          <w:trHeight w:val="323"/>
          <w:jc w:val="center"/>
        </w:trPr>
        <w:tc>
          <w:tcPr>
            <w:tcW w:w="3115" w:type="dxa"/>
            <w:tcBorders>
              <w:top w:val="single" w:sz="4" w:space="0" w:color="000000"/>
              <w:bottom w:val="single" w:sz="4" w:space="0" w:color="000000"/>
            </w:tcBorders>
          </w:tcPr>
          <w:p w14:paraId="5818A9AD" w14:textId="77777777" w:rsidR="00086016" w:rsidRPr="00086016" w:rsidRDefault="00086016" w:rsidP="00D472F1">
            <w:pPr>
              <w:pStyle w:val="TableParagraph"/>
              <w:spacing w:line="255" w:lineRule="exact"/>
            </w:pPr>
            <w:r w:rsidRPr="00086016">
              <w:t>Dor</w:t>
            </w:r>
          </w:p>
        </w:tc>
        <w:tc>
          <w:tcPr>
            <w:tcW w:w="1097" w:type="dxa"/>
            <w:tcBorders>
              <w:top w:val="single" w:sz="4" w:space="0" w:color="000000"/>
              <w:bottom w:val="single" w:sz="4" w:space="0" w:color="000000"/>
            </w:tcBorders>
          </w:tcPr>
          <w:p w14:paraId="45322A6A" w14:textId="77777777" w:rsidR="00086016" w:rsidRPr="00086016" w:rsidRDefault="00086016" w:rsidP="00D472F1">
            <w:pPr>
              <w:pStyle w:val="TableParagraph"/>
              <w:spacing w:line="255" w:lineRule="exact"/>
            </w:pPr>
            <w:r w:rsidRPr="00086016">
              <w:t>2.444</w:t>
            </w:r>
          </w:p>
        </w:tc>
        <w:tc>
          <w:tcPr>
            <w:tcW w:w="1107" w:type="dxa"/>
            <w:tcBorders>
              <w:top w:val="single" w:sz="4" w:space="0" w:color="000000"/>
              <w:bottom w:val="single" w:sz="4" w:space="0" w:color="000000"/>
            </w:tcBorders>
          </w:tcPr>
          <w:p w14:paraId="3091F2CF" w14:textId="77777777" w:rsidR="00086016" w:rsidRPr="00086016" w:rsidRDefault="00086016" w:rsidP="00D472F1">
            <w:pPr>
              <w:pStyle w:val="TableParagraph"/>
              <w:spacing w:line="255" w:lineRule="exact"/>
            </w:pPr>
            <w:r w:rsidRPr="00086016">
              <w:t>63</w:t>
            </w:r>
          </w:p>
        </w:tc>
        <w:tc>
          <w:tcPr>
            <w:tcW w:w="1300" w:type="dxa"/>
            <w:tcBorders>
              <w:top w:val="single" w:sz="4" w:space="0" w:color="000000"/>
              <w:bottom w:val="single" w:sz="4" w:space="0" w:color="000000"/>
            </w:tcBorders>
          </w:tcPr>
          <w:p w14:paraId="6A1CC1EB" w14:textId="77777777" w:rsidR="00086016" w:rsidRPr="00086016" w:rsidRDefault="00086016" w:rsidP="00D472F1">
            <w:pPr>
              <w:pStyle w:val="TableParagraph"/>
              <w:spacing w:line="255" w:lineRule="exact"/>
            </w:pPr>
            <w:r w:rsidRPr="00086016">
              <w:t>2.507</w:t>
            </w:r>
          </w:p>
        </w:tc>
        <w:tc>
          <w:tcPr>
            <w:tcW w:w="1495" w:type="dxa"/>
            <w:tcBorders>
              <w:top w:val="single" w:sz="4" w:space="0" w:color="000000"/>
              <w:bottom w:val="single" w:sz="4" w:space="0" w:color="000000"/>
            </w:tcBorders>
          </w:tcPr>
          <w:p w14:paraId="6C484297" w14:textId="77777777" w:rsidR="00086016" w:rsidRPr="00086016" w:rsidRDefault="00086016" w:rsidP="00D472F1">
            <w:pPr>
              <w:pStyle w:val="TableParagraph"/>
              <w:spacing w:line="255" w:lineRule="exact"/>
            </w:pPr>
            <w:r w:rsidRPr="00086016">
              <w:t>97,4</w:t>
            </w:r>
          </w:p>
        </w:tc>
      </w:tr>
      <w:tr w:rsidR="00086016" w:rsidRPr="007740EC" w14:paraId="02DC2C7F" w14:textId="77777777" w:rsidTr="00D472F1">
        <w:trPr>
          <w:trHeight w:val="323"/>
          <w:jc w:val="center"/>
        </w:trPr>
        <w:tc>
          <w:tcPr>
            <w:tcW w:w="3115" w:type="dxa"/>
            <w:tcBorders>
              <w:top w:val="single" w:sz="4" w:space="0" w:color="000000"/>
              <w:bottom w:val="single" w:sz="4" w:space="0" w:color="000000"/>
            </w:tcBorders>
          </w:tcPr>
          <w:p w14:paraId="57B935AE" w14:textId="77777777" w:rsidR="00086016" w:rsidRPr="00086016" w:rsidRDefault="00086016" w:rsidP="00D472F1">
            <w:pPr>
              <w:pStyle w:val="TableParagraph"/>
              <w:spacing w:line="255" w:lineRule="exact"/>
            </w:pPr>
            <w:r w:rsidRPr="00086016">
              <w:t>Edema</w:t>
            </w:r>
          </w:p>
        </w:tc>
        <w:tc>
          <w:tcPr>
            <w:tcW w:w="1097" w:type="dxa"/>
            <w:tcBorders>
              <w:top w:val="single" w:sz="4" w:space="0" w:color="000000"/>
              <w:bottom w:val="single" w:sz="4" w:space="0" w:color="000000"/>
            </w:tcBorders>
          </w:tcPr>
          <w:p w14:paraId="774D498C" w14:textId="77777777" w:rsidR="00086016" w:rsidRPr="00086016" w:rsidRDefault="00086016" w:rsidP="00D472F1">
            <w:pPr>
              <w:pStyle w:val="TableParagraph"/>
              <w:spacing w:line="255" w:lineRule="exact"/>
            </w:pPr>
            <w:r w:rsidRPr="00086016">
              <w:t>2.176</w:t>
            </w:r>
          </w:p>
        </w:tc>
        <w:tc>
          <w:tcPr>
            <w:tcW w:w="1107" w:type="dxa"/>
            <w:tcBorders>
              <w:top w:val="single" w:sz="4" w:space="0" w:color="000000"/>
              <w:bottom w:val="single" w:sz="4" w:space="0" w:color="000000"/>
            </w:tcBorders>
          </w:tcPr>
          <w:p w14:paraId="6B0B6AEE" w14:textId="77777777" w:rsidR="00086016" w:rsidRPr="00086016" w:rsidRDefault="00086016" w:rsidP="00D472F1">
            <w:pPr>
              <w:pStyle w:val="TableParagraph"/>
              <w:spacing w:line="255" w:lineRule="exact"/>
            </w:pPr>
            <w:r w:rsidRPr="00086016">
              <w:t>330</w:t>
            </w:r>
          </w:p>
        </w:tc>
        <w:tc>
          <w:tcPr>
            <w:tcW w:w="1300" w:type="dxa"/>
            <w:tcBorders>
              <w:top w:val="single" w:sz="4" w:space="0" w:color="000000"/>
              <w:bottom w:val="single" w:sz="4" w:space="0" w:color="000000"/>
            </w:tcBorders>
          </w:tcPr>
          <w:p w14:paraId="30121C08" w14:textId="77777777" w:rsidR="00086016" w:rsidRPr="00086016" w:rsidRDefault="00086016" w:rsidP="00D472F1">
            <w:pPr>
              <w:pStyle w:val="TableParagraph"/>
              <w:spacing w:line="255" w:lineRule="exact"/>
            </w:pPr>
            <w:r w:rsidRPr="00086016">
              <w:t>2.506</w:t>
            </w:r>
          </w:p>
        </w:tc>
        <w:tc>
          <w:tcPr>
            <w:tcW w:w="1495" w:type="dxa"/>
            <w:tcBorders>
              <w:top w:val="single" w:sz="4" w:space="0" w:color="000000"/>
              <w:bottom w:val="single" w:sz="4" w:space="0" w:color="000000"/>
            </w:tcBorders>
          </w:tcPr>
          <w:p w14:paraId="41CA2437" w14:textId="77777777" w:rsidR="00086016" w:rsidRPr="00086016" w:rsidRDefault="00086016" w:rsidP="00D472F1">
            <w:pPr>
              <w:pStyle w:val="TableParagraph"/>
              <w:spacing w:line="255" w:lineRule="exact"/>
            </w:pPr>
            <w:r w:rsidRPr="00086016">
              <w:t>86,8</w:t>
            </w:r>
          </w:p>
        </w:tc>
      </w:tr>
      <w:tr w:rsidR="00086016" w:rsidRPr="007740EC" w14:paraId="3B49BF44" w14:textId="77777777" w:rsidTr="00D472F1">
        <w:trPr>
          <w:trHeight w:val="326"/>
          <w:jc w:val="center"/>
        </w:trPr>
        <w:tc>
          <w:tcPr>
            <w:tcW w:w="3115" w:type="dxa"/>
            <w:tcBorders>
              <w:top w:val="single" w:sz="4" w:space="0" w:color="000000"/>
              <w:bottom w:val="single" w:sz="4" w:space="0" w:color="000000"/>
            </w:tcBorders>
          </w:tcPr>
          <w:p w14:paraId="53A3C7CC" w14:textId="77777777" w:rsidR="00086016" w:rsidRPr="00086016" w:rsidRDefault="00086016" w:rsidP="00D472F1">
            <w:pPr>
              <w:pStyle w:val="TableParagraph"/>
              <w:spacing w:before="2" w:line="255" w:lineRule="exact"/>
            </w:pPr>
            <w:r w:rsidRPr="00086016">
              <w:t>Ação</w:t>
            </w:r>
            <w:r w:rsidRPr="00086016">
              <w:rPr>
                <w:spacing w:val="-2"/>
              </w:rPr>
              <w:t xml:space="preserve"> </w:t>
            </w:r>
            <w:r w:rsidRPr="00086016">
              <w:t>hemorrágica</w:t>
            </w:r>
          </w:p>
        </w:tc>
        <w:tc>
          <w:tcPr>
            <w:tcW w:w="1097" w:type="dxa"/>
            <w:tcBorders>
              <w:top w:val="single" w:sz="4" w:space="0" w:color="000000"/>
              <w:bottom w:val="single" w:sz="4" w:space="0" w:color="000000"/>
            </w:tcBorders>
          </w:tcPr>
          <w:p w14:paraId="4D34B7C6" w14:textId="77777777" w:rsidR="00086016" w:rsidRPr="00086016" w:rsidRDefault="00086016" w:rsidP="00D472F1">
            <w:pPr>
              <w:pStyle w:val="TableParagraph"/>
              <w:spacing w:before="2" w:line="255" w:lineRule="exact"/>
            </w:pPr>
            <w:r w:rsidRPr="00086016">
              <w:t>56</w:t>
            </w:r>
          </w:p>
        </w:tc>
        <w:tc>
          <w:tcPr>
            <w:tcW w:w="1107" w:type="dxa"/>
            <w:tcBorders>
              <w:top w:val="single" w:sz="4" w:space="0" w:color="000000"/>
              <w:bottom w:val="single" w:sz="4" w:space="0" w:color="000000"/>
            </w:tcBorders>
          </w:tcPr>
          <w:p w14:paraId="7A7B0F87" w14:textId="77777777" w:rsidR="00086016" w:rsidRPr="00086016" w:rsidRDefault="00086016" w:rsidP="00D472F1">
            <w:pPr>
              <w:pStyle w:val="TableParagraph"/>
              <w:spacing w:before="2" w:line="255" w:lineRule="exact"/>
            </w:pPr>
            <w:r w:rsidRPr="00086016">
              <w:t>247</w:t>
            </w:r>
          </w:p>
        </w:tc>
        <w:tc>
          <w:tcPr>
            <w:tcW w:w="1300" w:type="dxa"/>
            <w:tcBorders>
              <w:top w:val="single" w:sz="4" w:space="0" w:color="000000"/>
              <w:bottom w:val="single" w:sz="4" w:space="0" w:color="000000"/>
            </w:tcBorders>
          </w:tcPr>
          <w:p w14:paraId="5E0F9DC2" w14:textId="77777777" w:rsidR="00086016" w:rsidRPr="00086016" w:rsidRDefault="00086016" w:rsidP="00D472F1">
            <w:pPr>
              <w:pStyle w:val="TableParagraph"/>
              <w:spacing w:before="2" w:line="255" w:lineRule="exact"/>
            </w:pPr>
            <w:r w:rsidRPr="00086016">
              <w:t>303</w:t>
            </w:r>
          </w:p>
        </w:tc>
        <w:tc>
          <w:tcPr>
            <w:tcW w:w="1495" w:type="dxa"/>
            <w:tcBorders>
              <w:top w:val="single" w:sz="4" w:space="0" w:color="000000"/>
              <w:bottom w:val="single" w:sz="4" w:space="0" w:color="000000"/>
            </w:tcBorders>
          </w:tcPr>
          <w:p w14:paraId="18241517" w14:textId="77777777" w:rsidR="00086016" w:rsidRPr="00086016" w:rsidRDefault="00086016" w:rsidP="00D472F1">
            <w:pPr>
              <w:pStyle w:val="TableParagraph"/>
              <w:spacing w:before="2" w:line="255" w:lineRule="exact"/>
            </w:pPr>
            <w:r w:rsidRPr="00086016">
              <w:t>18,4</w:t>
            </w:r>
          </w:p>
        </w:tc>
      </w:tr>
      <w:tr w:rsidR="00086016" w:rsidRPr="007740EC" w14:paraId="610DB372" w14:textId="77777777" w:rsidTr="00D472F1">
        <w:trPr>
          <w:trHeight w:val="323"/>
          <w:jc w:val="center"/>
        </w:trPr>
        <w:tc>
          <w:tcPr>
            <w:tcW w:w="3115" w:type="dxa"/>
            <w:tcBorders>
              <w:top w:val="single" w:sz="4" w:space="0" w:color="000000"/>
              <w:bottom w:val="single" w:sz="4" w:space="0" w:color="000000"/>
            </w:tcBorders>
          </w:tcPr>
          <w:p w14:paraId="173B581E" w14:textId="77777777" w:rsidR="00086016" w:rsidRPr="00086016" w:rsidRDefault="00086016" w:rsidP="00D472F1">
            <w:pPr>
              <w:pStyle w:val="TableParagraph"/>
              <w:spacing w:line="255" w:lineRule="exact"/>
            </w:pPr>
            <w:r w:rsidRPr="00086016">
              <w:t>Ação</w:t>
            </w:r>
            <w:r w:rsidRPr="00086016">
              <w:rPr>
                <w:spacing w:val="-1"/>
              </w:rPr>
              <w:t xml:space="preserve"> </w:t>
            </w:r>
            <w:r w:rsidRPr="00086016">
              <w:t>miolítica</w:t>
            </w:r>
          </w:p>
        </w:tc>
        <w:tc>
          <w:tcPr>
            <w:tcW w:w="1097" w:type="dxa"/>
            <w:tcBorders>
              <w:top w:val="single" w:sz="4" w:space="0" w:color="000000"/>
              <w:bottom w:val="single" w:sz="4" w:space="0" w:color="000000"/>
            </w:tcBorders>
          </w:tcPr>
          <w:p w14:paraId="5AB02427" w14:textId="77777777" w:rsidR="00086016" w:rsidRPr="00086016" w:rsidRDefault="00086016" w:rsidP="00D472F1">
            <w:pPr>
              <w:pStyle w:val="TableParagraph"/>
              <w:spacing w:line="255" w:lineRule="exact"/>
            </w:pPr>
            <w:r w:rsidRPr="00086016">
              <w:t>24</w:t>
            </w:r>
          </w:p>
        </w:tc>
        <w:tc>
          <w:tcPr>
            <w:tcW w:w="1107" w:type="dxa"/>
            <w:tcBorders>
              <w:top w:val="single" w:sz="4" w:space="0" w:color="000000"/>
              <w:bottom w:val="single" w:sz="4" w:space="0" w:color="000000"/>
            </w:tcBorders>
          </w:tcPr>
          <w:p w14:paraId="3267E148" w14:textId="77777777" w:rsidR="00086016" w:rsidRPr="00086016" w:rsidRDefault="00086016" w:rsidP="00D472F1">
            <w:pPr>
              <w:pStyle w:val="TableParagraph"/>
              <w:spacing w:line="255" w:lineRule="exact"/>
            </w:pPr>
            <w:r w:rsidRPr="00086016">
              <w:t>278</w:t>
            </w:r>
          </w:p>
        </w:tc>
        <w:tc>
          <w:tcPr>
            <w:tcW w:w="1300" w:type="dxa"/>
            <w:tcBorders>
              <w:top w:val="single" w:sz="4" w:space="0" w:color="000000"/>
              <w:bottom w:val="single" w:sz="4" w:space="0" w:color="000000"/>
            </w:tcBorders>
          </w:tcPr>
          <w:p w14:paraId="563A5D53" w14:textId="77777777" w:rsidR="00086016" w:rsidRPr="00086016" w:rsidRDefault="00086016" w:rsidP="00D472F1">
            <w:pPr>
              <w:pStyle w:val="TableParagraph"/>
              <w:spacing w:line="255" w:lineRule="exact"/>
            </w:pPr>
            <w:r w:rsidRPr="00086016">
              <w:t>302</w:t>
            </w:r>
          </w:p>
        </w:tc>
        <w:tc>
          <w:tcPr>
            <w:tcW w:w="1495" w:type="dxa"/>
            <w:tcBorders>
              <w:top w:val="single" w:sz="4" w:space="0" w:color="000000"/>
              <w:bottom w:val="single" w:sz="4" w:space="0" w:color="000000"/>
            </w:tcBorders>
          </w:tcPr>
          <w:p w14:paraId="181B0EA6" w14:textId="77777777" w:rsidR="00086016" w:rsidRPr="00086016" w:rsidRDefault="00086016" w:rsidP="00D472F1">
            <w:pPr>
              <w:pStyle w:val="TableParagraph"/>
              <w:spacing w:line="255" w:lineRule="exact"/>
            </w:pPr>
            <w:r w:rsidRPr="00086016">
              <w:t>7,9</w:t>
            </w:r>
          </w:p>
        </w:tc>
      </w:tr>
      <w:tr w:rsidR="00086016" w:rsidRPr="007740EC" w14:paraId="5A77F0B3" w14:textId="77777777" w:rsidTr="00D472F1">
        <w:trPr>
          <w:trHeight w:val="323"/>
          <w:jc w:val="center"/>
        </w:trPr>
        <w:tc>
          <w:tcPr>
            <w:tcW w:w="3115" w:type="dxa"/>
            <w:tcBorders>
              <w:top w:val="single" w:sz="4" w:space="0" w:color="000000"/>
              <w:bottom w:val="single" w:sz="4" w:space="0" w:color="000000"/>
            </w:tcBorders>
          </w:tcPr>
          <w:p w14:paraId="65A9FEA5" w14:textId="77777777" w:rsidR="00086016" w:rsidRPr="00086016" w:rsidRDefault="00086016" w:rsidP="00D472F1">
            <w:pPr>
              <w:pStyle w:val="TableParagraph"/>
              <w:spacing w:line="255" w:lineRule="exact"/>
            </w:pPr>
            <w:r w:rsidRPr="00086016">
              <w:t>Ação</w:t>
            </w:r>
            <w:r w:rsidRPr="00086016">
              <w:rPr>
                <w:spacing w:val="-2"/>
              </w:rPr>
              <w:t xml:space="preserve"> </w:t>
            </w:r>
            <w:r w:rsidRPr="00086016">
              <w:t>neuroparalítica</w:t>
            </w:r>
          </w:p>
        </w:tc>
        <w:tc>
          <w:tcPr>
            <w:tcW w:w="1097" w:type="dxa"/>
            <w:tcBorders>
              <w:top w:val="single" w:sz="4" w:space="0" w:color="000000"/>
              <w:bottom w:val="single" w:sz="4" w:space="0" w:color="000000"/>
            </w:tcBorders>
          </w:tcPr>
          <w:p w14:paraId="459ADECD" w14:textId="77777777" w:rsidR="00086016" w:rsidRPr="00086016" w:rsidRDefault="00086016" w:rsidP="00D472F1">
            <w:pPr>
              <w:pStyle w:val="TableParagraph"/>
              <w:spacing w:line="255" w:lineRule="exact"/>
            </w:pPr>
            <w:r w:rsidRPr="00086016">
              <w:t>108</w:t>
            </w:r>
          </w:p>
        </w:tc>
        <w:tc>
          <w:tcPr>
            <w:tcW w:w="1107" w:type="dxa"/>
            <w:tcBorders>
              <w:top w:val="single" w:sz="4" w:space="0" w:color="000000"/>
              <w:bottom w:val="single" w:sz="4" w:space="0" w:color="000000"/>
            </w:tcBorders>
          </w:tcPr>
          <w:p w14:paraId="616236A9" w14:textId="77777777" w:rsidR="00086016" w:rsidRPr="00086016" w:rsidRDefault="00086016" w:rsidP="00D472F1">
            <w:pPr>
              <w:pStyle w:val="TableParagraph"/>
              <w:spacing w:line="255" w:lineRule="exact"/>
            </w:pPr>
            <w:r w:rsidRPr="00086016">
              <w:t>195</w:t>
            </w:r>
          </w:p>
        </w:tc>
        <w:tc>
          <w:tcPr>
            <w:tcW w:w="1300" w:type="dxa"/>
            <w:tcBorders>
              <w:top w:val="single" w:sz="4" w:space="0" w:color="000000"/>
              <w:bottom w:val="single" w:sz="4" w:space="0" w:color="000000"/>
            </w:tcBorders>
          </w:tcPr>
          <w:p w14:paraId="0FD7E995" w14:textId="77777777" w:rsidR="00086016" w:rsidRPr="00086016" w:rsidRDefault="00086016" w:rsidP="00D472F1">
            <w:pPr>
              <w:pStyle w:val="TableParagraph"/>
              <w:spacing w:line="255" w:lineRule="exact"/>
            </w:pPr>
            <w:r w:rsidRPr="00086016">
              <w:t>303</w:t>
            </w:r>
          </w:p>
        </w:tc>
        <w:tc>
          <w:tcPr>
            <w:tcW w:w="1495" w:type="dxa"/>
            <w:tcBorders>
              <w:top w:val="single" w:sz="4" w:space="0" w:color="000000"/>
              <w:bottom w:val="single" w:sz="4" w:space="0" w:color="000000"/>
            </w:tcBorders>
          </w:tcPr>
          <w:p w14:paraId="6928BA17" w14:textId="77777777" w:rsidR="00086016" w:rsidRPr="00086016" w:rsidRDefault="00086016" w:rsidP="00D472F1">
            <w:pPr>
              <w:pStyle w:val="TableParagraph"/>
              <w:spacing w:line="255" w:lineRule="exact"/>
            </w:pPr>
            <w:r w:rsidRPr="00086016">
              <w:t>35,6</w:t>
            </w:r>
          </w:p>
        </w:tc>
      </w:tr>
      <w:tr w:rsidR="00086016" w:rsidRPr="007740EC" w14:paraId="6F0FC147" w14:textId="77777777" w:rsidTr="00D472F1">
        <w:trPr>
          <w:trHeight w:val="323"/>
          <w:jc w:val="center"/>
        </w:trPr>
        <w:tc>
          <w:tcPr>
            <w:tcW w:w="3115" w:type="dxa"/>
            <w:tcBorders>
              <w:top w:val="single" w:sz="4" w:space="0" w:color="000000"/>
              <w:bottom w:val="single" w:sz="4" w:space="0" w:color="000000"/>
            </w:tcBorders>
          </w:tcPr>
          <w:p w14:paraId="4659F5E4" w14:textId="77777777" w:rsidR="00086016" w:rsidRPr="00086016" w:rsidRDefault="00086016" w:rsidP="00D472F1">
            <w:pPr>
              <w:pStyle w:val="TableParagraph"/>
              <w:spacing w:line="255" w:lineRule="exact"/>
            </w:pPr>
            <w:r w:rsidRPr="00086016">
              <w:t>Necrose</w:t>
            </w:r>
            <w:r w:rsidRPr="00086016">
              <w:rPr>
                <w:spacing w:val="-3"/>
              </w:rPr>
              <w:t xml:space="preserve"> </w:t>
            </w:r>
            <w:r w:rsidRPr="00086016">
              <w:t>(proteolítica)</w:t>
            </w:r>
          </w:p>
        </w:tc>
        <w:tc>
          <w:tcPr>
            <w:tcW w:w="1097" w:type="dxa"/>
            <w:tcBorders>
              <w:top w:val="single" w:sz="4" w:space="0" w:color="000000"/>
              <w:bottom w:val="single" w:sz="4" w:space="0" w:color="000000"/>
            </w:tcBorders>
          </w:tcPr>
          <w:p w14:paraId="043B1721" w14:textId="77777777" w:rsidR="00086016" w:rsidRPr="00086016" w:rsidRDefault="00086016" w:rsidP="00D472F1">
            <w:pPr>
              <w:pStyle w:val="TableParagraph"/>
              <w:spacing w:line="255" w:lineRule="exact"/>
            </w:pPr>
            <w:r w:rsidRPr="00086016">
              <w:t>12</w:t>
            </w:r>
          </w:p>
        </w:tc>
        <w:tc>
          <w:tcPr>
            <w:tcW w:w="1107" w:type="dxa"/>
            <w:tcBorders>
              <w:top w:val="single" w:sz="4" w:space="0" w:color="000000"/>
              <w:bottom w:val="single" w:sz="4" w:space="0" w:color="000000"/>
            </w:tcBorders>
          </w:tcPr>
          <w:p w14:paraId="69F304A8" w14:textId="77777777" w:rsidR="00086016" w:rsidRPr="00086016" w:rsidRDefault="00086016" w:rsidP="00D472F1">
            <w:pPr>
              <w:pStyle w:val="TableParagraph"/>
              <w:spacing w:line="255" w:lineRule="exact"/>
            </w:pPr>
            <w:r w:rsidRPr="00086016">
              <w:t>2.474</w:t>
            </w:r>
          </w:p>
        </w:tc>
        <w:tc>
          <w:tcPr>
            <w:tcW w:w="1300" w:type="dxa"/>
            <w:tcBorders>
              <w:top w:val="single" w:sz="4" w:space="0" w:color="000000"/>
              <w:bottom w:val="single" w:sz="4" w:space="0" w:color="000000"/>
            </w:tcBorders>
          </w:tcPr>
          <w:p w14:paraId="2B069FA9" w14:textId="77777777" w:rsidR="00086016" w:rsidRPr="00086016" w:rsidRDefault="00086016" w:rsidP="00D472F1">
            <w:pPr>
              <w:pStyle w:val="TableParagraph"/>
              <w:spacing w:line="255" w:lineRule="exact"/>
            </w:pPr>
            <w:r w:rsidRPr="00086016">
              <w:t>2.486</w:t>
            </w:r>
          </w:p>
        </w:tc>
        <w:tc>
          <w:tcPr>
            <w:tcW w:w="1495" w:type="dxa"/>
            <w:tcBorders>
              <w:top w:val="single" w:sz="4" w:space="0" w:color="000000"/>
              <w:bottom w:val="single" w:sz="4" w:space="0" w:color="000000"/>
            </w:tcBorders>
          </w:tcPr>
          <w:p w14:paraId="3827EF2F" w14:textId="77777777" w:rsidR="00086016" w:rsidRPr="00086016" w:rsidRDefault="00086016" w:rsidP="00D472F1">
            <w:pPr>
              <w:pStyle w:val="TableParagraph"/>
              <w:spacing w:line="255" w:lineRule="exact"/>
            </w:pPr>
            <w:r w:rsidRPr="00086016">
              <w:t>0,4</w:t>
            </w:r>
          </w:p>
        </w:tc>
      </w:tr>
    </w:tbl>
    <w:p w14:paraId="2C5D3B08" w14:textId="69E6E4ED" w:rsidR="00086016" w:rsidRDefault="00086016" w:rsidP="00D472F1">
      <w:pPr>
        <w:pStyle w:val="Corpodetexto"/>
        <w:spacing w:before="1" w:line="360" w:lineRule="auto"/>
        <w:ind w:right="-139"/>
        <w:jc w:val="both"/>
      </w:pPr>
      <w:r>
        <w:t xml:space="preserve">  </w:t>
      </w:r>
      <w:r w:rsidR="00D472F1">
        <w:tab/>
      </w:r>
      <w:r>
        <w:t>Fonte: SINAN, 2023.</w:t>
      </w:r>
    </w:p>
    <w:p w14:paraId="3A6C9602" w14:textId="77777777" w:rsidR="00AA48D3" w:rsidRDefault="00AA48D3" w:rsidP="00D472F1">
      <w:pPr>
        <w:rPr>
          <w:sz w:val="24"/>
          <w:szCs w:val="24"/>
        </w:rPr>
      </w:pPr>
    </w:p>
    <w:p w14:paraId="6EF26A43" w14:textId="51062E65" w:rsidR="003949CE" w:rsidRDefault="003949CE" w:rsidP="00D472F1">
      <w:pPr>
        <w:widowControl/>
        <w:tabs>
          <w:tab w:val="left" w:pos="1290"/>
        </w:tabs>
        <w:spacing w:after="160" w:line="259" w:lineRule="auto"/>
        <w:jc w:val="both"/>
        <w:rPr>
          <w:sz w:val="28"/>
          <w:szCs w:val="28"/>
        </w:rPr>
      </w:pPr>
      <w:r>
        <w:rPr>
          <w:b/>
          <w:sz w:val="24"/>
          <w:szCs w:val="24"/>
        </w:rPr>
        <w:t xml:space="preserve">4. CONCLUSÃO </w:t>
      </w:r>
    </w:p>
    <w:p w14:paraId="1A582B68" w14:textId="3294828F" w:rsidR="00256EAE" w:rsidRPr="002135B3" w:rsidRDefault="00256EAE" w:rsidP="00D472F1">
      <w:pPr>
        <w:spacing w:line="360" w:lineRule="auto"/>
        <w:ind w:firstLine="720"/>
        <w:jc w:val="both"/>
        <w:rPr>
          <w:sz w:val="24"/>
          <w:szCs w:val="24"/>
        </w:rPr>
      </w:pPr>
      <w:r w:rsidRPr="002135B3">
        <w:rPr>
          <w:sz w:val="24"/>
          <w:szCs w:val="24"/>
        </w:rPr>
        <w:t xml:space="preserve">O objetivo deste estudo </w:t>
      </w:r>
      <w:r w:rsidR="00D472F1">
        <w:rPr>
          <w:sz w:val="24"/>
          <w:szCs w:val="24"/>
        </w:rPr>
        <w:t xml:space="preserve">foi </w:t>
      </w:r>
      <w:r w:rsidRPr="002135B3">
        <w:rPr>
          <w:sz w:val="24"/>
          <w:szCs w:val="24"/>
        </w:rPr>
        <w:t xml:space="preserve">caracterizar o perfil epidemiológico dos acidentes ofídicos na região do Baixo Tocantins entre 2018 e 2022 foi alcançado. Os achados demonstram que a maior parte dos acidentes está relacionada ao gênero </w:t>
      </w:r>
      <w:r w:rsidRPr="002135B3">
        <w:rPr>
          <w:i/>
          <w:iCs/>
          <w:sz w:val="24"/>
          <w:szCs w:val="24"/>
        </w:rPr>
        <w:t>Bothrops</w:t>
      </w:r>
      <w:r w:rsidRPr="002135B3">
        <w:rPr>
          <w:sz w:val="24"/>
          <w:szCs w:val="24"/>
        </w:rPr>
        <w:t>, acometendo predominantemente homens jovens em idade produtiva, e apresentando padrão sazonal vinculado ao regime de chuvas e às atividades econômicas locais.</w:t>
      </w:r>
    </w:p>
    <w:p w14:paraId="438603C1" w14:textId="77777777" w:rsidR="00256EAE" w:rsidRPr="002135B3" w:rsidRDefault="00256EAE" w:rsidP="00D472F1">
      <w:pPr>
        <w:spacing w:line="360" w:lineRule="auto"/>
        <w:ind w:firstLine="720"/>
        <w:jc w:val="both"/>
        <w:rPr>
          <w:sz w:val="24"/>
          <w:szCs w:val="24"/>
        </w:rPr>
      </w:pPr>
      <w:r w:rsidRPr="002135B3">
        <w:rPr>
          <w:sz w:val="24"/>
          <w:szCs w:val="24"/>
        </w:rPr>
        <w:t>A contribuição específica deste trabalho reside na análise regional detalhada, que complementa estudos nacionais e reforça a necessidade de integrar fatores ambientais e ocupacionais à vigilância em saúde. Enquanto pesquisas anteriores abordam o tema em escala estadual ou nacional, este estudo fornece evidências locais para subsidiar políticas direcionadas ao Baixo Tocantins, incluindo a descentralização da oferta de soro antiofídico e campanhas educativas junto a populações rurais.</w:t>
      </w:r>
    </w:p>
    <w:p w14:paraId="05746633" w14:textId="744180AF" w:rsidR="003949CE" w:rsidRDefault="00256EAE" w:rsidP="00D472F1">
      <w:pPr>
        <w:spacing w:line="360" w:lineRule="auto"/>
        <w:ind w:firstLine="720"/>
        <w:jc w:val="both"/>
      </w:pPr>
      <w:r w:rsidRPr="002135B3">
        <w:rPr>
          <w:sz w:val="24"/>
          <w:szCs w:val="24"/>
        </w:rPr>
        <w:t>Portanto, este trabalho avança o conhecimento na área ao oferecer interpretação aprofundada da interação entre fatores ecológicos e epidemiológicos, reforçando a importância de estratégias de prevenção e monitoramento adaptadas à realidade amazônica e às condições socioeconômicas da região estudada</w:t>
      </w:r>
      <w:r w:rsidR="00AA48D3" w:rsidRPr="007740EC">
        <w:t>.</w:t>
      </w:r>
    </w:p>
    <w:p w14:paraId="7F593A31" w14:textId="77777777" w:rsidR="007B0422" w:rsidRPr="00256EAE" w:rsidRDefault="007B0422" w:rsidP="00D472F1">
      <w:pPr>
        <w:spacing w:line="360" w:lineRule="auto"/>
        <w:ind w:firstLine="720"/>
        <w:jc w:val="both"/>
        <w:rPr>
          <w:sz w:val="24"/>
          <w:szCs w:val="24"/>
        </w:rPr>
      </w:pPr>
    </w:p>
    <w:p w14:paraId="5D816746" w14:textId="004AE44F" w:rsidR="003949CE" w:rsidRDefault="003949CE" w:rsidP="00D472F1">
      <w:pPr>
        <w:widowControl/>
        <w:tabs>
          <w:tab w:val="left" w:pos="1290"/>
        </w:tabs>
        <w:spacing w:after="160" w:line="259" w:lineRule="auto"/>
        <w:jc w:val="both"/>
        <w:rPr>
          <w:color w:val="FF0000"/>
          <w:sz w:val="24"/>
          <w:szCs w:val="24"/>
        </w:rPr>
      </w:pPr>
      <w:r>
        <w:rPr>
          <w:b/>
          <w:sz w:val="24"/>
          <w:szCs w:val="24"/>
        </w:rPr>
        <w:t xml:space="preserve">REFERÊNCIAS </w:t>
      </w:r>
    </w:p>
    <w:p w14:paraId="36C835BB" w14:textId="77777777" w:rsidR="007B0422" w:rsidRPr="002135B3" w:rsidRDefault="007B0422" w:rsidP="00D472F1">
      <w:pPr>
        <w:jc w:val="both"/>
        <w:rPr>
          <w:sz w:val="24"/>
          <w:szCs w:val="24"/>
        </w:rPr>
      </w:pPr>
      <w:bookmarkStart w:id="0" w:name="_gjdgxs" w:colFirst="0" w:colLast="0"/>
      <w:bookmarkEnd w:id="0"/>
      <w:r w:rsidRPr="002135B3">
        <w:rPr>
          <w:sz w:val="24"/>
          <w:szCs w:val="24"/>
        </w:rPr>
        <w:t xml:space="preserve">ALMEIDA, R. Amazônia, Pará e o mundo das águas do Baixo Tocantins. </w:t>
      </w:r>
      <w:r w:rsidRPr="001A6104">
        <w:rPr>
          <w:b/>
          <w:bCs/>
          <w:sz w:val="24"/>
          <w:szCs w:val="24"/>
        </w:rPr>
        <w:t>Estudos Avançados</w:t>
      </w:r>
      <w:r w:rsidRPr="002135B3">
        <w:rPr>
          <w:sz w:val="24"/>
          <w:szCs w:val="24"/>
        </w:rPr>
        <w:t>, v. 24, n. 68, p. 291–298, 2010. DOI: https://doi.org/10.1590/S0103-40142010000100020.</w:t>
      </w:r>
    </w:p>
    <w:p w14:paraId="1B6CA293" w14:textId="77777777" w:rsidR="007B0422" w:rsidRDefault="007B0422" w:rsidP="00D472F1">
      <w:pPr>
        <w:jc w:val="both"/>
        <w:rPr>
          <w:sz w:val="24"/>
          <w:szCs w:val="24"/>
        </w:rPr>
      </w:pPr>
    </w:p>
    <w:p w14:paraId="39C205B9" w14:textId="1D1A77A4" w:rsidR="007B0422" w:rsidRPr="002135B3" w:rsidRDefault="007B0422" w:rsidP="00D472F1">
      <w:pPr>
        <w:jc w:val="both"/>
        <w:rPr>
          <w:sz w:val="24"/>
          <w:szCs w:val="24"/>
        </w:rPr>
      </w:pPr>
      <w:r w:rsidRPr="002135B3">
        <w:rPr>
          <w:sz w:val="24"/>
          <w:szCs w:val="24"/>
        </w:rPr>
        <w:t xml:space="preserve">BERNARDE, P. </w:t>
      </w:r>
      <w:r w:rsidRPr="001A6104">
        <w:rPr>
          <w:b/>
          <w:bCs/>
          <w:sz w:val="24"/>
          <w:szCs w:val="24"/>
        </w:rPr>
        <w:t>Serpentes peçonhentas e acidentes ofídicos no Brasil</w:t>
      </w:r>
      <w:r w:rsidRPr="002135B3">
        <w:rPr>
          <w:sz w:val="24"/>
          <w:szCs w:val="24"/>
        </w:rPr>
        <w:t>. São Paulo: Anolis Books, 2014.</w:t>
      </w:r>
    </w:p>
    <w:p w14:paraId="63626C49" w14:textId="77777777" w:rsidR="007B0422" w:rsidRPr="002135B3" w:rsidRDefault="007B0422" w:rsidP="00D472F1">
      <w:pPr>
        <w:jc w:val="both"/>
        <w:rPr>
          <w:sz w:val="24"/>
          <w:szCs w:val="24"/>
        </w:rPr>
      </w:pPr>
      <w:r w:rsidRPr="002135B3">
        <w:rPr>
          <w:sz w:val="24"/>
          <w:szCs w:val="24"/>
        </w:rPr>
        <w:t xml:space="preserve">BRASIL. Ministério da Saúde. </w:t>
      </w:r>
      <w:r w:rsidRPr="001A6104">
        <w:rPr>
          <w:b/>
          <w:bCs/>
          <w:sz w:val="24"/>
          <w:szCs w:val="24"/>
        </w:rPr>
        <w:t>Boletim Epidemiológico</w:t>
      </w:r>
      <w:r w:rsidRPr="002135B3">
        <w:rPr>
          <w:sz w:val="24"/>
          <w:szCs w:val="24"/>
        </w:rPr>
        <w:t>. Secretaria de Vigilância em Saúde e Ambiente. v. 54, n. 18, 2023. Disponível em: https://www.gov.br/saude.</w:t>
      </w:r>
    </w:p>
    <w:p w14:paraId="3BDC846A" w14:textId="77777777" w:rsidR="007B0422" w:rsidRDefault="007B0422" w:rsidP="00D472F1">
      <w:pPr>
        <w:jc w:val="both"/>
        <w:rPr>
          <w:sz w:val="24"/>
          <w:szCs w:val="24"/>
        </w:rPr>
      </w:pPr>
    </w:p>
    <w:p w14:paraId="51E123CE" w14:textId="31A5ACA2" w:rsidR="007B0422" w:rsidRPr="002135B3" w:rsidRDefault="007B0422" w:rsidP="00D472F1">
      <w:pPr>
        <w:jc w:val="both"/>
        <w:rPr>
          <w:sz w:val="24"/>
          <w:szCs w:val="24"/>
        </w:rPr>
      </w:pPr>
      <w:r w:rsidRPr="002135B3">
        <w:rPr>
          <w:sz w:val="24"/>
          <w:szCs w:val="24"/>
        </w:rPr>
        <w:t xml:space="preserve">CERON, K., et al. Acidentes ofídicos no estado de Santa Catarina, Brasil. </w:t>
      </w:r>
      <w:r w:rsidRPr="001A6104">
        <w:rPr>
          <w:b/>
          <w:bCs/>
          <w:sz w:val="24"/>
          <w:szCs w:val="24"/>
        </w:rPr>
        <w:t>Oecologia Australis</w:t>
      </w:r>
      <w:r w:rsidRPr="002135B3">
        <w:rPr>
          <w:sz w:val="24"/>
          <w:szCs w:val="24"/>
        </w:rPr>
        <w:t>. Anais do Congresso Brasileiro de Herpetologia, 2017. Acesso em: 06 ago. 2023.</w:t>
      </w:r>
    </w:p>
    <w:p w14:paraId="01AB3C47" w14:textId="77777777" w:rsidR="007B0422" w:rsidRDefault="007B0422" w:rsidP="00D472F1">
      <w:pPr>
        <w:jc w:val="both"/>
        <w:rPr>
          <w:sz w:val="24"/>
          <w:szCs w:val="24"/>
        </w:rPr>
      </w:pPr>
    </w:p>
    <w:p w14:paraId="45277645" w14:textId="15D0ADE1" w:rsidR="007B0422" w:rsidRPr="002135B3" w:rsidRDefault="007B0422" w:rsidP="00D472F1">
      <w:pPr>
        <w:jc w:val="both"/>
        <w:rPr>
          <w:sz w:val="24"/>
          <w:szCs w:val="24"/>
        </w:rPr>
      </w:pPr>
      <w:r w:rsidRPr="00D472F1">
        <w:rPr>
          <w:sz w:val="24"/>
          <w:szCs w:val="24"/>
          <w:lang w:val="en-US"/>
        </w:rPr>
        <w:t xml:space="preserve">CHIPPAUX, J. P. Snakebite envenomation turns again into a neglected tropical disease!. </w:t>
      </w:r>
      <w:r w:rsidRPr="00D472F1">
        <w:rPr>
          <w:b/>
          <w:bCs/>
          <w:sz w:val="24"/>
          <w:szCs w:val="24"/>
          <w:lang w:val="en-US"/>
        </w:rPr>
        <w:t>Journal of Venomous Animals and Toxins including Tropical Diseases</w:t>
      </w:r>
      <w:r w:rsidRPr="00D472F1">
        <w:rPr>
          <w:sz w:val="24"/>
          <w:szCs w:val="24"/>
          <w:lang w:val="en-US"/>
        </w:rPr>
        <w:t xml:space="preserve">, v. 23, n. 38, 2017. </w:t>
      </w:r>
      <w:r w:rsidRPr="002135B3">
        <w:rPr>
          <w:sz w:val="24"/>
          <w:szCs w:val="24"/>
        </w:rPr>
        <w:t>DOI: 10.1186/s40409-017-0127-6. Acesso em: 26 fev. 2024.</w:t>
      </w:r>
    </w:p>
    <w:p w14:paraId="658ADEA6" w14:textId="77777777" w:rsidR="007B0422" w:rsidRDefault="007B0422" w:rsidP="00D472F1">
      <w:pPr>
        <w:jc w:val="both"/>
        <w:rPr>
          <w:sz w:val="24"/>
          <w:szCs w:val="24"/>
        </w:rPr>
      </w:pPr>
    </w:p>
    <w:p w14:paraId="777C087A" w14:textId="78E02B44" w:rsidR="000E7C84" w:rsidRDefault="000E7C84" w:rsidP="00D472F1">
      <w:pPr>
        <w:jc w:val="both"/>
        <w:rPr>
          <w:sz w:val="24"/>
          <w:szCs w:val="24"/>
        </w:rPr>
      </w:pPr>
      <w:r w:rsidRPr="000E7C84">
        <w:rPr>
          <w:sz w:val="24"/>
          <w:szCs w:val="24"/>
        </w:rPr>
        <w:t xml:space="preserve">FEITOSA, R. F. G. et al. </w:t>
      </w:r>
      <w:r w:rsidRPr="000E7C84">
        <w:rPr>
          <w:b/>
          <w:bCs/>
          <w:sz w:val="24"/>
          <w:szCs w:val="24"/>
        </w:rPr>
        <w:t>Epidemiologia dos acidentes por serpentes peçonhentas no Brasil.</w:t>
      </w:r>
      <w:r w:rsidRPr="000E7C84">
        <w:rPr>
          <w:sz w:val="24"/>
          <w:szCs w:val="24"/>
        </w:rPr>
        <w:t xml:space="preserve"> </w:t>
      </w:r>
      <w:r w:rsidRPr="000E7C84">
        <w:rPr>
          <w:i/>
          <w:iCs/>
          <w:sz w:val="24"/>
          <w:szCs w:val="24"/>
        </w:rPr>
        <w:lastRenderedPageBreak/>
        <w:t>Revista da Sociedade Brasileira de Medicina Tropical</w:t>
      </w:r>
      <w:r w:rsidRPr="000E7C84">
        <w:rPr>
          <w:sz w:val="24"/>
          <w:szCs w:val="24"/>
        </w:rPr>
        <w:t>, v. 30, n. 3, p. 207-212, 1997. Disponível em: https://www.scielo.br/j/rsbmt/a/pB3MpB9zRfK6CvYRhbQ3hsM/. Acesso em: 15 set. 2025.</w:t>
      </w:r>
    </w:p>
    <w:p w14:paraId="2A30FDE8" w14:textId="77777777" w:rsidR="000E7C84" w:rsidRDefault="000E7C84" w:rsidP="00D472F1">
      <w:pPr>
        <w:jc w:val="both"/>
        <w:rPr>
          <w:sz w:val="24"/>
          <w:szCs w:val="24"/>
        </w:rPr>
      </w:pPr>
    </w:p>
    <w:p w14:paraId="15F10624" w14:textId="2134115D" w:rsidR="007B0422" w:rsidRPr="002135B3" w:rsidRDefault="007B0422" w:rsidP="00D472F1">
      <w:pPr>
        <w:jc w:val="both"/>
        <w:rPr>
          <w:sz w:val="24"/>
          <w:szCs w:val="24"/>
        </w:rPr>
      </w:pPr>
      <w:r w:rsidRPr="002135B3">
        <w:rPr>
          <w:sz w:val="24"/>
          <w:szCs w:val="24"/>
        </w:rPr>
        <w:t xml:space="preserve">FREITAS, J. C. </w:t>
      </w:r>
      <w:r w:rsidRPr="001A6104">
        <w:rPr>
          <w:b/>
          <w:bCs/>
          <w:sz w:val="24"/>
          <w:szCs w:val="24"/>
        </w:rPr>
        <w:t>Nomenclatura em toxinologia, relações com a comunicação química entre organismos e propriedades biológicas das toxinas</w:t>
      </w:r>
      <w:r w:rsidRPr="002135B3">
        <w:rPr>
          <w:sz w:val="24"/>
          <w:szCs w:val="24"/>
        </w:rPr>
        <w:t xml:space="preserve">. </w:t>
      </w:r>
      <w:r w:rsidRPr="001A6104">
        <w:rPr>
          <w:sz w:val="24"/>
          <w:szCs w:val="24"/>
        </w:rPr>
        <w:t>Memórias do Instituto Butantan</w:t>
      </w:r>
      <w:r w:rsidRPr="002135B3">
        <w:rPr>
          <w:sz w:val="24"/>
          <w:szCs w:val="24"/>
        </w:rPr>
        <w:t>, v. 53, p. 191–195, 1991. Acesso em: 18 mar. 2024.</w:t>
      </w:r>
    </w:p>
    <w:p w14:paraId="74D26BC8" w14:textId="77777777" w:rsidR="007B0422" w:rsidRDefault="007B0422" w:rsidP="00D472F1">
      <w:pPr>
        <w:jc w:val="both"/>
        <w:rPr>
          <w:sz w:val="24"/>
          <w:szCs w:val="24"/>
        </w:rPr>
      </w:pPr>
    </w:p>
    <w:p w14:paraId="5A855B15" w14:textId="1B8C6A30" w:rsidR="007B0422" w:rsidRPr="002135B3" w:rsidRDefault="007B0422" w:rsidP="00D472F1">
      <w:pPr>
        <w:jc w:val="both"/>
        <w:rPr>
          <w:sz w:val="24"/>
          <w:szCs w:val="24"/>
        </w:rPr>
      </w:pPr>
      <w:r w:rsidRPr="002135B3">
        <w:rPr>
          <w:sz w:val="24"/>
          <w:szCs w:val="24"/>
        </w:rPr>
        <w:t xml:space="preserve">GUTIÉRREZ, J. M.; CALLE, A.; LOZANO, R.; et al. </w:t>
      </w:r>
      <w:r w:rsidRPr="00D472F1">
        <w:rPr>
          <w:sz w:val="24"/>
          <w:szCs w:val="24"/>
          <w:lang w:val="en-US"/>
        </w:rPr>
        <w:t xml:space="preserve">Snakebite envenoming. </w:t>
      </w:r>
      <w:r w:rsidRPr="00D472F1">
        <w:rPr>
          <w:b/>
          <w:bCs/>
          <w:sz w:val="24"/>
          <w:szCs w:val="24"/>
          <w:lang w:val="en-US"/>
        </w:rPr>
        <w:t>Nature Reviews Disease Primers</w:t>
      </w:r>
      <w:r w:rsidRPr="00D472F1">
        <w:rPr>
          <w:sz w:val="24"/>
          <w:szCs w:val="24"/>
          <w:lang w:val="en-US"/>
        </w:rPr>
        <w:t xml:space="preserve">, v. 7, n. 1, p. 1–21, 2021. </w:t>
      </w:r>
      <w:r w:rsidRPr="002135B3">
        <w:rPr>
          <w:sz w:val="24"/>
          <w:szCs w:val="24"/>
        </w:rPr>
        <w:t>DOI: https://doi.org/10.1038/s41572-021-00280-9.</w:t>
      </w:r>
    </w:p>
    <w:p w14:paraId="490423D2" w14:textId="77777777" w:rsidR="007B0422" w:rsidRPr="002135B3" w:rsidRDefault="007B0422" w:rsidP="00D472F1">
      <w:pPr>
        <w:jc w:val="both"/>
        <w:rPr>
          <w:sz w:val="24"/>
          <w:szCs w:val="24"/>
        </w:rPr>
      </w:pPr>
      <w:r w:rsidRPr="002135B3">
        <w:rPr>
          <w:sz w:val="24"/>
          <w:szCs w:val="24"/>
        </w:rPr>
        <w:t>OLIVEIRA, S. S.; SANTOS, R. M.; LIMA, A. F. Epidemiologia dos acidentes ofídicos no Brasil: uma revisão integrativa</w:t>
      </w:r>
      <w:r w:rsidRPr="001A6104">
        <w:rPr>
          <w:sz w:val="24"/>
          <w:szCs w:val="24"/>
        </w:rPr>
        <w:t>.</w:t>
      </w:r>
      <w:r w:rsidRPr="001A6104">
        <w:rPr>
          <w:b/>
          <w:bCs/>
          <w:sz w:val="24"/>
          <w:szCs w:val="24"/>
        </w:rPr>
        <w:t xml:space="preserve"> Revista Pan-Amazônica de Saúde</w:t>
      </w:r>
      <w:r w:rsidRPr="002135B3">
        <w:rPr>
          <w:sz w:val="24"/>
          <w:szCs w:val="24"/>
        </w:rPr>
        <w:t>, v. 13, n. 2, 2022. DOI: https://doi.org/10.5123/s2176-6223202200025.</w:t>
      </w:r>
    </w:p>
    <w:p w14:paraId="3F78FF92" w14:textId="77777777" w:rsidR="007B0422" w:rsidRDefault="007B0422" w:rsidP="00D472F1">
      <w:pPr>
        <w:jc w:val="both"/>
        <w:rPr>
          <w:sz w:val="24"/>
          <w:szCs w:val="24"/>
        </w:rPr>
      </w:pPr>
    </w:p>
    <w:p w14:paraId="3EDF1E68" w14:textId="477DC846" w:rsidR="007B0422" w:rsidRPr="002135B3" w:rsidRDefault="007B0422" w:rsidP="00D472F1">
      <w:pPr>
        <w:jc w:val="both"/>
        <w:rPr>
          <w:sz w:val="24"/>
          <w:szCs w:val="24"/>
        </w:rPr>
      </w:pPr>
      <w:r w:rsidRPr="002135B3">
        <w:rPr>
          <w:sz w:val="24"/>
          <w:szCs w:val="24"/>
        </w:rPr>
        <w:t xml:space="preserve">RITA, T.; Sisenando, H.; Machado, C. Análise epidemiológica dos acidentes ofídicos no município de Teresópolis - RJ no período de 2007 a 2010. </w:t>
      </w:r>
      <w:r w:rsidRPr="001A6104">
        <w:rPr>
          <w:b/>
          <w:bCs/>
          <w:sz w:val="24"/>
          <w:szCs w:val="24"/>
        </w:rPr>
        <w:t>Revista Ciência Plural</w:t>
      </w:r>
      <w:r w:rsidRPr="002135B3">
        <w:rPr>
          <w:sz w:val="24"/>
          <w:szCs w:val="24"/>
        </w:rPr>
        <w:t>, 2016. DOI: https://doi.org/10.21680/2446-7286.2016v2n2ID9639. Acesso em: 25 ago. 2023.</w:t>
      </w:r>
    </w:p>
    <w:p w14:paraId="06DF929E" w14:textId="77777777" w:rsidR="007B0422" w:rsidRDefault="007B0422" w:rsidP="00D472F1">
      <w:pPr>
        <w:jc w:val="both"/>
        <w:rPr>
          <w:sz w:val="24"/>
          <w:szCs w:val="24"/>
        </w:rPr>
      </w:pPr>
    </w:p>
    <w:p w14:paraId="109E63EF" w14:textId="1FF14B39" w:rsidR="007B0422" w:rsidRPr="002135B3" w:rsidRDefault="007B0422" w:rsidP="00D472F1">
      <w:pPr>
        <w:jc w:val="both"/>
        <w:rPr>
          <w:sz w:val="24"/>
          <w:szCs w:val="24"/>
        </w:rPr>
      </w:pPr>
      <w:r w:rsidRPr="002135B3">
        <w:rPr>
          <w:sz w:val="24"/>
          <w:szCs w:val="24"/>
        </w:rPr>
        <w:t xml:space="preserve">SILVA, D. M.; PEREIRA, A. C.; FREITAS, L. R. Acidentes ofídicos na Amazônia brasileira: perfil epidemiológico e desafios para o controle. </w:t>
      </w:r>
      <w:r w:rsidRPr="001A6104">
        <w:rPr>
          <w:b/>
          <w:bCs/>
          <w:sz w:val="24"/>
          <w:szCs w:val="24"/>
        </w:rPr>
        <w:t>Cadernos de Saúde Pública</w:t>
      </w:r>
      <w:r w:rsidRPr="002135B3">
        <w:rPr>
          <w:sz w:val="24"/>
          <w:szCs w:val="24"/>
        </w:rPr>
        <w:t>, v. 39, n. 4, 2023. DOI: https://doi.org/10.1590/0102-311XPT333123.</w:t>
      </w:r>
    </w:p>
    <w:p w14:paraId="3E74D682" w14:textId="77777777" w:rsidR="007B0422" w:rsidRDefault="007B0422" w:rsidP="00D472F1">
      <w:pPr>
        <w:jc w:val="both"/>
        <w:rPr>
          <w:sz w:val="24"/>
          <w:szCs w:val="24"/>
        </w:rPr>
      </w:pPr>
    </w:p>
    <w:p w14:paraId="276C8DBC" w14:textId="4A0860C2" w:rsidR="007B0422" w:rsidRPr="002135B3" w:rsidRDefault="007B0422" w:rsidP="00D472F1">
      <w:pPr>
        <w:jc w:val="both"/>
        <w:rPr>
          <w:sz w:val="24"/>
          <w:szCs w:val="24"/>
        </w:rPr>
      </w:pPr>
      <w:r w:rsidRPr="00D472F1">
        <w:rPr>
          <w:sz w:val="24"/>
          <w:szCs w:val="24"/>
          <w:lang w:val="en-US"/>
        </w:rPr>
        <w:t xml:space="preserve">WHO. </w:t>
      </w:r>
      <w:r w:rsidRPr="00D472F1">
        <w:rPr>
          <w:b/>
          <w:bCs/>
          <w:sz w:val="24"/>
          <w:szCs w:val="24"/>
          <w:lang w:val="en-US"/>
        </w:rPr>
        <w:t>Snakebite envenoming: a strategy for prevention and control</w:t>
      </w:r>
      <w:r w:rsidRPr="00D472F1">
        <w:rPr>
          <w:sz w:val="24"/>
          <w:szCs w:val="24"/>
          <w:lang w:val="en-US"/>
        </w:rPr>
        <w:t xml:space="preserve">. </w:t>
      </w:r>
      <w:r w:rsidRPr="002135B3">
        <w:rPr>
          <w:sz w:val="24"/>
          <w:szCs w:val="24"/>
        </w:rPr>
        <w:t>Geneva: World Health Organization, 2019.</w:t>
      </w:r>
    </w:p>
    <w:p w14:paraId="74D32050" w14:textId="5ABD99F5" w:rsidR="00DB5854" w:rsidRPr="003949CE" w:rsidRDefault="00DB5854" w:rsidP="00D472F1">
      <w:pPr>
        <w:pStyle w:val="Corpodetexto"/>
        <w:tabs>
          <w:tab w:val="left" w:pos="7797"/>
        </w:tabs>
        <w:spacing w:before="1"/>
        <w:jc w:val="both"/>
      </w:pPr>
    </w:p>
    <w:sectPr w:rsidR="00DB5854" w:rsidRPr="003949CE" w:rsidSect="005A1575">
      <w:headerReference w:type="default" r:id="rId11"/>
      <w:footerReference w:type="default" r:id="rId12"/>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670E" w14:textId="77777777" w:rsidR="009F155F" w:rsidRDefault="009F155F" w:rsidP="005A1575">
      <w:r>
        <w:separator/>
      </w:r>
    </w:p>
  </w:endnote>
  <w:endnote w:type="continuationSeparator" w:id="0">
    <w:p w14:paraId="14BF9945" w14:textId="77777777" w:rsidR="009F155F" w:rsidRDefault="009F155F"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A392" w14:textId="77777777" w:rsidR="009F155F" w:rsidRDefault="009F155F" w:rsidP="005A1575">
      <w:r>
        <w:separator/>
      </w:r>
    </w:p>
  </w:footnote>
  <w:footnote w:type="continuationSeparator" w:id="0">
    <w:p w14:paraId="63A578CF" w14:textId="77777777" w:rsidR="009F155F" w:rsidRDefault="009F155F"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0CD90DA0"/>
    <w:multiLevelType w:val="multilevel"/>
    <w:tmpl w:val="A4BE7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A5DE5"/>
    <w:multiLevelType w:val="multilevel"/>
    <w:tmpl w:val="D87A68B4"/>
    <w:lvl w:ilvl="0">
      <w:start w:val="2"/>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289E633F"/>
    <w:multiLevelType w:val="multilevel"/>
    <w:tmpl w:val="8C22757E"/>
    <w:lvl w:ilvl="0">
      <w:start w:val="4"/>
      <w:numFmt w:val="decimal"/>
      <w:lvlText w:val="%1"/>
      <w:lvlJc w:val="left"/>
      <w:pPr>
        <w:ind w:left="524" w:hanging="404"/>
      </w:pPr>
      <w:rPr>
        <w:rFonts w:ascii="Arial" w:eastAsia="Arial" w:hAnsi="Arial" w:cs="Arial" w:hint="default"/>
        <w:b/>
        <w:bCs/>
        <w:w w:val="99"/>
        <w:sz w:val="24"/>
        <w:szCs w:val="24"/>
        <w:lang w:val="pt-PT" w:eastAsia="en-US" w:bidi="ar-SA"/>
      </w:rPr>
    </w:lvl>
    <w:lvl w:ilvl="1">
      <w:start w:val="1"/>
      <w:numFmt w:val="decimal"/>
      <w:lvlText w:val="%1.%2"/>
      <w:lvlJc w:val="left"/>
      <w:pPr>
        <w:ind w:left="524" w:hanging="404"/>
      </w:pPr>
      <w:rPr>
        <w:rFonts w:ascii="Arial" w:eastAsia="Arial" w:hAnsi="Arial" w:cs="Arial" w:hint="default"/>
        <w:b/>
        <w:bCs/>
        <w:w w:val="99"/>
        <w:sz w:val="24"/>
        <w:szCs w:val="24"/>
        <w:lang w:val="pt-PT" w:eastAsia="en-US" w:bidi="ar-SA"/>
      </w:rPr>
    </w:lvl>
    <w:lvl w:ilvl="2">
      <w:numFmt w:val="bullet"/>
      <w:lvlText w:val="●"/>
      <w:lvlJc w:val="left"/>
      <w:pPr>
        <w:ind w:left="841" w:hanging="360"/>
      </w:pPr>
      <w:rPr>
        <w:rFonts w:ascii="Calibri" w:eastAsia="Calibri" w:hAnsi="Calibri" w:cs="Calibri" w:hint="default"/>
        <w:w w:val="100"/>
        <w:sz w:val="24"/>
        <w:szCs w:val="24"/>
        <w:lang w:val="pt-PT" w:eastAsia="en-US" w:bidi="ar-SA"/>
      </w:rPr>
    </w:lvl>
    <w:lvl w:ilvl="3">
      <w:numFmt w:val="bullet"/>
      <w:lvlText w:val="•"/>
      <w:lvlJc w:val="left"/>
      <w:pPr>
        <w:ind w:left="2904" w:hanging="360"/>
      </w:pPr>
      <w:rPr>
        <w:rFonts w:hint="default"/>
        <w:lang w:val="pt-PT" w:eastAsia="en-US" w:bidi="ar-SA"/>
      </w:rPr>
    </w:lvl>
    <w:lvl w:ilvl="4">
      <w:numFmt w:val="bullet"/>
      <w:lvlText w:val="•"/>
      <w:lvlJc w:val="left"/>
      <w:pPr>
        <w:ind w:left="3937" w:hanging="360"/>
      </w:pPr>
      <w:rPr>
        <w:rFonts w:hint="default"/>
        <w:lang w:val="pt-PT" w:eastAsia="en-US" w:bidi="ar-SA"/>
      </w:rPr>
    </w:lvl>
    <w:lvl w:ilvl="5">
      <w:numFmt w:val="bullet"/>
      <w:lvlText w:val="•"/>
      <w:lvlJc w:val="left"/>
      <w:pPr>
        <w:ind w:left="4969" w:hanging="360"/>
      </w:pPr>
      <w:rPr>
        <w:rFonts w:hint="default"/>
        <w:lang w:val="pt-PT" w:eastAsia="en-US" w:bidi="ar-SA"/>
      </w:rPr>
    </w:lvl>
    <w:lvl w:ilvl="6">
      <w:numFmt w:val="bullet"/>
      <w:lvlText w:val="•"/>
      <w:lvlJc w:val="left"/>
      <w:pPr>
        <w:ind w:left="6001" w:hanging="360"/>
      </w:pPr>
      <w:rPr>
        <w:rFonts w:hint="default"/>
        <w:lang w:val="pt-PT" w:eastAsia="en-US" w:bidi="ar-SA"/>
      </w:rPr>
    </w:lvl>
    <w:lvl w:ilvl="7">
      <w:numFmt w:val="bullet"/>
      <w:lvlText w:val="•"/>
      <w:lvlJc w:val="left"/>
      <w:pPr>
        <w:ind w:left="7034" w:hanging="360"/>
      </w:pPr>
      <w:rPr>
        <w:rFonts w:hint="default"/>
        <w:lang w:val="pt-PT" w:eastAsia="en-US" w:bidi="ar-SA"/>
      </w:rPr>
    </w:lvl>
    <w:lvl w:ilvl="8">
      <w:numFmt w:val="bullet"/>
      <w:lvlText w:val="•"/>
      <w:lvlJc w:val="left"/>
      <w:pPr>
        <w:ind w:left="8066" w:hanging="360"/>
      </w:pPr>
      <w:rPr>
        <w:rFonts w:hint="default"/>
        <w:lang w:val="pt-PT" w:eastAsia="en-US" w:bidi="ar-SA"/>
      </w:rPr>
    </w:lvl>
  </w:abstractNum>
  <w:abstractNum w:abstractNumId="4" w15:restartNumberingAfterBreak="0">
    <w:nsid w:val="424D359B"/>
    <w:multiLevelType w:val="multilevel"/>
    <w:tmpl w:val="51C45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587091"/>
    <w:multiLevelType w:val="multilevel"/>
    <w:tmpl w:val="5568D8E2"/>
    <w:lvl w:ilvl="0">
      <w:start w:val="3"/>
      <w:numFmt w:val="decimal"/>
      <w:lvlText w:val="%1"/>
      <w:lvlJc w:val="left"/>
      <w:pPr>
        <w:ind w:left="523" w:hanging="403"/>
      </w:pPr>
      <w:rPr>
        <w:rFonts w:hint="default"/>
        <w:lang w:val="pt-PT" w:eastAsia="en-US" w:bidi="ar-SA"/>
      </w:rPr>
    </w:lvl>
    <w:lvl w:ilvl="1">
      <w:start w:val="2"/>
      <w:numFmt w:val="decimal"/>
      <w:lvlText w:val="%1.%2"/>
      <w:lvlJc w:val="left"/>
      <w:pPr>
        <w:ind w:left="523" w:hanging="403"/>
      </w:pPr>
      <w:rPr>
        <w:rFonts w:ascii="Arial" w:eastAsia="Arial" w:hAnsi="Arial" w:cs="Arial" w:hint="default"/>
        <w:b/>
        <w:bCs/>
        <w:w w:val="99"/>
        <w:sz w:val="24"/>
        <w:szCs w:val="24"/>
        <w:lang w:val="pt-PT" w:eastAsia="en-US" w:bidi="ar-SA"/>
      </w:rPr>
    </w:lvl>
    <w:lvl w:ilvl="2">
      <w:numFmt w:val="bullet"/>
      <w:lvlText w:val="•"/>
      <w:lvlJc w:val="left"/>
      <w:pPr>
        <w:ind w:left="2442" w:hanging="403"/>
      </w:pPr>
      <w:rPr>
        <w:rFonts w:hint="default"/>
        <w:lang w:val="pt-PT" w:eastAsia="en-US" w:bidi="ar-SA"/>
      </w:rPr>
    </w:lvl>
    <w:lvl w:ilvl="3">
      <w:numFmt w:val="bullet"/>
      <w:lvlText w:val="•"/>
      <w:lvlJc w:val="left"/>
      <w:pPr>
        <w:ind w:left="3403" w:hanging="403"/>
      </w:pPr>
      <w:rPr>
        <w:rFonts w:hint="default"/>
        <w:lang w:val="pt-PT" w:eastAsia="en-US" w:bidi="ar-SA"/>
      </w:rPr>
    </w:lvl>
    <w:lvl w:ilvl="4">
      <w:numFmt w:val="bullet"/>
      <w:lvlText w:val="•"/>
      <w:lvlJc w:val="left"/>
      <w:pPr>
        <w:ind w:left="4364" w:hanging="403"/>
      </w:pPr>
      <w:rPr>
        <w:rFonts w:hint="default"/>
        <w:lang w:val="pt-PT" w:eastAsia="en-US" w:bidi="ar-SA"/>
      </w:rPr>
    </w:lvl>
    <w:lvl w:ilvl="5">
      <w:numFmt w:val="bullet"/>
      <w:lvlText w:val="•"/>
      <w:lvlJc w:val="left"/>
      <w:pPr>
        <w:ind w:left="5325" w:hanging="403"/>
      </w:pPr>
      <w:rPr>
        <w:rFonts w:hint="default"/>
        <w:lang w:val="pt-PT" w:eastAsia="en-US" w:bidi="ar-SA"/>
      </w:rPr>
    </w:lvl>
    <w:lvl w:ilvl="6">
      <w:numFmt w:val="bullet"/>
      <w:lvlText w:val="•"/>
      <w:lvlJc w:val="left"/>
      <w:pPr>
        <w:ind w:left="6286" w:hanging="403"/>
      </w:pPr>
      <w:rPr>
        <w:rFonts w:hint="default"/>
        <w:lang w:val="pt-PT" w:eastAsia="en-US" w:bidi="ar-SA"/>
      </w:rPr>
    </w:lvl>
    <w:lvl w:ilvl="7">
      <w:numFmt w:val="bullet"/>
      <w:lvlText w:val="•"/>
      <w:lvlJc w:val="left"/>
      <w:pPr>
        <w:ind w:left="7247" w:hanging="403"/>
      </w:pPr>
      <w:rPr>
        <w:rFonts w:hint="default"/>
        <w:lang w:val="pt-PT" w:eastAsia="en-US" w:bidi="ar-SA"/>
      </w:rPr>
    </w:lvl>
    <w:lvl w:ilvl="8">
      <w:numFmt w:val="bullet"/>
      <w:lvlText w:val="•"/>
      <w:lvlJc w:val="left"/>
      <w:pPr>
        <w:ind w:left="8208" w:hanging="403"/>
      </w:pPr>
      <w:rPr>
        <w:rFonts w:hint="default"/>
        <w:lang w:val="pt-PT" w:eastAsia="en-US" w:bidi="ar-SA"/>
      </w:rPr>
    </w:lvl>
  </w:abstractNum>
  <w:abstractNum w:abstractNumId="6" w15:restartNumberingAfterBreak="0">
    <w:nsid w:val="60EA2E5F"/>
    <w:multiLevelType w:val="multilevel"/>
    <w:tmpl w:val="70C6D8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56408314">
    <w:abstractNumId w:val="0"/>
  </w:num>
  <w:num w:numId="2" w16cid:durableId="1471943585">
    <w:abstractNumId w:val="3"/>
  </w:num>
  <w:num w:numId="3" w16cid:durableId="356858828">
    <w:abstractNumId w:val="5"/>
  </w:num>
  <w:num w:numId="4" w16cid:durableId="815997793">
    <w:abstractNumId w:val="2"/>
  </w:num>
  <w:num w:numId="5" w16cid:durableId="203758702">
    <w:abstractNumId w:val="6"/>
  </w:num>
  <w:num w:numId="6" w16cid:durableId="1006982731">
    <w:abstractNumId w:val="4"/>
  </w:num>
  <w:num w:numId="7" w16cid:durableId="103442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436E8"/>
    <w:rsid w:val="00050A98"/>
    <w:rsid w:val="00086016"/>
    <w:rsid w:val="000A1B4B"/>
    <w:rsid w:val="000E6288"/>
    <w:rsid w:val="000E7C84"/>
    <w:rsid w:val="00124202"/>
    <w:rsid w:val="00177FDF"/>
    <w:rsid w:val="001E146C"/>
    <w:rsid w:val="00256EAE"/>
    <w:rsid w:val="0028162B"/>
    <w:rsid w:val="002C6E23"/>
    <w:rsid w:val="002F3682"/>
    <w:rsid w:val="0031571D"/>
    <w:rsid w:val="00340B04"/>
    <w:rsid w:val="003949CE"/>
    <w:rsid w:val="00434378"/>
    <w:rsid w:val="004B3806"/>
    <w:rsid w:val="004E409D"/>
    <w:rsid w:val="00527734"/>
    <w:rsid w:val="005A1575"/>
    <w:rsid w:val="005B3DC9"/>
    <w:rsid w:val="00645BA4"/>
    <w:rsid w:val="0069063C"/>
    <w:rsid w:val="007701A8"/>
    <w:rsid w:val="007B00E2"/>
    <w:rsid w:val="007B0422"/>
    <w:rsid w:val="00836259"/>
    <w:rsid w:val="008F290C"/>
    <w:rsid w:val="009506E4"/>
    <w:rsid w:val="009613E3"/>
    <w:rsid w:val="00962C69"/>
    <w:rsid w:val="009F155F"/>
    <w:rsid w:val="009F5D08"/>
    <w:rsid w:val="00A113D8"/>
    <w:rsid w:val="00A44A7D"/>
    <w:rsid w:val="00AA48D3"/>
    <w:rsid w:val="00AC318C"/>
    <w:rsid w:val="00B8445E"/>
    <w:rsid w:val="00C246DD"/>
    <w:rsid w:val="00D472F1"/>
    <w:rsid w:val="00D81E0C"/>
    <w:rsid w:val="00D95DCA"/>
    <w:rsid w:val="00DA3747"/>
    <w:rsid w:val="00DB5854"/>
    <w:rsid w:val="00DE04D3"/>
    <w:rsid w:val="00E5304D"/>
    <w:rsid w:val="00F46632"/>
    <w:rsid w:val="00F948A7"/>
    <w:rsid w:val="00FA7271"/>
    <w:rsid w:val="00FD0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3">
    <w:name w:val="heading 3"/>
    <w:basedOn w:val="Normal"/>
    <w:next w:val="Normal"/>
    <w:link w:val="Ttulo3Char"/>
    <w:uiPriority w:val="9"/>
    <w:unhideWhenUsed/>
    <w:qFormat/>
    <w:rsid w:val="00AA48D3"/>
    <w:pPr>
      <w:keepNext/>
      <w:keepLines/>
      <w:spacing w:before="160" w:after="80"/>
      <w:outlineLvl w:val="2"/>
    </w:pPr>
    <w:rPr>
      <w:rFonts w:ascii="Arial MT" w:eastAsiaTheme="majorEastAsia" w:hAnsi="Arial MT" w:cstheme="majorBidi"/>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124202"/>
    <w:rPr>
      <w:color w:val="0000FF" w:themeColor="hyperlink"/>
      <w:u w:val="single"/>
    </w:rPr>
  </w:style>
  <w:style w:type="character" w:styleId="MenoPendente">
    <w:name w:val="Unresolved Mention"/>
    <w:basedOn w:val="Fontepargpadro"/>
    <w:uiPriority w:val="99"/>
    <w:semiHidden/>
    <w:unhideWhenUsed/>
    <w:rsid w:val="00124202"/>
    <w:rPr>
      <w:color w:val="605E5C"/>
      <w:shd w:val="clear" w:color="auto" w:fill="E1DFDD"/>
    </w:rPr>
  </w:style>
  <w:style w:type="character" w:customStyle="1" w:styleId="Ttulo3Char">
    <w:name w:val="Título 3 Char"/>
    <w:basedOn w:val="Fontepargpadro"/>
    <w:link w:val="Ttulo3"/>
    <w:uiPriority w:val="9"/>
    <w:rsid w:val="00AA48D3"/>
    <w:rPr>
      <w:rFonts w:ascii="Arial MT" w:eastAsiaTheme="majorEastAsia" w:hAnsi="Arial MT" w:cstheme="majorBidi"/>
      <w:color w:val="365F91" w:themeColor="accent1" w:themeShade="BF"/>
      <w:sz w:val="28"/>
      <w:szCs w:val="28"/>
      <w:lang w:val="pt-PT"/>
    </w:rPr>
  </w:style>
  <w:style w:type="table" w:styleId="Tabelacomgrade">
    <w:name w:val="Table Grid"/>
    <w:basedOn w:val="Tabelanormal"/>
    <w:uiPriority w:val="39"/>
    <w:rsid w:val="008F290C"/>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la2001marcel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38E6-F3E1-4B90-84CE-462CDC79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2270</Words>
  <Characters>12263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34</cp:revision>
  <dcterms:created xsi:type="dcterms:W3CDTF">2023-08-30T02:53:00Z</dcterms:created>
  <dcterms:modified xsi:type="dcterms:W3CDTF">2025-11-21T15:22:00Z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