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0A" w:rsidRDefault="00132D0A">
      <w:pPr>
        <w:jc w:val="right"/>
        <w:rPr>
          <w:rFonts w:ascii="Times New Roman" w:eastAsia="Times New Roman" w:hAnsi="Times New Roman" w:cs="Times New Roman"/>
        </w:rPr>
      </w:pPr>
    </w:p>
    <w:p w:rsidR="00132D0A" w:rsidRDefault="009B67D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CURRÍCULO COMO FIGURA</w:t>
      </w:r>
    </w:p>
    <w:p w:rsidR="00132D0A" w:rsidRDefault="00132D0A">
      <w:pPr>
        <w:jc w:val="center"/>
        <w:rPr>
          <w:rFonts w:ascii="Times New Roman" w:eastAsia="Times New Roman" w:hAnsi="Times New Roman" w:cs="Times New Roman"/>
          <w:b/>
        </w:rPr>
      </w:pPr>
    </w:p>
    <w:p w:rsidR="009B67DE" w:rsidRDefault="009B67DE" w:rsidP="009B67D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Sulamita Inácio Freire</w:t>
      </w:r>
      <w:r w:rsidR="00B03D13">
        <w:rPr>
          <w:rFonts w:ascii="Times New Roman" w:eastAsia="Times New Roman" w:hAnsi="Times New Roman" w:cs="Times New Roman"/>
        </w:rPr>
        <w:t xml:space="preserve"> </w:t>
      </w:r>
    </w:p>
    <w:p w:rsidR="00132D0A" w:rsidRDefault="009B67DE" w:rsidP="009B67DE">
      <w:pPr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CAp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/UFRJ –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 xml:space="preserve">/UERJ </w:t>
      </w:r>
    </w:p>
    <w:p w:rsidR="00132D0A" w:rsidRDefault="00132D0A">
      <w:pPr>
        <w:rPr>
          <w:rFonts w:ascii="Times New Roman" w:eastAsia="Times New Roman" w:hAnsi="Times New Roman" w:cs="Times New Roman"/>
        </w:rPr>
      </w:pPr>
    </w:p>
    <w:p w:rsidR="00132D0A" w:rsidRDefault="00132D0A">
      <w:pPr>
        <w:rPr>
          <w:rFonts w:ascii="Times New Roman" w:eastAsia="Times New Roman" w:hAnsi="Times New Roman" w:cs="Times New Roman"/>
        </w:rPr>
      </w:pPr>
    </w:p>
    <w:p w:rsidR="00132D0A" w:rsidRDefault="00132D0A">
      <w:pPr>
        <w:rPr>
          <w:rFonts w:ascii="Times New Roman" w:eastAsia="Times New Roman" w:hAnsi="Times New Roman" w:cs="Times New Roman"/>
        </w:rPr>
      </w:pPr>
    </w:p>
    <w:p w:rsidR="00132D0A" w:rsidRPr="00ED54FE" w:rsidRDefault="00B03D13">
      <w:pPr>
        <w:jc w:val="both"/>
        <w:rPr>
          <w:rFonts w:ascii="Times New Roman" w:eastAsia="Times New Roman" w:hAnsi="Times New Roman" w:cs="Times New Roman"/>
        </w:rPr>
      </w:pPr>
      <w:r w:rsidRPr="00ED54FE">
        <w:rPr>
          <w:rFonts w:ascii="Times New Roman" w:eastAsia="Times New Roman" w:hAnsi="Times New Roman" w:cs="Times New Roman"/>
        </w:rPr>
        <w:t xml:space="preserve">Resumo </w:t>
      </w:r>
    </w:p>
    <w:p w:rsidR="00ED0BBF" w:rsidRPr="00ED54FE" w:rsidRDefault="00ED0BBF">
      <w:pPr>
        <w:jc w:val="both"/>
        <w:rPr>
          <w:rFonts w:ascii="Times New Roman" w:eastAsia="Times New Roman" w:hAnsi="Times New Roman" w:cs="Times New Roman"/>
        </w:rPr>
      </w:pPr>
    </w:p>
    <w:p w:rsidR="00ED0BBF" w:rsidRPr="00ED54FE" w:rsidRDefault="009B67DE" w:rsidP="00ED0BB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D54FE">
        <w:rPr>
          <w:rFonts w:ascii="Times New Roman" w:eastAsia="Times New Roman" w:hAnsi="Times New Roman" w:cs="Times New Roman"/>
        </w:rPr>
        <w:t>Desenvolvida a partir de uma pesquisa em andamento</w:t>
      </w:r>
      <w:r w:rsidR="009B6FA6" w:rsidRPr="00ED54FE">
        <w:rPr>
          <w:rFonts w:ascii="Times New Roman" w:eastAsia="Times New Roman" w:hAnsi="Times New Roman" w:cs="Times New Roman"/>
        </w:rPr>
        <w:t xml:space="preserve"> em recorte pós-estrutural e pós-humanista</w:t>
      </w:r>
      <w:r w:rsidRPr="00ED54FE">
        <w:rPr>
          <w:rFonts w:ascii="Times New Roman" w:eastAsia="Times New Roman" w:hAnsi="Times New Roman" w:cs="Times New Roman"/>
        </w:rPr>
        <w:t xml:space="preserve">, esta proposta de trabalho </w:t>
      </w:r>
      <w:r w:rsidR="00812B08">
        <w:rPr>
          <w:rFonts w:ascii="Times New Roman" w:eastAsia="Times New Roman" w:hAnsi="Times New Roman" w:cs="Times New Roman"/>
        </w:rPr>
        <w:t>desloca a</w:t>
      </w:r>
      <w:r w:rsidRPr="00ED54FE">
        <w:rPr>
          <w:rFonts w:ascii="Times New Roman" w:eastAsia="Times New Roman" w:hAnsi="Times New Roman" w:cs="Times New Roman"/>
        </w:rPr>
        <w:t xml:space="preserve"> pensar currículo como </w:t>
      </w:r>
      <w:r w:rsidRPr="00ED54FE">
        <w:rPr>
          <w:rFonts w:ascii="Times New Roman" w:eastAsia="Times New Roman" w:hAnsi="Times New Roman" w:cs="Times New Roman"/>
          <w:i/>
        </w:rPr>
        <w:t>figura</w:t>
      </w:r>
      <w:r w:rsidRPr="00ED54F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D54FE">
        <w:rPr>
          <w:rFonts w:ascii="Times New Roman" w:eastAsia="Times New Roman" w:hAnsi="Times New Roman" w:cs="Times New Roman"/>
        </w:rPr>
        <w:t>Haraway</w:t>
      </w:r>
      <w:proofErr w:type="spellEnd"/>
      <w:r w:rsidRPr="00ED54FE">
        <w:rPr>
          <w:rFonts w:ascii="Times New Roman" w:eastAsia="Times New Roman" w:hAnsi="Times New Roman" w:cs="Times New Roman"/>
        </w:rPr>
        <w:t xml:space="preserve">, 2022). </w:t>
      </w:r>
      <w:r w:rsidRPr="00ED54FE">
        <w:rPr>
          <w:rFonts w:ascii="Times New Roman" w:eastAsia="Times New Roman" w:hAnsi="Times New Roman" w:cs="Times New Roman"/>
          <w:i/>
        </w:rPr>
        <w:t>Figura</w:t>
      </w:r>
      <w:r w:rsidRPr="00ED54FE">
        <w:rPr>
          <w:rFonts w:ascii="Times New Roman" w:eastAsia="Times New Roman" w:hAnsi="Times New Roman" w:cs="Times New Roman"/>
        </w:rPr>
        <w:t xml:space="preserve"> n</w:t>
      </w:r>
      <w:r w:rsidR="00B03D13" w:rsidRPr="00ED54FE">
        <w:rPr>
          <w:rFonts w:ascii="Times New Roman" w:eastAsia="Times New Roman" w:hAnsi="Times New Roman" w:cs="Times New Roman"/>
        </w:rPr>
        <w:t xml:space="preserve">ão como representação ou interpretação </w:t>
      </w:r>
      <w:r w:rsidR="003B3285" w:rsidRPr="00ED54FE">
        <w:rPr>
          <w:rFonts w:ascii="Times New Roman" w:eastAsia="Times New Roman" w:hAnsi="Times New Roman" w:cs="Times New Roman"/>
        </w:rPr>
        <w:t xml:space="preserve">de qualquer coisa, mas como zona de contato </w:t>
      </w:r>
      <w:r w:rsidR="00B03D13" w:rsidRPr="00ED54FE">
        <w:rPr>
          <w:rFonts w:ascii="Times New Roman" w:eastAsia="Times New Roman" w:hAnsi="Times New Roman" w:cs="Times New Roman"/>
        </w:rPr>
        <w:t>cuja topologia ambivalente</w:t>
      </w:r>
      <w:r w:rsidR="002B73D3" w:rsidRPr="00ED54FE">
        <w:rPr>
          <w:rFonts w:ascii="Times New Roman" w:eastAsia="Times New Roman" w:hAnsi="Times New Roman" w:cs="Times New Roman"/>
        </w:rPr>
        <w:t>, porosa</w:t>
      </w:r>
      <w:r w:rsidR="00ED0BBF" w:rsidRPr="00ED54FE">
        <w:rPr>
          <w:rFonts w:ascii="Times New Roman" w:eastAsia="Times New Roman" w:hAnsi="Times New Roman" w:cs="Times New Roman"/>
        </w:rPr>
        <w:t xml:space="preserve"> e sempre a se modificar provoca</w:t>
      </w:r>
      <w:r w:rsidR="00B03D13" w:rsidRPr="00ED54FE">
        <w:rPr>
          <w:rFonts w:ascii="Times New Roman" w:eastAsia="Times New Roman" w:hAnsi="Times New Roman" w:cs="Times New Roman"/>
        </w:rPr>
        <w:t xml:space="preserve"> a </w:t>
      </w:r>
      <w:r w:rsidR="00812B08">
        <w:rPr>
          <w:rFonts w:ascii="Times New Roman" w:eastAsia="Times New Roman" w:hAnsi="Times New Roman" w:cs="Times New Roman"/>
        </w:rPr>
        <w:t xml:space="preserve">imaginar </w:t>
      </w:r>
      <w:r w:rsidR="00B03D13" w:rsidRPr="00ED54FE">
        <w:rPr>
          <w:rFonts w:ascii="Times New Roman" w:eastAsia="Times New Roman" w:hAnsi="Times New Roman" w:cs="Times New Roman"/>
        </w:rPr>
        <w:t>uma estétic</w:t>
      </w:r>
      <w:r w:rsidR="003B3285" w:rsidRPr="00ED54FE">
        <w:rPr>
          <w:rFonts w:ascii="Times New Roman" w:eastAsia="Times New Roman" w:hAnsi="Times New Roman" w:cs="Times New Roman"/>
        </w:rPr>
        <w:t>a</w:t>
      </w:r>
      <w:r w:rsidR="002B73D3" w:rsidRPr="00ED54FE">
        <w:rPr>
          <w:rFonts w:ascii="Times New Roman" w:eastAsia="Times New Roman" w:hAnsi="Times New Roman" w:cs="Times New Roman"/>
        </w:rPr>
        <w:t xml:space="preserve"> da transformação</w:t>
      </w:r>
      <w:r w:rsidR="00DF2075" w:rsidRPr="00ED54FE">
        <w:rPr>
          <w:rFonts w:ascii="Times New Roman" w:eastAsia="Times New Roman" w:hAnsi="Times New Roman" w:cs="Times New Roman"/>
        </w:rPr>
        <w:t>. Uma estética simultaneamente ética e política que diz respeito à</w:t>
      </w:r>
      <w:r w:rsidR="00ED0BBF" w:rsidRPr="00ED54FE">
        <w:rPr>
          <w:rFonts w:ascii="Times New Roman" w:eastAsia="Times New Roman" w:hAnsi="Times New Roman" w:cs="Times New Roman"/>
        </w:rPr>
        <w:t xml:space="preserve"> criação de espaço-tempo-materialização que mundifica o mundo</w:t>
      </w:r>
      <w:r w:rsidR="00B03D13" w:rsidRPr="00ED54FE">
        <w:rPr>
          <w:rFonts w:ascii="Times New Roman" w:eastAsia="Times New Roman" w:hAnsi="Times New Roman" w:cs="Times New Roman"/>
        </w:rPr>
        <w:t xml:space="preserve">. </w:t>
      </w:r>
      <w:r w:rsidR="00DF2075" w:rsidRPr="00ED54FE">
        <w:rPr>
          <w:rFonts w:ascii="Times New Roman" w:eastAsia="Times New Roman" w:hAnsi="Times New Roman" w:cs="Times New Roman"/>
        </w:rPr>
        <w:t>A partir desta chave</w:t>
      </w:r>
      <w:r w:rsidR="003B3285" w:rsidRPr="00ED54FE">
        <w:rPr>
          <w:rFonts w:ascii="Times New Roman" w:eastAsia="Times New Roman" w:hAnsi="Times New Roman" w:cs="Times New Roman"/>
        </w:rPr>
        <w:t>, defende-se que currículo</w:t>
      </w:r>
      <w:r w:rsidR="00DF2075" w:rsidRPr="00ED54FE">
        <w:rPr>
          <w:rFonts w:ascii="Times New Roman" w:eastAsia="Times New Roman" w:hAnsi="Times New Roman" w:cs="Times New Roman"/>
        </w:rPr>
        <w:t>, assim como a vida,</w:t>
      </w:r>
      <w:r w:rsidR="003B3285" w:rsidRPr="00ED54FE">
        <w:rPr>
          <w:rFonts w:ascii="Times New Roman" w:eastAsia="Times New Roman" w:hAnsi="Times New Roman" w:cs="Times New Roman"/>
        </w:rPr>
        <w:t xml:space="preserve"> </w:t>
      </w:r>
      <w:r w:rsidR="003B3285" w:rsidRPr="00ED54FE">
        <w:rPr>
          <w:rFonts w:ascii="Times New Roman" w:eastAsia="Times New Roman" w:hAnsi="Times New Roman" w:cs="Times New Roman"/>
          <w:color w:val="000000"/>
        </w:rPr>
        <w:t>acontece estando/não estando, lá e cá, a todo instante,  na assunção do risco impossível de invadir e ser invadido pelo desconhecido que afeta, transforma e faz movimentar quer queira ou não.</w:t>
      </w:r>
      <w:r w:rsidR="00ED0BBF" w:rsidRPr="00ED54F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32D0A" w:rsidRPr="00ED54FE" w:rsidRDefault="00132D0A">
      <w:pPr>
        <w:jc w:val="both"/>
        <w:rPr>
          <w:rFonts w:ascii="Times New Roman" w:eastAsia="Times New Roman" w:hAnsi="Times New Roman" w:cs="Times New Roman"/>
        </w:rPr>
      </w:pPr>
    </w:p>
    <w:p w:rsidR="00132D0A" w:rsidRPr="00ED54FE" w:rsidRDefault="00132D0A">
      <w:pPr>
        <w:jc w:val="both"/>
        <w:rPr>
          <w:rFonts w:ascii="Times New Roman" w:eastAsia="Times New Roman" w:hAnsi="Times New Roman" w:cs="Times New Roman"/>
        </w:rPr>
      </w:pPr>
    </w:p>
    <w:p w:rsidR="00132D0A" w:rsidRPr="00ED54FE" w:rsidRDefault="00B03D13">
      <w:pPr>
        <w:jc w:val="both"/>
        <w:rPr>
          <w:rFonts w:ascii="Times New Roman" w:eastAsia="Times New Roman" w:hAnsi="Times New Roman" w:cs="Times New Roman"/>
        </w:rPr>
      </w:pPr>
      <w:r w:rsidRPr="00ED54FE">
        <w:rPr>
          <w:rFonts w:ascii="Times New Roman" w:eastAsia="Times New Roman" w:hAnsi="Times New Roman" w:cs="Times New Roman"/>
        </w:rPr>
        <w:t xml:space="preserve">Palavras Chaves: </w:t>
      </w:r>
      <w:r w:rsidR="009B6FA6" w:rsidRPr="00ED54FE">
        <w:rPr>
          <w:rFonts w:ascii="Times New Roman" w:eastAsia="Times New Roman" w:hAnsi="Times New Roman" w:cs="Times New Roman"/>
        </w:rPr>
        <w:t>Educação; C</w:t>
      </w:r>
      <w:r w:rsidR="00DF2075" w:rsidRPr="00ED54FE">
        <w:rPr>
          <w:rFonts w:ascii="Times New Roman" w:eastAsia="Times New Roman" w:hAnsi="Times New Roman" w:cs="Times New Roman"/>
        </w:rPr>
        <w:t>urrículo; Estética</w:t>
      </w:r>
      <w:r w:rsidR="00D75839">
        <w:rPr>
          <w:rFonts w:ascii="Times New Roman" w:eastAsia="Times New Roman" w:hAnsi="Times New Roman" w:cs="Times New Roman"/>
        </w:rPr>
        <w:t>; Transformação</w:t>
      </w:r>
      <w:bookmarkStart w:id="0" w:name="_GoBack"/>
      <w:bookmarkEnd w:id="0"/>
      <w:r w:rsidR="00DF2075" w:rsidRPr="00ED54FE">
        <w:rPr>
          <w:rFonts w:ascii="Times New Roman" w:eastAsia="Times New Roman" w:hAnsi="Times New Roman" w:cs="Times New Roman"/>
        </w:rPr>
        <w:t>.</w:t>
      </w:r>
    </w:p>
    <w:p w:rsidR="00132D0A" w:rsidRDefault="00132D0A">
      <w:pPr>
        <w:jc w:val="both"/>
        <w:rPr>
          <w:rFonts w:ascii="Times New Roman" w:eastAsia="Times New Roman" w:hAnsi="Times New Roman" w:cs="Times New Roman"/>
        </w:rPr>
      </w:pPr>
    </w:p>
    <w:p w:rsidR="00132D0A" w:rsidRDefault="00132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B67DE" w:rsidRPr="009B67DE" w:rsidRDefault="009B67DE" w:rsidP="009B67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 xml:space="preserve">Este trabalho </w:t>
      </w:r>
      <w:r w:rsidR="003B3285">
        <w:rPr>
          <w:rFonts w:ascii="Times New Roman" w:eastAsia="Times New Roman" w:hAnsi="Times New Roman" w:cs="Times New Roman"/>
          <w:color w:val="000000"/>
        </w:rPr>
        <w:t>emerge a partir de uma pesquisa em andamento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que propõe pensar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 xml:space="preserve">escola </w:t>
      </w:r>
      <w:r w:rsidR="003B3285">
        <w:rPr>
          <w:rFonts w:ascii="Times New Roman" w:eastAsia="Times New Roman" w:hAnsi="Times New Roman" w:cs="Times New Roman"/>
          <w:color w:val="000000"/>
        </w:rPr>
        <w:t>como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>figura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, 2022) </w:t>
      </w:r>
      <w:r w:rsidR="003B3285">
        <w:rPr>
          <w:rFonts w:ascii="Times New Roman" w:eastAsia="Times New Roman" w:hAnsi="Times New Roman" w:cs="Times New Roman"/>
          <w:color w:val="000000"/>
        </w:rPr>
        <w:t xml:space="preserve">topologicamente trêmula, instável, porosa, que a todo tempo transforma e é transformada, 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estetizando-a por meio de uma estética outra, que não tem relação com representação/interpretação, beleza/feiura, mas, sim, com um movimento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friccional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entre tudo e todos que mundifica o mundo. Uma proposta radical que interroga as limitações e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im</w:t>
      </w:r>
      <w:proofErr w:type="spellEnd"/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)possibilidades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 da “teoria curricular, entendida como discurso normativo que delimita o que pode ser significado como currículo e, em certa medida, como educação e escola” (Macedo, 2017, p.359) borrando-a, abrindo-a por meio dela mesma. Sabe-se que a estetização do currículo não é novidade, como bem </w:t>
      </w:r>
      <w:r w:rsidRPr="009B67DE">
        <w:rPr>
          <w:rFonts w:ascii="Times New Roman" w:eastAsia="Times New Roman" w:hAnsi="Times New Roman" w:cs="Times New Roman"/>
          <w:color w:val="000000"/>
        </w:rPr>
        <w:lastRenderedPageBreak/>
        <w:t xml:space="preserve">coloca Anderson Ignácio Oliveira em sua tese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 xml:space="preserve">Estetização da Teoria Curricular 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(2023). Segundo Oliveira, diferentes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curriculistas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brasileiros procuram escapar da previsibilidade e da racionalização curricular por meio da estetização e o fazem por caminhos diversos, de maneira que não há fórmulas prontas ou certas para estetizar. Ao lado da filosofia de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Lyotard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, para quem a “estetização inviabiliza [...] a instituição de uma língua universal que torne possível a síntese entre jogos de linguagem ou o estabelecimento de critérios universais” e há sempre abertura “para que outras formas de estetização aconteçam” (p.18), o pesquisador rejeita uma escrita messiânica ou mesmo qualquer tipo de messianismo. Os messiânicos, segundo ele, “querem salvar o mundo, para conduzi-lo à bem-aventurança. [...]. Opõem-se ao estético” (p.197) na busca por um plano universal que tenta aniquilar a diferença. Paradoxalmente, contudo, o pesquisador conta que a ideia de messianismo ainda hoje reverbera em meio a alguns “que levam adiante uma prática estética”</w:t>
      </w:r>
      <w:r w:rsidR="009B6FA6">
        <w:rPr>
          <w:rFonts w:ascii="Times New Roman" w:eastAsia="Times New Roman" w:hAnsi="Times New Roman" w:cs="Times New Roman"/>
          <w:color w:val="000000"/>
        </w:rPr>
        <w:t xml:space="preserve"> 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(p.197). Acontece que, na sua leitura, esses últimos, na ânsia por resolverem os problemas do mundo, trocam “educação racional” por “sensibilidade” e a apresentam como meio para um determinado fim, instrumentalizando-a como coisa a ser aplicada para formatar um “indivíduo” melhor, “promovendo o controle do outro”  (p.197), assim como fazem aqueles aos quais costumam se 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opor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 e criticar. Esse paradoxo leva Oliveira a defender que “O jogo educacional pode [tanto] ser um programa de controle da vida do outro, como no messianismo, [quanto] [...] pode caminhar para o experimentalismo, ao quebrar com todas as representações na aproximação ao inapresentável” (p.197), à invenção estética, abrindo-o à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acontecimentalidade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no encontro com o que chega. E, uma vez que, como dito anteriormente, o currículo tem a potência de normalizar o que se compreende por realidade (Oliveira, 2022; Macedo, 2017), pensar como ele acontece e pode acontecer de maneira a alargá-la ao ampliar as possibilidades de reconhecimentos e agenciamentos outros, importa. É, então, ao lado de Oliveira que a pesquisa que aqui apresento se coloca e propõe ir um pouco mais longe, abrindo a uma estética outra, para além da ideia de jogos de linguagem, que se assenta sobre um movimento performático de mundo que cria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>figuras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, 2022) que “ajudam a agarrar por dentro a carne </w:t>
      </w:r>
      <w:r w:rsidRPr="009B67DE">
        <w:rPr>
          <w:rFonts w:ascii="Times New Roman" w:eastAsia="Times New Roman" w:hAnsi="Times New Roman" w:cs="Times New Roman"/>
          <w:color w:val="000000"/>
        </w:rPr>
        <w:lastRenderedPageBreak/>
        <w:t>dos emaranhamentos mortais de fazer-mundo” e podem ser pensadas como “zonas de contato”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, 2022, p.11).  De maneira que “não são representações nem ilustrações didáticas, e sim nódulos materiais-semióticos ou laços nos quais diversos corpos e sentidos conformam uns aos outros”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, 2022, p.11). Uma estética que se relaciona à transformação, à fricção que cria espaço-tempo-materialização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Barad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,</w:t>
      </w:r>
      <w:r w:rsidR="009B6FA6">
        <w:rPr>
          <w:rFonts w:ascii="Times New Roman" w:eastAsia="Times New Roman" w:hAnsi="Times New Roman" w:cs="Times New Roman"/>
          <w:color w:val="000000"/>
        </w:rPr>
        <w:t xml:space="preserve"> </w:t>
      </w:r>
      <w:r w:rsidRPr="009B67DE">
        <w:rPr>
          <w:rFonts w:ascii="Times New Roman" w:eastAsia="Times New Roman" w:hAnsi="Times New Roman" w:cs="Times New Roman"/>
          <w:color w:val="000000"/>
        </w:rPr>
        <w:t>2007) que mundifica o mundo. Algo próximo do que Carlos Fausto, em seu livro Ardis da Arte, denomina como estética ameríndia, “na qual as imagens são ambíguas e com múltiplos referentes, encaixam-se umas nas outras e replicam-se ao infinito, produzindo uma topologia equívoca e uma oscilação dinâmica entre figura e fundo” (Fausto, 2023, p.303). Um deslocar estético da ideia de representação/interpretação, da verossimilhança com uma suposta ideia de real e de verdade para o da transformação, da ambivalência, da porosidade. Nesse deslocar, aquilo e aqueles que estão no mundo “[...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]são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 constituídos em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intra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- e interação. Os parceiros não precedem o encontro; espécies de todos os tipos, vivas ou não, resultam de uma dança de encontros que molda sujeitos e objetos”(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, 2022, p.11). Ou seja, tudo e todos são ontologicamente indeterminados antes de se se encontrar. De modo que encontros agem como práticas de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enfronteiramento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, sempre porosos, que criam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>figuras instáveis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que se reconfiguram, transformam-se, 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na medida que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 outros encontros acontecem. Encontros criam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>seres/coisas corriqueiros/as (</w:t>
      </w:r>
      <w:proofErr w:type="spellStart"/>
      <w:r w:rsidRPr="009B67DE">
        <w:rPr>
          <w:rFonts w:ascii="Times New Roman" w:eastAsia="Times New Roman" w:hAnsi="Times New Roman" w:cs="Times New Roman"/>
          <w:i/>
          <w:iCs/>
          <w:color w:val="000000"/>
        </w:rPr>
        <w:t>Barad</w:t>
      </w:r>
      <w:proofErr w:type="spellEnd"/>
      <w:r w:rsidRPr="009B67DE">
        <w:rPr>
          <w:rFonts w:ascii="Times New Roman" w:eastAsia="Times New Roman" w:hAnsi="Times New Roman" w:cs="Times New Roman"/>
          <w:i/>
          <w:iCs/>
          <w:color w:val="000000"/>
        </w:rPr>
        <w:t xml:space="preserve">, 2007; </w:t>
      </w:r>
      <w:proofErr w:type="spellStart"/>
      <w:r w:rsidRPr="009B67DE">
        <w:rPr>
          <w:rFonts w:ascii="Times New Roman" w:eastAsia="Times New Roman" w:hAnsi="Times New Roman" w:cs="Times New Roman"/>
          <w:i/>
          <w:iCs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i/>
          <w:iCs/>
          <w:color w:val="000000"/>
        </w:rPr>
        <w:t>, 2022)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enlaçados/as, que produzem sentidos e misturam-se àqueles/as que as respondem em reorganizações imprevisíveis. Assim, é possível pensar que currículo, escola, educação, entre tantos outros nomes/coisas/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que são reiterados continuamente mundificando o mundo no qual vivemos e agimos, emergem como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>figuras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a partir de encontros que as configuram e reconfiguram a todo tempo em múltiplas direções. Consequentemente, qualquer ideia de escrita/pesquisa/projeto que entende  </w:t>
      </w:r>
      <w:r w:rsidRPr="009B67DE">
        <w:rPr>
          <w:rFonts w:ascii="Times New Roman" w:eastAsia="Times New Roman" w:hAnsi="Times New Roman" w:cs="Times New Roman"/>
          <w:i/>
          <w:iCs/>
          <w:color w:val="000000"/>
        </w:rPr>
        <w:t>partir de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 xml:space="preserve"> ou seja</w:t>
      </w:r>
      <w:proofErr w:type="gramEnd"/>
      <w:r w:rsidRPr="009B67DE">
        <w:rPr>
          <w:rFonts w:ascii="Times New Roman" w:eastAsia="Times New Roman" w:hAnsi="Times New Roman" w:cs="Times New Roman"/>
          <w:i/>
          <w:iCs/>
          <w:color w:val="000000"/>
        </w:rPr>
        <w:t xml:space="preserve"> para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um sujeito pronto, autônomo e autoconsciente, que faz a si mesmo, torna-se inviável. Um chacoalhar de ideias que põe em xeque a centralidade humana em meio às outras espécies (vivas ou não) e entende a vida e a morte na Terra - assim como a escola, o currículo ou mesmo </w:t>
      </w:r>
      <w:r w:rsidRPr="009B67DE">
        <w:rPr>
          <w:rFonts w:ascii="Times New Roman" w:eastAsia="Times New Roman" w:hAnsi="Times New Roman" w:cs="Times New Roman"/>
          <w:color w:val="000000"/>
        </w:rPr>
        <w:lastRenderedPageBreak/>
        <w:t>este texto -, como um jogo complexo entre tudo e todos em infinitas direções. Nesse jogo é o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ind w:left="2268"/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[...</w:t>
      </w:r>
      <w:proofErr w:type="gramStart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]toque</w:t>
      </w:r>
      <w:proofErr w:type="gramEnd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[que] ramifica e molda a prestação de contas. Prestar </w:t>
      </w:r>
      <w:proofErr w:type="gramStart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contas ,</w:t>
      </w:r>
      <w:proofErr w:type="gramEnd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cuidar, ser afetado e entrar na responsabilidade não são abstrações éticas; essas coisas mundanas e prosaicas são o resultado de nos envolvermos uns com os outros. O toque não torna alguém pequeno; salpica os parceiros com locais de vínculo para a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mundificação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Tocar, considerar, devolver o olhar, devir-com… tudo isso nos </w:t>
      </w:r>
      <w:proofErr w:type="gramStart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torna responsáveis pelas maneiras imprevisíveis nas quais os mundos tomam forma</w:t>
      </w:r>
      <w:proofErr w:type="gramEnd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No toque e no olhar, os parceiros, querendo ou não, </w:t>
      </w:r>
      <w:proofErr w:type="gramStart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estão</w:t>
      </w:r>
      <w:proofErr w:type="gramEnd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lama miscigenada que infunde nosso corpo com tudo o que trouxe esse contato à existência.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sz w:val="22"/>
          <w:szCs w:val="22"/>
        </w:rPr>
        <w:t>, 2022, p.58).</w:t>
      </w:r>
    </w:p>
    <w:p w:rsidR="009B67DE" w:rsidRPr="009B67DE" w:rsidRDefault="009B67DE" w:rsidP="009B67DE">
      <w:pPr>
        <w:spacing w:after="240"/>
        <w:rPr>
          <w:rFonts w:ascii="Times New Roman" w:eastAsia="Times New Roman" w:hAnsi="Times New Roman" w:cs="Times New Roman"/>
        </w:rPr>
      </w:pPr>
    </w:p>
    <w:p w:rsidR="009B67DE" w:rsidRPr="009B67DE" w:rsidRDefault="009B67DE" w:rsidP="009B6FA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>Uma aposta que “não se trata de algo totalmente novo, em oposição ou fora do mundo que está aí”</w:t>
      </w:r>
      <w:r w:rsidR="009B6FA6">
        <w:rPr>
          <w:rFonts w:ascii="Times New Roman" w:eastAsia="Times New Roman" w:hAnsi="Times New Roman" w:cs="Times New Roman"/>
          <w:color w:val="000000"/>
        </w:rPr>
        <w:t xml:space="preserve"> </w:t>
      </w:r>
      <w:r w:rsidRPr="009B67DE">
        <w:rPr>
          <w:rFonts w:ascii="Times New Roman" w:eastAsia="Times New Roman" w:hAnsi="Times New Roman" w:cs="Times New Roman"/>
          <w:color w:val="000000"/>
        </w:rPr>
        <w:t>(Macedo e Miller, 2022, p.10), mas que muitas vezes não é assumida nos limites que regem a realidade e insistem em ontologias substantivas em prol de projetos de futuros imaginados (Macedo e Miller, 2022, p.10). Aqui,  currículo não pede licença e não tem ponto final, acontece estando/não estando, lá e cá, a todo instante,  na assunção do risco impossível de invadir e ser invadido pelo desconhecido que afeta, transforma e faz movimentar quer queira ou não. Alicerça-se não em uma linguagem única universal, em uma ideia “certa” de entendê-lo/fazê-lo, ou mesmo em jogos de linguagem ainda voltados à esfera humana, mas numa “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 xml:space="preserve">poderosa e herética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heteroglossia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” (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Haraway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>, 2009, p.99)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 entre tudo/todos (bióticos, abióticos, coisas, etc.) envolvidos em suas parcialidades e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contigencialidades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históricas na relação, no fazer-com. Uma possibilidade - quem sabe? - de habitar a imensa confusão do vir a ser curricular sem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objetificá-la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ou reduzi-la a isto ou aquilo.</w:t>
      </w:r>
    </w:p>
    <w:p w:rsidR="009B67DE" w:rsidRPr="009B67DE" w:rsidRDefault="009B67DE" w:rsidP="009B67DE">
      <w:pPr>
        <w:spacing w:line="360" w:lineRule="auto"/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spacing w:before="24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B67DE">
        <w:rPr>
          <w:rFonts w:ascii="Times New Roman" w:eastAsia="Times New Roman" w:hAnsi="Times New Roman" w:cs="Times New Roman"/>
          <w:color w:val="000000"/>
          <w:lang w:val="en-US"/>
        </w:rPr>
        <w:t>Referências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9B67DE" w:rsidRPr="009B67DE" w:rsidRDefault="009B67DE" w:rsidP="009B67DE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  <w:lang w:val="en-US"/>
        </w:rPr>
        <w:t xml:space="preserve">BARAD, Karen. </w:t>
      </w:r>
      <w:proofErr w:type="gramStart"/>
      <w:r w:rsidRPr="009B67D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Meeting the Universe Halfway: Quantum Physics and the Entanglement of Matter and Meaning.</w:t>
      </w:r>
      <w:proofErr w:type="gram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Duke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University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Press, Durham, 2007.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lastRenderedPageBreak/>
        <w:t xml:space="preserve">FAUSTO, Carlos. 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>Ardis da Arte: Imagem, Agência e Ritual na Amazônia.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Editora da Universidade de São Paulo: São Paulo, 2023.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>HARAWAY, Donna.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 xml:space="preserve"> Ficar com o problema. 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Tradução de Ana Luiza Braga. 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n-1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>edições: 2023.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  <w:lang w:val="en-US"/>
        </w:rPr>
      </w:pPr>
      <w:r w:rsidRPr="009B67DE">
        <w:rPr>
          <w:rFonts w:ascii="Times New Roman" w:eastAsia="Times New Roman" w:hAnsi="Times New Roman" w:cs="Times New Roman"/>
          <w:color w:val="000000"/>
        </w:rPr>
        <w:t xml:space="preserve">HARAWAY, Donna; KUNZRU,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Hari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; TADEU, Tomaz. 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 xml:space="preserve">Manifesto </w:t>
      </w:r>
      <w:proofErr w:type="spellStart"/>
      <w:r w:rsidRPr="009B67DE">
        <w:rPr>
          <w:rFonts w:ascii="Times New Roman" w:eastAsia="Times New Roman" w:hAnsi="Times New Roman" w:cs="Times New Roman"/>
          <w:b/>
          <w:bCs/>
          <w:color w:val="000000"/>
        </w:rPr>
        <w:t>Ciborgue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in Antropologia do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Ciborgue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: as vertigens do pós-humano. 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p.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33-118. </w:t>
      </w:r>
      <w:proofErr w:type="spellStart"/>
      <w:proofErr w:type="gramStart"/>
      <w:r w:rsidRPr="009B67DE">
        <w:rPr>
          <w:rFonts w:ascii="Times New Roman" w:eastAsia="Times New Roman" w:hAnsi="Times New Roman" w:cs="Times New Roman"/>
          <w:color w:val="000000"/>
          <w:lang w:val="en-US"/>
        </w:rPr>
        <w:t>Tradução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  <w:lang w:val="en-US"/>
        </w:rPr>
        <w:t>Tomaz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  <w:lang w:val="en-US"/>
        </w:rPr>
        <w:t>Tadeu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gram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 xml:space="preserve"> Belo Horizonte: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  <w:lang w:val="en-US"/>
        </w:rPr>
        <w:t>Autêntica</w:t>
      </w:r>
      <w:proofErr w:type="spellEnd"/>
      <w:r w:rsidRPr="009B67DE">
        <w:rPr>
          <w:rFonts w:ascii="Times New Roman" w:eastAsia="Times New Roman" w:hAnsi="Times New Roman" w:cs="Times New Roman"/>
          <w:color w:val="000000"/>
          <w:lang w:val="en-US"/>
        </w:rPr>
        <w:t>, 2009.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  <w:lang w:val="en-US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 xml:space="preserve">HARAWAY, Donna. 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>Quando as espécies se encontram.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Tradução de Juliana Fausto. São Paulo: </w:t>
      </w:r>
      <w:proofErr w:type="spellStart"/>
      <w:r w:rsidRPr="009B67DE">
        <w:rPr>
          <w:rFonts w:ascii="Times New Roman" w:eastAsia="Times New Roman" w:hAnsi="Times New Roman" w:cs="Times New Roman"/>
          <w:color w:val="000000"/>
        </w:rPr>
        <w:t>Ubu</w:t>
      </w:r>
      <w:proofErr w:type="spellEnd"/>
      <w:r w:rsidRPr="009B67DE">
        <w:rPr>
          <w:rFonts w:ascii="Times New Roman" w:eastAsia="Times New Roman" w:hAnsi="Times New Roman" w:cs="Times New Roman"/>
          <w:color w:val="000000"/>
        </w:rPr>
        <w:t xml:space="preserve"> Editora, 2022.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>MACEDO, Elizabeth; MILLER, Janet. L.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 xml:space="preserve"> Por um currículo “outro”: autonomia e </w:t>
      </w:r>
      <w:proofErr w:type="spellStart"/>
      <w:r w:rsidRPr="009B67DE">
        <w:rPr>
          <w:rFonts w:ascii="Times New Roman" w:eastAsia="Times New Roman" w:hAnsi="Times New Roman" w:cs="Times New Roman"/>
          <w:b/>
          <w:bCs/>
          <w:color w:val="000000"/>
        </w:rPr>
        <w:t>relacionalidade</w:t>
      </w:r>
      <w:proofErr w:type="spellEnd"/>
      <w:r w:rsidRPr="009B67DE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Pr="009B67DE">
        <w:rPr>
          <w:rFonts w:ascii="Times New Roman" w:eastAsia="Times New Roman" w:hAnsi="Times New Roman" w:cs="Times New Roman"/>
          <w:color w:val="000000"/>
        </w:rPr>
        <w:t>Currículo sem fronteiras, v.22: e1153, 2022.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>MACEDO, Elizabeth. Mas a escola não tem que ensinar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?: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conhecimento</w:t>
      </w:r>
      <w:proofErr w:type="gramEnd"/>
      <w:r w:rsidRPr="009B67DE">
        <w:rPr>
          <w:rFonts w:ascii="Times New Roman" w:eastAsia="Times New Roman" w:hAnsi="Times New Roman" w:cs="Times New Roman"/>
          <w:color w:val="000000"/>
        </w:rPr>
        <w:t xml:space="preserve">, reconhecimento e alteridade na teoria do currículo. 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>Currículo sem Fronteiras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, [s. l.], v. 17, n. 3, p. 539-554, set./dez. 2017. Disponível </w:t>
      </w:r>
      <w:proofErr w:type="gramStart"/>
      <w:r w:rsidRPr="009B67DE">
        <w:rPr>
          <w:rFonts w:ascii="Times New Roman" w:eastAsia="Times New Roman" w:hAnsi="Times New Roman" w:cs="Times New Roman"/>
          <w:color w:val="000000"/>
        </w:rPr>
        <w:t>em:</w:t>
      </w:r>
      <w:proofErr w:type="gramEnd"/>
      <w:hyperlink r:id="rId9" w:history="1">
        <w:r w:rsidRPr="009B67DE">
          <w:rPr>
            <w:rFonts w:ascii="Times New Roman" w:eastAsia="Times New Roman" w:hAnsi="Times New Roman" w:cs="Times New Roman"/>
            <w:color w:val="1155CC"/>
            <w:u w:val="single"/>
          </w:rPr>
          <w:t xml:space="preserve"> www.curriculosemfronteiras.org/vol17iss3articles/macedo.pdf</w:t>
        </w:r>
      </w:hyperlink>
      <w:r w:rsidRPr="009B67DE">
        <w:rPr>
          <w:rFonts w:ascii="Times New Roman" w:eastAsia="Times New Roman" w:hAnsi="Times New Roman" w:cs="Times New Roman"/>
          <w:color w:val="000000"/>
        </w:rPr>
        <w:t>. Acesso em: 25 de jan. 2024.</w:t>
      </w:r>
    </w:p>
    <w:p w:rsidR="009B67DE" w:rsidRPr="009B67DE" w:rsidRDefault="009B67DE" w:rsidP="009B67DE">
      <w:pPr>
        <w:rPr>
          <w:rFonts w:ascii="Times New Roman" w:eastAsia="Times New Roman" w:hAnsi="Times New Roman" w:cs="Times New Roman"/>
        </w:rPr>
      </w:pPr>
    </w:p>
    <w:p w:rsidR="009B67DE" w:rsidRPr="009B67DE" w:rsidRDefault="009B67DE" w:rsidP="009B67DE">
      <w:pPr>
        <w:jc w:val="both"/>
        <w:rPr>
          <w:rFonts w:ascii="Times New Roman" w:eastAsia="Times New Roman" w:hAnsi="Times New Roman" w:cs="Times New Roman"/>
        </w:rPr>
      </w:pPr>
      <w:r w:rsidRPr="009B67DE">
        <w:rPr>
          <w:rFonts w:ascii="Times New Roman" w:eastAsia="Times New Roman" w:hAnsi="Times New Roman" w:cs="Times New Roman"/>
          <w:color w:val="000000"/>
        </w:rPr>
        <w:t xml:space="preserve">OLIVEIRA, Anderson I. </w:t>
      </w:r>
      <w:r w:rsidRPr="009B67DE">
        <w:rPr>
          <w:rFonts w:ascii="Times New Roman" w:eastAsia="Times New Roman" w:hAnsi="Times New Roman" w:cs="Times New Roman"/>
          <w:b/>
          <w:bCs/>
          <w:color w:val="000000"/>
        </w:rPr>
        <w:t>Estetização da teoria curricular.</w:t>
      </w:r>
      <w:r w:rsidRPr="009B67DE">
        <w:rPr>
          <w:rFonts w:ascii="Times New Roman" w:eastAsia="Times New Roman" w:hAnsi="Times New Roman" w:cs="Times New Roman"/>
          <w:color w:val="000000"/>
        </w:rPr>
        <w:t xml:space="preserve"> Tese (Doutorado em Educação) - Universidade do Estado do Rio de Janeiro, Rio de Janeiro, 2023.</w:t>
      </w:r>
    </w:p>
    <w:p w:rsidR="009B67DE" w:rsidRDefault="009B67DE">
      <w:pPr>
        <w:rPr>
          <w:rFonts w:ascii="Times New Roman" w:eastAsia="Times New Roman" w:hAnsi="Times New Roman" w:cs="Times New Roman"/>
        </w:rPr>
      </w:pPr>
    </w:p>
    <w:p w:rsidR="009B67DE" w:rsidRDefault="009B67DE">
      <w:pPr>
        <w:rPr>
          <w:rFonts w:ascii="Times New Roman" w:eastAsia="Times New Roman" w:hAnsi="Times New Roman" w:cs="Times New Roman"/>
        </w:rPr>
      </w:pPr>
    </w:p>
    <w:p w:rsidR="009B67DE" w:rsidRDefault="009B67DE">
      <w:pPr>
        <w:rPr>
          <w:rFonts w:ascii="Times New Roman" w:eastAsia="Times New Roman" w:hAnsi="Times New Roman" w:cs="Times New Roman"/>
        </w:rPr>
      </w:pPr>
    </w:p>
    <w:p w:rsidR="00132D0A" w:rsidRDefault="00132D0A">
      <w:pPr>
        <w:rPr>
          <w:rFonts w:ascii="Times New Roman" w:eastAsia="Times New Roman" w:hAnsi="Times New Roman" w:cs="Times New Roman"/>
        </w:rPr>
      </w:pPr>
    </w:p>
    <w:sectPr w:rsidR="00132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95" w:rsidRDefault="00840595">
      <w:r>
        <w:separator/>
      </w:r>
    </w:p>
  </w:endnote>
  <w:endnote w:type="continuationSeparator" w:id="0">
    <w:p w:rsidR="00840595" w:rsidRDefault="0084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95" w:rsidRDefault="00840595">
      <w:r>
        <w:separator/>
      </w:r>
    </w:p>
  </w:footnote>
  <w:footnote w:type="continuationSeparator" w:id="0">
    <w:p w:rsidR="00840595" w:rsidRDefault="0084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3" w:rsidRDefault="00B03D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3BE"/>
    <w:multiLevelType w:val="multilevel"/>
    <w:tmpl w:val="6C64D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D1D691F"/>
    <w:multiLevelType w:val="multilevel"/>
    <w:tmpl w:val="0F966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2D0A"/>
    <w:rsid w:val="00132D0A"/>
    <w:rsid w:val="002B73D3"/>
    <w:rsid w:val="003B3285"/>
    <w:rsid w:val="003D4A02"/>
    <w:rsid w:val="00812B08"/>
    <w:rsid w:val="00840595"/>
    <w:rsid w:val="009B67DE"/>
    <w:rsid w:val="009B6FA6"/>
    <w:rsid w:val="00AB500A"/>
    <w:rsid w:val="00B03D13"/>
    <w:rsid w:val="00D75839"/>
    <w:rsid w:val="00DF2075"/>
    <w:rsid w:val="00ED0BBF"/>
    <w:rsid w:val="00E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7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7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B6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7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7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B6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rriculosemfronteiras.org/vol17iss3articles/maced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Sula</cp:lastModifiedBy>
  <cp:revision>3</cp:revision>
  <dcterms:created xsi:type="dcterms:W3CDTF">2024-05-16T18:26:00Z</dcterms:created>
  <dcterms:modified xsi:type="dcterms:W3CDTF">2024-05-16T18:31:00Z</dcterms:modified>
</cp:coreProperties>
</file>