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8390D" w14:textId="0C14F3C2" w:rsidR="005B3E8A" w:rsidRDefault="00732473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PARALISIA PERIÓDICA HIPERCAL</w:t>
      </w:r>
      <w:r w:rsidR="0029128B">
        <w:rPr>
          <w:rFonts w:ascii="Arial" w:eastAsia="Arial" w:hAnsi="Arial" w:cs="Arial"/>
          <w:b/>
          <w:smallCaps/>
          <w:sz w:val="22"/>
          <w:szCs w:val="22"/>
        </w:rPr>
        <w:t>Ê</w:t>
      </w:r>
      <w:r>
        <w:rPr>
          <w:rFonts w:ascii="Arial" w:eastAsia="Arial" w:hAnsi="Arial" w:cs="Arial"/>
          <w:b/>
          <w:smallCaps/>
          <w:sz w:val="22"/>
          <w:szCs w:val="22"/>
        </w:rPr>
        <w:t>MICA EM CAVALOS QUARTO DE MILHA</w:t>
      </w:r>
    </w:p>
    <w:p w14:paraId="2E816923" w14:textId="1D6D76CA" w:rsidR="005B3E8A" w:rsidRDefault="007324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Carolina Esther Santiago Soares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1</w:t>
      </w:r>
      <w:r w:rsidR="00034083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Paula Nathiele</w:t>
      </w:r>
      <w:r w:rsidR="00443D92">
        <w:rPr>
          <w:rFonts w:ascii="Arial" w:eastAsia="Arial" w:hAnsi="Arial" w:cs="Arial"/>
          <w:b/>
          <w:color w:val="000000"/>
        </w:rPr>
        <w:t xml:space="preserve"> </w:t>
      </w:r>
      <w:r w:rsidR="00443D92" w:rsidRPr="00443D92">
        <w:rPr>
          <w:rFonts w:ascii="Arial" w:eastAsia="Arial" w:hAnsi="Arial" w:cs="Arial"/>
          <w:b/>
          <w:color w:val="000000"/>
        </w:rPr>
        <w:t>Alves Manassés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1</w:t>
      </w:r>
      <w:r w:rsidR="00034083">
        <w:rPr>
          <w:rFonts w:ascii="Arial" w:eastAsia="Arial" w:hAnsi="Arial" w:cs="Arial"/>
          <w:b/>
          <w:color w:val="000000"/>
        </w:rPr>
        <w:t xml:space="preserve">, </w:t>
      </w:r>
      <w:r w:rsidR="0096342B" w:rsidRPr="0096342B">
        <w:rPr>
          <w:rFonts w:ascii="Arial" w:eastAsia="Arial" w:hAnsi="Arial" w:cs="Arial"/>
          <w:b/>
          <w:color w:val="000000"/>
        </w:rPr>
        <w:t>Bruna Rocha de Oliveira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2</w:t>
      </w:r>
      <w:r w:rsidR="00034083">
        <w:rPr>
          <w:rFonts w:ascii="Arial" w:eastAsia="Arial" w:hAnsi="Arial" w:cs="Arial"/>
          <w:b/>
          <w:color w:val="000000"/>
        </w:rPr>
        <w:t xml:space="preserve"> e </w:t>
      </w:r>
      <w:r w:rsidRPr="00732473">
        <w:rPr>
          <w:rFonts w:ascii="Arial" w:eastAsia="Arial" w:hAnsi="Arial" w:cs="Arial"/>
          <w:b/>
          <w:color w:val="000000"/>
        </w:rPr>
        <w:t>Ana Luisa Soares de Miranda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3</w:t>
      </w:r>
      <w:r w:rsidR="00034083">
        <w:rPr>
          <w:rFonts w:ascii="Arial" w:eastAsia="Arial" w:hAnsi="Arial" w:cs="Arial"/>
          <w:b/>
          <w:color w:val="000000"/>
        </w:rPr>
        <w:t>.</w:t>
      </w:r>
    </w:p>
    <w:p w14:paraId="35AB2D25" w14:textId="7DFC5BDC" w:rsidR="005B3E8A" w:rsidRDefault="000340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 w:rsidR="00732473">
        <w:rPr>
          <w:rFonts w:ascii="Arial" w:eastAsia="Arial" w:hAnsi="Arial" w:cs="Arial"/>
          <w:i/>
          <w:color w:val="000000"/>
          <w:sz w:val="14"/>
          <w:szCs w:val="14"/>
        </w:rPr>
        <w:t>carolina_esther@hot</w:t>
      </w:r>
      <w:r>
        <w:rPr>
          <w:rFonts w:ascii="Arial" w:eastAsia="Arial" w:hAnsi="Arial" w:cs="Arial"/>
          <w:i/>
          <w:color w:val="000000"/>
          <w:sz w:val="14"/>
          <w:szCs w:val="14"/>
        </w:rPr>
        <w:t>mail.com</w:t>
      </w:r>
    </w:p>
    <w:p w14:paraId="02EFBE96" w14:textId="78BD3431" w:rsidR="005B3E8A" w:rsidRDefault="000340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 Veterinária autônoma</w:t>
      </w:r>
    </w:p>
    <w:p w14:paraId="426F2150" w14:textId="0D883629" w:rsidR="005B3E8A" w:rsidRDefault="00034083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732473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3C5DC2F8" w14:textId="77777777" w:rsidR="005B3E8A" w:rsidRDefault="005B3E8A" w:rsidP="006E248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740D8AD1" w14:textId="77777777" w:rsidR="005B3E8A" w:rsidRDefault="005B3E8A" w:rsidP="006E248B">
      <w:pPr>
        <w:spacing w:afterLines="40" w:after="96"/>
        <w:rPr>
          <w:rFonts w:ascii="Arial" w:eastAsia="Arial" w:hAnsi="Arial" w:cs="Arial"/>
        </w:rPr>
        <w:sectPr w:rsidR="005B3E8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46937540" w14:textId="77777777"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31C6CB2" w14:textId="2491AF91" w:rsidR="009F18C3" w:rsidRPr="00530D64" w:rsidRDefault="0029128B" w:rsidP="00530D64">
      <w:pPr>
        <w:spacing w:before="40" w:afterLines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r w:rsidR="000A3670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aralisia </w:t>
      </w:r>
      <w:r w:rsidR="000A3670"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eriódica </w:t>
      </w:r>
      <w:r w:rsidR="000A3670"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ipercalêmica</w:t>
      </w:r>
      <w:r w:rsidR="000A3670">
        <w:rPr>
          <w:rFonts w:ascii="Arial" w:eastAsia="Arial" w:hAnsi="Arial" w:cs="Arial"/>
          <w:sz w:val="18"/>
          <w:szCs w:val="18"/>
        </w:rPr>
        <w:t xml:space="preserve"> (HYPP)</w:t>
      </w:r>
      <w:r>
        <w:rPr>
          <w:rFonts w:ascii="Arial" w:eastAsia="Arial" w:hAnsi="Arial" w:cs="Arial"/>
          <w:sz w:val="18"/>
          <w:szCs w:val="18"/>
        </w:rPr>
        <w:t xml:space="preserve"> foi descoberta </w:t>
      </w:r>
      <w:r w:rsidR="00FB5428">
        <w:rPr>
          <w:rFonts w:ascii="Arial" w:eastAsia="Arial" w:hAnsi="Arial" w:cs="Arial"/>
          <w:sz w:val="18"/>
          <w:szCs w:val="18"/>
        </w:rPr>
        <w:t>há</w:t>
      </w:r>
      <w:r>
        <w:rPr>
          <w:rFonts w:ascii="Arial" w:eastAsia="Arial" w:hAnsi="Arial" w:cs="Arial"/>
          <w:sz w:val="18"/>
          <w:szCs w:val="18"/>
        </w:rPr>
        <w:t xml:space="preserve"> mais de 20 anos, desencadeando em cavalos Quarto de Milha,</w:t>
      </w:r>
      <w:r w:rsidR="00530D64">
        <w:rPr>
          <w:rFonts w:ascii="Arial" w:eastAsia="Arial" w:hAnsi="Arial" w:cs="Arial"/>
          <w:sz w:val="18"/>
          <w:szCs w:val="18"/>
        </w:rPr>
        <w:t xml:space="preserve"> crises de fasciculações</w:t>
      </w:r>
      <w:r>
        <w:rPr>
          <w:rFonts w:ascii="Arial" w:eastAsia="Arial" w:hAnsi="Arial" w:cs="Arial"/>
          <w:sz w:val="18"/>
          <w:szCs w:val="18"/>
        </w:rPr>
        <w:t xml:space="preserve"> musculares</w:t>
      </w:r>
      <w:r w:rsidR="009E6CA0"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Essa condição é passada de forma hereditária, e por ser autossômica dominante, afeta tanto animais homozigotos, quanto animais heterozigotos. </w:t>
      </w:r>
      <w:r w:rsidR="00076F4B">
        <w:rPr>
          <w:rFonts w:ascii="Arial" w:eastAsia="Arial" w:hAnsi="Arial" w:cs="Arial"/>
          <w:sz w:val="18"/>
          <w:szCs w:val="18"/>
        </w:rPr>
        <w:t>Por isso os cavalos mestiços desta raça também podem ser acometidos pela doença</w:t>
      </w:r>
      <w:r w:rsidR="009E6CA0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076F4B">
        <w:rPr>
          <w:rFonts w:ascii="Arial" w:eastAsia="Arial" w:hAnsi="Arial" w:cs="Arial"/>
          <w:sz w:val="18"/>
          <w:szCs w:val="18"/>
        </w:rPr>
        <w:t xml:space="preserve">. </w:t>
      </w:r>
      <w:r w:rsidR="00076F4B">
        <w:rPr>
          <w:rFonts w:ascii="Arial" w:eastAsia="Arial" w:hAnsi="Arial" w:cs="Arial"/>
          <w:sz w:val="18"/>
          <w:szCs w:val="18"/>
        </w:rPr>
        <w:br/>
        <w:t>A doença não tem predileção por idade ou sexo, mas afeta principalmente animais de trabalho e velocidade</w:t>
      </w:r>
      <w:r w:rsidR="009E6CA0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EE5DFB">
        <w:rPr>
          <w:rFonts w:ascii="Arial" w:eastAsia="Arial" w:hAnsi="Arial" w:cs="Arial"/>
          <w:sz w:val="18"/>
          <w:szCs w:val="18"/>
        </w:rPr>
        <w:t xml:space="preserve">. </w:t>
      </w:r>
      <w:r w:rsidR="00076F4B">
        <w:rPr>
          <w:rFonts w:ascii="Arial" w:eastAsia="Arial" w:hAnsi="Arial" w:cs="Arial"/>
          <w:sz w:val="18"/>
          <w:szCs w:val="18"/>
        </w:rPr>
        <w:t xml:space="preserve">Todos os </w:t>
      </w:r>
      <w:r w:rsidR="000A3670">
        <w:rPr>
          <w:rFonts w:ascii="Arial" w:eastAsia="Arial" w:hAnsi="Arial" w:cs="Arial"/>
          <w:sz w:val="18"/>
          <w:szCs w:val="18"/>
        </w:rPr>
        <w:t>animais</w:t>
      </w:r>
      <w:r w:rsidR="00076F4B">
        <w:rPr>
          <w:rFonts w:ascii="Arial" w:eastAsia="Arial" w:hAnsi="Arial" w:cs="Arial"/>
          <w:sz w:val="18"/>
          <w:szCs w:val="18"/>
        </w:rPr>
        <w:t xml:space="preserve"> que possuem essa condição hereditária</w:t>
      </w:r>
      <w:r w:rsidR="000A3670">
        <w:rPr>
          <w:rFonts w:ascii="Arial" w:eastAsia="Arial" w:hAnsi="Arial" w:cs="Arial"/>
          <w:sz w:val="18"/>
          <w:szCs w:val="18"/>
        </w:rPr>
        <w:t xml:space="preserve"> da mutação,</w:t>
      </w:r>
      <w:r w:rsidR="00076F4B">
        <w:rPr>
          <w:rFonts w:ascii="Arial" w:eastAsia="Arial" w:hAnsi="Arial" w:cs="Arial"/>
          <w:sz w:val="18"/>
          <w:szCs w:val="18"/>
        </w:rPr>
        <w:t xml:space="preserve"> </w:t>
      </w:r>
      <w:r w:rsidR="000A3670">
        <w:rPr>
          <w:rFonts w:ascii="Arial" w:eastAsia="Arial" w:hAnsi="Arial" w:cs="Arial"/>
          <w:sz w:val="18"/>
          <w:szCs w:val="18"/>
        </w:rPr>
        <w:t xml:space="preserve">possuem uma linhagem genética em comum com o famoso garanhão Quarto de Milha </w:t>
      </w:r>
      <w:proofErr w:type="spellStart"/>
      <w:r w:rsidR="000A3670">
        <w:rPr>
          <w:rFonts w:ascii="Arial" w:eastAsia="Arial" w:hAnsi="Arial" w:cs="Arial"/>
          <w:sz w:val="18"/>
          <w:szCs w:val="18"/>
        </w:rPr>
        <w:t>Impressive</w:t>
      </w:r>
      <w:proofErr w:type="spellEnd"/>
      <w:r w:rsidR="000A3670">
        <w:rPr>
          <w:rFonts w:ascii="Arial" w:eastAsia="Arial" w:hAnsi="Arial" w:cs="Arial"/>
          <w:sz w:val="18"/>
          <w:szCs w:val="18"/>
        </w:rPr>
        <w:t>, que em sua totalidade teve aproximadamente 2.250 filhos</w:t>
      </w:r>
      <w:r w:rsidR="009E6CA0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0A3670">
        <w:rPr>
          <w:rFonts w:ascii="Arial" w:eastAsia="Arial" w:hAnsi="Arial" w:cs="Arial"/>
          <w:sz w:val="18"/>
          <w:szCs w:val="18"/>
        </w:rPr>
        <w:t>. Por isso a patologia foi reconhecida nos Estados Unidos como “</w:t>
      </w:r>
      <w:r w:rsidR="00FB5428">
        <w:rPr>
          <w:rFonts w:ascii="Arial" w:eastAsia="Arial" w:hAnsi="Arial" w:cs="Arial"/>
          <w:sz w:val="18"/>
          <w:szCs w:val="18"/>
        </w:rPr>
        <w:t>S</w:t>
      </w:r>
      <w:r w:rsidR="000A3670">
        <w:rPr>
          <w:rFonts w:ascii="Arial" w:eastAsia="Arial" w:hAnsi="Arial" w:cs="Arial"/>
          <w:sz w:val="18"/>
          <w:szCs w:val="18"/>
        </w:rPr>
        <w:t xml:space="preserve">índrome do </w:t>
      </w:r>
      <w:proofErr w:type="spellStart"/>
      <w:r w:rsidR="00C552AD">
        <w:rPr>
          <w:rFonts w:ascii="Arial" w:eastAsia="Arial" w:hAnsi="Arial" w:cs="Arial"/>
          <w:sz w:val="18"/>
          <w:szCs w:val="18"/>
        </w:rPr>
        <w:t>Impressive</w:t>
      </w:r>
      <w:proofErr w:type="spellEnd"/>
      <w:r w:rsidR="00C552AD">
        <w:rPr>
          <w:rFonts w:ascii="Arial" w:eastAsia="Arial" w:hAnsi="Arial" w:cs="Arial"/>
          <w:sz w:val="18"/>
          <w:szCs w:val="18"/>
        </w:rPr>
        <w:t xml:space="preserve">” </w:t>
      </w:r>
      <w:r w:rsidR="009E6CA0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0A3670">
        <w:rPr>
          <w:rFonts w:ascii="Arial" w:eastAsia="Arial" w:hAnsi="Arial" w:cs="Arial"/>
          <w:sz w:val="18"/>
          <w:szCs w:val="18"/>
        </w:rPr>
        <w:t>.</w:t>
      </w:r>
      <w:r w:rsidR="00FB5428">
        <w:rPr>
          <w:rFonts w:ascii="Arial" w:eastAsia="Arial" w:hAnsi="Arial" w:cs="Arial"/>
          <w:sz w:val="18"/>
          <w:szCs w:val="18"/>
        </w:rPr>
        <w:t xml:space="preserve"> O </w:t>
      </w:r>
      <w:r w:rsidR="00550FE8">
        <w:rPr>
          <w:rFonts w:ascii="Arial" w:eastAsia="Arial" w:hAnsi="Arial" w:cs="Arial"/>
          <w:sz w:val="18"/>
          <w:szCs w:val="18"/>
        </w:rPr>
        <w:t xml:space="preserve">objetivo desse trabalho </w:t>
      </w:r>
      <w:r w:rsidR="00FB5428">
        <w:rPr>
          <w:rFonts w:ascii="Arial" w:eastAsia="Arial" w:hAnsi="Arial" w:cs="Arial"/>
          <w:sz w:val="18"/>
          <w:szCs w:val="18"/>
        </w:rPr>
        <w:t>é</w:t>
      </w:r>
      <w:r w:rsidR="00550FE8">
        <w:rPr>
          <w:rFonts w:ascii="Arial" w:eastAsia="Arial" w:hAnsi="Arial" w:cs="Arial"/>
          <w:sz w:val="18"/>
          <w:szCs w:val="18"/>
        </w:rPr>
        <w:t xml:space="preserve"> realizar um estudo retrospectivo sobre a mutação genética responsável pela HYPP em cavalos Quarto de Milha utilizados nas modalidades esportivas de corrida, conformação e em trabalho. </w:t>
      </w:r>
    </w:p>
    <w:p w14:paraId="46BCF799" w14:textId="0AFCE04C" w:rsidR="0005795D" w:rsidRDefault="0091484F" w:rsidP="006E248B">
      <w:pPr>
        <w:pStyle w:val="NormalWeb"/>
        <w:pBdr>
          <w:bottom w:val="single" w:sz="4" w:space="1" w:color="000000"/>
        </w:pBdr>
        <w:spacing w:before="0" w:beforeAutospacing="0" w:afterLines="40" w:after="96" w:afterAutospacing="0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05795D">
        <w:rPr>
          <w:rFonts w:ascii="Arial" w:hAnsi="Arial" w:cs="Arial"/>
          <w:b/>
          <w:bCs/>
          <w:color w:val="000000"/>
          <w:sz w:val="18"/>
          <w:szCs w:val="18"/>
        </w:rPr>
        <w:t>MATERIAL E MÉTODOS</w:t>
      </w:r>
    </w:p>
    <w:p w14:paraId="3DD41BE6" w14:textId="622B1A40" w:rsidR="009F18C3" w:rsidRPr="009F18C3" w:rsidRDefault="0057464D" w:rsidP="009F18C3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trabalho de revisão de literatura foi desenvolvido através de revisões de artigos relacionados </w:t>
      </w:r>
      <w:r w:rsidR="00076F4B">
        <w:rPr>
          <w:rFonts w:ascii="Arial" w:hAnsi="Arial" w:cs="Arial"/>
          <w:sz w:val="18"/>
        </w:rPr>
        <w:t xml:space="preserve">a </w:t>
      </w:r>
      <w:r w:rsidR="00076F4B" w:rsidRPr="00076F4B">
        <w:rPr>
          <w:rFonts w:ascii="Arial" w:hAnsi="Arial" w:cs="Arial"/>
          <w:sz w:val="18"/>
        </w:rPr>
        <w:t>cavalos, doença genética, HYPP, gene SCN4A</w:t>
      </w:r>
      <w:r>
        <w:rPr>
          <w:rFonts w:ascii="Arial" w:hAnsi="Arial" w:cs="Arial"/>
          <w:sz w:val="18"/>
        </w:rPr>
        <w:t xml:space="preserve"> de </w:t>
      </w:r>
      <w:r w:rsidR="00550FE8">
        <w:rPr>
          <w:rFonts w:ascii="Arial" w:hAnsi="Arial" w:cs="Arial"/>
          <w:sz w:val="18"/>
        </w:rPr>
        <w:t>20</w:t>
      </w:r>
      <w:r w:rsidR="00A16EAC">
        <w:rPr>
          <w:rFonts w:ascii="Arial" w:hAnsi="Arial" w:cs="Arial"/>
          <w:sz w:val="18"/>
        </w:rPr>
        <w:t>0</w:t>
      </w:r>
      <w:r w:rsidR="00FD2ED1">
        <w:rPr>
          <w:rFonts w:ascii="Arial" w:hAnsi="Arial" w:cs="Arial"/>
          <w:sz w:val="18"/>
        </w:rPr>
        <w:t>1</w:t>
      </w:r>
      <w:r>
        <w:rPr>
          <w:rFonts w:ascii="Arial" w:hAnsi="Arial" w:cs="Arial"/>
          <w:sz w:val="18"/>
        </w:rPr>
        <w:t xml:space="preserve"> até o ano de 201</w:t>
      </w:r>
      <w:r w:rsidR="00A16EAC">
        <w:rPr>
          <w:rFonts w:ascii="Arial" w:hAnsi="Arial" w:cs="Arial"/>
          <w:sz w:val="18"/>
        </w:rPr>
        <w:t>5</w:t>
      </w:r>
      <w:r>
        <w:rPr>
          <w:rFonts w:ascii="Arial" w:hAnsi="Arial" w:cs="Arial"/>
          <w:sz w:val="18"/>
        </w:rPr>
        <w:t>, apontando os tópicos mais relevantes sobre o tema em questão. A base de dados de artigos científicos utilizadas fo</w:t>
      </w:r>
      <w:r w:rsidR="00FB5428">
        <w:rPr>
          <w:rFonts w:ascii="Arial" w:hAnsi="Arial" w:cs="Arial"/>
          <w:sz w:val="18"/>
        </w:rPr>
        <w:t>i</w:t>
      </w:r>
      <w:r>
        <w:rPr>
          <w:rFonts w:ascii="Arial" w:hAnsi="Arial" w:cs="Arial"/>
          <w:sz w:val="18"/>
        </w:rPr>
        <w:t xml:space="preserve"> Google Acadêmico e SciELO.</w:t>
      </w:r>
      <w:r w:rsidR="009F18C3">
        <w:rPr>
          <w:rFonts w:ascii="Arial" w:hAnsi="Arial" w:cs="Arial"/>
          <w:sz w:val="18"/>
        </w:rPr>
        <w:br/>
      </w:r>
    </w:p>
    <w:p w14:paraId="6AD76783" w14:textId="043D6993" w:rsidR="005B3E8A" w:rsidRPr="00DB44BB" w:rsidRDefault="00DB44BB" w:rsidP="00DB44BB">
      <w:pPr>
        <w:pBdr>
          <w:bottom w:val="single" w:sz="4" w:space="2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48711130" w14:textId="2444FBE3" w:rsidR="009F18C3" w:rsidRDefault="00FF3CAC" w:rsidP="009F18C3">
      <w:pPr>
        <w:spacing w:before="40" w:afterLines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HYPP é uma mutação genética </w:t>
      </w:r>
      <w:r w:rsidRPr="00FF3CAC">
        <w:rPr>
          <w:rFonts w:ascii="Arial" w:eastAsia="Arial" w:hAnsi="Arial" w:cs="Arial"/>
          <w:sz w:val="18"/>
          <w:szCs w:val="18"/>
        </w:rPr>
        <w:t xml:space="preserve">autossômica codominante que </w:t>
      </w:r>
      <w:r>
        <w:rPr>
          <w:rFonts w:ascii="Arial" w:eastAsia="Arial" w:hAnsi="Arial" w:cs="Arial"/>
          <w:sz w:val="18"/>
          <w:szCs w:val="18"/>
        </w:rPr>
        <w:t>acontece</w:t>
      </w:r>
      <w:r w:rsidRPr="00FF3CAC">
        <w:rPr>
          <w:rFonts w:ascii="Arial" w:eastAsia="Arial" w:hAnsi="Arial" w:cs="Arial"/>
          <w:sz w:val="18"/>
          <w:szCs w:val="18"/>
        </w:rPr>
        <w:t xml:space="preserve"> devido à substituição de uma citosina por uma guanina no gene SCN4A, que leva à substituição de uma </w:t>
      </w:r>
      <w:proofErr w:type="spellStart"/>
      <w:r w:rsidRPr="00FF3CAC">
        <w:rPr>
          <w:rFonts w:ascii="Arial" w:eastAsia="Arial" w:hAnsi="Arial" w:cs="Arial"/>
          <w:sz w:val="18"/>
          <w:szCs w:val="18"/>
        </w:rPr>
        <w:t>fenilanina</w:t>
      </w:r>
      <w:proofErr w:type="spellEnd"/>
      <w:r w:rsidRPr="00FF3CAC">
        <w:rPr>
          <w:rFonts w:ascii="Arial" w:eastAsia="Arial" w:hAnsi="Arial" w:cs="Arial"/>
          <w:sz w:val="18"/>
          <w:szCs w:val="18"/>
        </w:rPr>
        <w:t xml:space="preserve"> por uma leucina</w:t>
      </w:r>
      <w:r w:rsidR="00C552AD"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 A mutação se encontra de forma mais precisa no canal de sódio do cromossomo 11</w:t>
      </w:r>
      <w:r w:rsidR="00C552AD"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076F4B">
        <w:rPr>
          <w:rFonts w:ascii="Arial" w:eastAsia="Arial" w:hAnsi="Arial" w:cs="Arial"/>
          <w:sz w:val="18"/>
          <w:szCs w:val="18"/>
        </w:rPr>
        <w:t xml:space="preserve">Essa patologia </w:t>
      </w:r>
      <w:r w:rsidR="00C97B4E">
        <w:rPr>
          <w:rFonts w:ascii="Arial" w:eastAsia="Arial" w:hAnsi="Arial" w:cs="Arial"/>
          <w:sz w:val="18"/>
          <w:szCs w:val="18"/>
        </w:rPr>
        <w:t xml:space="preserve">é </w:t>
      </w:r>
      <w:r w:rsidR="00076F4B">
        <w:rPr>
          <w:rFonts w:ascii="Arial" w:eastAsia="Arial" w:hAnsi="Arial" w:cs="Arial"/>
          <w:sz w:val="18"/>
          <w:szCs w:val="18"/>
        </w:rPr>
        <w:t xml:space="preserve">caracterizada por uma mutação nos canais de sódio das membranas celulares da musculatura, que controlam as contrações das fibras musculares, </w:t>
      </w:r>
      <w:r>
        <w:rPr>
          <w:rFonts w:ascii="Arial" w:eastAsia="Arial" w:hAnsi="Arial" w:cs="Arial"/>
          <w:sz w:val="18"/>
          <w:szCs w:val="18"/>
        </w:rPr>
        <w:t>provoca</w:t>
      </w:r>
      <w:r w:rsidR="003602C1">
        <w:rPr>
          <w:rFonts w:ascii="Arial" w:eastAsia="Arial" w:hAnsi="Arial" w:cs="Arial"/>
          <w:sz w:val="18"/>
          <w:szCs w:val="18"/>
        </w:rPr>
        <w:t>ndo</w:t>
      </w:r>
      <w:r>
        <w:rPr>
          <w:rFonts w:ascii="Arial" w:eastAsia="Arial" w:hAnsi="Arial" w:cs="Arial"/>
          <w:sz w:val="18"/>
          <w:szCs w:val="18"/>
        </w:rPr>
        <w:t xml:space="preserve"> crises mais graves nos animais homozigotos</w:t>
      </w:r>
      <w:r w:rsidR="008A2767">
        <w:rPr>
          <w:rFonts w:ascii="Arial" w:eastAsia="Arial" w:hAnsi="Arial" w:cs="Arial"/>
          <w:sz w:val="18"/>
          <w:szCs w:val="18"/>
        </w:rPr>
        <w:t>, podendo culminar em óbito, já que os níveis elevados de potássio podem ocasionar dificuldade respiratória e arritmias cardíaca</w:t>
      </w:r>
      <w:r w:rsidR="00C552AD">
        <w:rPr>
          <w:rFonts w:ascii="Arial" w:eastAsia="Arial" w:hAnsi="Arial" w:cs="Arial"/>
          <w:sz w:val="18"/>
          <w:szCs w:val="18"/>
        </w:rPr>
        <w:t>s</w:t>
      </w:r>
      <w:r w:rsidR="003602C1">
        <w:rPr>
          <w:rFonts w:ascii="Arial" w:eastAsia="Arial" w:hAnsi="Arial" w:cs="Arial"/>
          <w:sz w:val="18"/>
          <w:szCs w:val="18"/>
        </w:rPr>
        <w:t>. E</w:t>
      </w:r>
      <w:r>
        <w:rPr>
          <w:rFonts w:ascii="Arial" w:eastAsia="Arial" w:hAnsi="Arial" w:cs="Arial"/>
          <w:sz w:val="18"/>
          <w:szCs w:val="18"/>
        </w:rPr>
        <w:t xml:space="preserve"> mais leves ou crises diárias em animais heterozigoto</w:t>
      </w:r>
      <w:r w:rsidR="00C552AD">
        <w:rPr>
          <w:rFonts w:ascii="Arial" w:eastAsia="Arial" w:hAnsi="Arial" w:cs="Arial"/>
          <w:sz w:val="18"/>
          <w:szCs w:val="18"/>
        </w:rPr>
        <w:t>s</w:t>
      </w:r>
      <w:r w:rsidR="00C552AD"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7B3B95">
        <w:rPr>
          <w:rFonts w:ascii="Arial" w:eastAsia="Arial" w:hAnsi="Arial" w:cs="Arial"/>
          <w:sz w:val="18"/>
          <w:szCs w:val="18"/>
        </w:rPr>
        <w:t xml:space="preserve">Em um organismo </w:t>
      </w:r>
      <w:r w:rsidR="003602C1">
        <w:rPr>
          <w:rFonts w:ascii="Arial" w:eastAsia="Arial" w:hAnsi="Arial" w:cs="Arial"/>
          <w:sz w:val="18"/>
          <w:szCs w:val="18"/>
        </w:rPr>
        <w:t>saudável</w:t>
      </w:r>
      <w:r w:rsidR="007B3B95">
        <w:rPr>
          <w:rFonts w:ascii="Arial" w:eastAsia="Arial" w:hAnsi="Arial" w:cs="Arial"/>
          <w:sz w:val="18"/>
          <w:szCs w:val="18"/>
        </w:rPr>
        <w:t>, os canais de sódio são responsáveis pelo controle da contração muscular e se fecham quando a membrana é despolarizada</w:t>
      </w:r>
      <w:r w:rsidR="00C552AD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7B3B95">
        <w:rPr>
          <w:rFonts w:ascii="Arial" w:eastAsia="Arial" w:hAnsi="Arial" w:cs="Arial"/>
          <w:sz w:val="18"/>
          <w:szCs w:val="18"/>
        </w:rPr>
        <w:t>. No caso do equino que possui a mutação do gene SCN4A, esses canais de sódio não se fecham, provocando assim a entrada de sódio de forma descontrolada, dificultando assim a repolarização, além de aumentar o potássio</w:t>
      </w:r>
      <w:r w:rsidR="008A2767">
        <w:rPr>
          <w:rFonts w:ascii="Arial" w:eastAsia="Arial" w:hAnsi="Arial" w:cs="Arial"/>
          <w:sz w:val="18"/>
          <w:szCs w:val="18"/>
        </w:rPr>
        <w:t xml:space="preserve"> na corrente sanguínea</w:t>
      </w:r>
      <w:r w:rsidR="007B3B95">
        <w:rPr>
          <w:rFonts w:ascii="Arial" w:eastAsia="Arial" w:hAnsi="Arial" w:cs="Arial"/>
          <w:sz w:val="18"/>
          <w:szCs w:val="18"/>
        </w:rPr>
        <w:t>, explicando as contrações involuntárias e a hipercalemia</w:t>
      </w:r>
      <w:r w:rsidR="00C552AD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7B3B95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Os sinais clínicos mais comuns são fasciculações musculares, miotonia, fraqueza muscular, prolapso de terceira pálpebra, decúbito, dificuldade respiratória e</w:t>
      </w:r>
      <w:r w:rsidR="00FB5428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morte</w:t>
      </w:r>
      <w:r w:rsidR="009E6CA0"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 w:rsidR="00EE5DFB">
        <w:rPr>
          <w:rFonts w:ascii="Arial" w:eastAsia="Arial" w:hAnsi="Arial" w:cs="Arial"/>
          <w:sz w:val="18"/>
          <w:szCs w:val="18"/>
        </w:rPr>
        <w:t xml:space="preserve"> Descreve</w:t>
      </w:r>
      <w:r w:rsidR="00FB5428">
        <w:rPr>
          <w:rFonts w:ascii="Arial" w:eastAsia="Arial" w:hAnsi="Arial" w:cs="Arial"/>
          <w:sz w:val="18"/>
          <w:szCs w:val="18"/>
        </w:rPr>
        <w:t>-se</w:t>
      </w:r>
      <w:r w:rsidR="00EE5DFB">
        <w:rPr>
          <w:rFonts w:ascii="Arial" w:eastAsia="Arial" w:hAnsi="Arial" w:cs="Arial"/>
          <w:sz w:val="18"/>
          <w:szCs w:val="18"/>
        </w:rPr>
        <w:t xml:space="preserve"> também a sudorese sem hipertermia, a disfunção da laringe e paralisia dos membros pélvicos</w:t>
      </w:r>
      <w:r w:rsidR="00893C83">
        <w:rPr>
          <w:rFonts w:ascii="Arial" w:eastAsia="Arial" w:hAnsi="Arial" w:cs="Arial"/>
          <w:sz w:val="18"/>
          <w:szCs w:val="18"/>
        </w:rPr>
        <w:t>, adotando a posição de cão sentando (Figura 1)</w:t>
      </w:r>
      <w:r w:rsidR="009E6CA0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EE5DFB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EE5DFB">
        <w:rPr>
          <w:rFonts w:ascii="Arial" w:eastAsia="Arial" w:hAnsi="Arial" w:cs="Arial"/>
          <w:sz w:val="18"/>
          <w:szCs w:val="18"/>
        </w:rPr>
        <w:t>No início de sua aparição pode apresentar o aumento do tônus muscular e bocejos de forma frequente, além das mucosas congestas e fezes amolecidas</w:t>
      </w:r>
      <w:r w:rsidR="009E6CA0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EE5DFB">
        <w:rPr>
          <w:rFonts w:ascii="Arial" w:eastAsia="Arial" w:hAnsi="Arial" w:cs="Arial"/>
          <w:sz w:val="18"/>
          <w:szCs w:val="18"/>
        </w:rPr>
        <w:t xml:space="preserve">. Em grande parte dos casos, ocorre o </w:t>
      </w:r>
      <w:r w:rsidR="00FB5428">
        <w:rPr>
          <w:rFonts w:ascii="Arial" w:eastAsia="Arial" w:hAnsi="Arial" w:cs="Arial"/>
          <w:sz w:val="18"/>
          <w:szCs w:val="18"/>
        </w:rPr>
        <w:t>início</w:t>
      </w:r>
      <w:r w:rsidR="00EE5DFB">
        <w:rPr>
          <w:rFonts w:ascii="Arial" w:eastAsia="Arial" w:hAnsi="Arial" w:cs="Arial"/>
          <w:sz w:val="18"/>
          <w:szCs w:val="18"/>
        </w:rPr>
        <w:t xml:space="preserve"> de crises com um período curto de miotonia, s</w:t>
      </w:r>
      <w:r w:rsidR="004A6906">
        <w:rPr>
          <w:rFonts w:ascii="Arial" w:eastAsia="Arial" w:hAnsi="Arial" w:cs="Arial"/>
          <w:sz w:val="18"/>
          <w:szCs w:val="18"/>
        </w:rPr>
        <w:t>uo</w:t>
      </w:r>
      <w:r w:rsidR="00EE5DFB">
        <w:rPr>
          <w:rFonts w:ascii="Arial" w:eastAsia="Arial" w:hAnsi="Arial" w:cs="Arial"/>
          <w:sz w:val="18"/>
          <w:szCs w:val="18"/>
        </w:rPr>
        <w:t>r e fasciculações musculares, principalmente no pescoço, espáduas e nos flancos</w:t>
      </w:r>
      <w:r w:rsidR="009E6CA0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EE5DFB">
        <w:rPr>
          <w:rFonts w:ascii="Arial" w:eastAsia="Arial" w:hAnsi="Arial" w:cs="Arial"/>
          <w:sz w:val="18"/>
          <w:szCs w:val="18"/>
        </w:rPr>
        <w:t>.</w:t>
      </w:r>
      <w:r w:rsidR="008A2767">
        <w:rPr>
          <w:rFonts w:ascii="Arial" w:eastAsia="Arial" w:hAnsi="Arial" w:cs="Arial"/>
          <w:sz w:val="18"/>
          <w:szCs w:val="18"/>
        </w:rPr>
        <w:t xml:space="preserve"> Durante as crises os equinos podem manifestar estresse e ansiedade, mas continuam respondendo aos estímulos de sons e dor. Entre alguns fatores que podem desencadear as crises estão, prenhez, a exposição ao frio ou a contaminação por alguma doença viral, bacteriana e outros patógenos</w:t>
      </w:r>
      <w:r w:rsidR="009E6CA0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8A2767">
        <w:rPr>
          <w:rFonts w:ascii="Arial" w:eastAsia="Arial" w:hAnsi="Arial" w:cs="Arial"/>
          <w:sz w:val="18"/>
          <w:szCs w:val="18"/>
        </w:rPr>
        <w:t xml:space="preserve">. A manifestação clínica pode </w:t>
      </w:r>
      <w:r w:rsidR="008A2767">
        <w:rPr>
          <w:rFonts w:ascii="Arial" w:eastAsia="Arial" w:hAnsi="Arial" w:cs="Arial"/>
          <w:sz w:val="18"/>
          <w:szCs w:val="18"/>
        </w:rPr>
        <w:t xml:space="preserve">ter início entre 2 a 4 anos de idade, quando </w:t>
      </w:r>
      <w:r w:rsidR="00893C83">
        <w:rPr>
          <w:rFonts w:ascii="Arial" w:eastAsia="Arial" w:hAnsi="Arial" w:cs="Arial"/>
          <w:sz w:val="18"/>
          <w:szCs w:val="18"/>
        </w:rPr>
        <w:t>ocorre o início dos treinos físicos</w:t>
      </w:r>
      <w:r w:rsidR="009E6CA0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9F18C3">
        <w:rPr>
          <w:rFonts w:ascii="Arial" w:eastAsia="Arial" w:hAnsi="Arial" w:cs="Arial"/>
          <w:sz w:val="18"/>
          <w:szCs w:val="18"/>
        </w:rPr>
        <w:t>.</w:t>
      </w:r>
    </w:p>
    <w:p w14:paraId="5D52B566" w14:textId="36AFB0D5" w:rsidR="005B3E8A" w:rsidRPr="00DB44BB" w:rsidRDefault="00DB44BB" w:rsidP="009F18C3">
      <w:pPr>
        <w:spacing w:before="40" w:afterLines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</w:rPr>
        <w:t>Figura 1</w:t>
      </w:r>
      <w:r>
        <w:rPr>
          <w:rFonts w:ascii="Arial" w:hAnsi="Arial" w:cs="Arial"/>
          <w:color w:val="000000"/>
          <w:sz w:val="18"/>
        </w:rPr>
        <w:t xml:space="preserve">. </w:t>
      </w:r>
      <w:r w:rsidR="00893C83">
        <w:rPr>
          <w:rFonts w:ascii="Arial" w:hAnsi="Arial" w:cs="Arial"/>
          <w:color w:val="000000"/>
          <w:sz w:val="18"/>
        </w:rPr>
        <w:t>Paralisia de membros pélvicos devido a HYPP.</w:t>
      </w:r>
    </w:p>
    <w:p w14:paraId="48A42C2A" w14:textId="2209FF34" w:rsidR="00DB44BB" w:rsidRPr="00DB44BB" w:rsidRDefault="00687F47" w:rsidP="00893C8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8393C44" wp14:editId="50B616A2">
            <wp:extent cx="3138805" cy="2092334"/>
            <wp:effectExtent l="0" t="0" r="4445" b="3175"/>
            <wp:docPr id="3" name="Imagem 3" descr="Foto de Cavalo Sentando e mais fotos de stock de Animais Macho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e Cavalo Sentando e mais fotos de stock de Animais Machos - i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19" cy="20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4BB" w:rsidRPr="00DB44BB">
        <w:rPr>
          <w:sz w:val="24"/>
          <w:szCs w:val="24"/>
        </w:rPr>
        <w:fldChar w:fldCharType="begin"/>
      </w:r>
      <w:r w:rsidR="00DB44BB" w:rsidRPr="00DB44BB">
        <w:rPr>
          <w:sz w:val="24"/>
          <w:szCs w:val="24"/>
        </w:rPr>
        <w:instrText xml:space="preserve"> INCLUDEPICTURE "https://rehagro.com.br/blog/wp-content/uploads/2018/06/cuidados-com-vacas-e-bezerros-ao-parto4-300x200.jpg" \* MERGEFORMATINET </w:instrText>
      </w:r>
      <w:r w:rsidR="00DB44BB" w:rsidRPr="00DB44BB">
        <w:rPr>
          <w:sz w:val="24"/>
          <w:szCs w:val="24"/>
        </w:rPr>
        <w:fldChar w:fldCharType="end"/>
      </w:r>
    </w:p>
    <w:p w14:paraId="2994A6AA" w14:textId="007927A5" w:rsidR="00AE0E92" w:rsidRDefault="00556DAE" w:rsidP="00687F47">
      <w:pPr>
        <w:jc w:val="both"/>
        <w:rPr>
          <w:rFonts w:ascii="Arial" w:hAnsi="Arial" w:cs="Arial"/>
          <w:sz w:val="14"/>
          <w:szCs w:val="14"/>
        </w:rPr>
      </w:pPr>
      <w:r w:rsidRPr="00306279">
        <w:rPr>
          <w:rFonts w:ascii="Arial" w:hAnsi="Arial" w:cs="Arial"/>
          <w:sz w:val="14"/>
          <w:szCs w:val="14"/>
        </w:rPr>
        <w:t>Fonte</w:t>
      </w:r>
      <w:r w:rsidRPr="00687F47">
        <w:rPr>
          <w:rFonts w:ascii="Arial" w:hAnsi="Arial" w:cs="Arial"/>
          <w:sz w:val="14"/>
          <w:szCs w:val="14"/>
        </w:rPr>
        <w:t>:</w:t>
      </w:r>
      <w:r w:rsidR="000E793D" w:rsidRPr="00687F47">
        <w:rPr>
          <w:rFonts w:ascii="Arial" w:hAnsi="Arial" w:cs="Arial"/>
          <w:sz w:val="14"/>
          <w:szCs w:val="14"/>
        </w:rPr>
        <w:t xml:space="preserve"> </w:t>
      </w:r>
      <w:hyperlink r:id="rId9" w:history="1">
        <w:r w:rsidR="00687F47" w:rsidRPr="00687F47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istockphoto.com/</w:t>
        </w:r>
        <w:proofErr w:type="spellStart"/>
        <w:r w:rsidR="00687F47" w:rsidRPr="00687F47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br</w:t>
        </w:r>
        <w:proofErr w:type="spellEnd"/>
        <w:r w:rsidR="00687F47" w:rsidRPr="00687F47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/foto/cavalo-sentando-gm133623235-6407663</w:t>
        </w:r>
      </w:hyperlink>
    </w:p>
    <w:p w14:paraId="70ED8615" w14:textId="77777777" w:rsidR="00687F47" w:rsidRDefault="00687F47" w:rsidP="00687F47">
      <w:pPr>
        <w:jc w:val="both"/>
        <w:rPr>
          <w:rFonts w:ascii="Arial" w:eastAsia="Arial" w:hAnsi="Arial" w:cs="Arial"/>
          <w:sz w:val="18"/>
          <w:szCs w:val="18"/>
        </w:rPr>
      </w:pPr>
    </w:p>
    <w:p w14:paraId="714D23B6" w14:textId="666821AE" w:rsidR="00D21B90" w:rsidRDefault="009F18C3" w:rsidP="006E248B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Para diagnosticar a HYPP podemos utilizar das eletromiografias, assim analisando os padrões de contração muscular, e os eletrocardiogramas para analisar o ritmo cardíaco</w:t>
      </w:r>
      <w:r w:rsidR="00EB0411"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 w:rsidR="00FB5428">
        <w:rPr>
          <w:rFonts w:ascii="Arial" w:eastAsia="Arial" w:hAnsi="Arial" w:cs="Arial"/>
          <w:sz w:val="18"/>
          <w:szCs w:val="18"/>
        </w:rPr>
        <w:t xml:space="preserve"> A </w:t>
      </w:r>
      <w:r>
        <w:rPr>
          <w:rFonts w:ascii="Arial" w:eastAsia="Arial" w:hAnsi="Arial" w:cs="Arial"/>
          <w:sz w:val="18"/>
          <w:szCs w:val="18"/>
        </w:rPr>
        <w:t xml:space="preserve">biópsia de tecido muscular </w:t>
      </w:r>
      <w:r w:rsidR="00FB5428">
        <w:rPr>
          <w:rFonts w:ascii="Arial" w:eastAsia="Arial" w:hAnsi="Arial" w:cs="Arial"/>
          <w:sz w:val="18"/>
          <w:szCs w:val="18"/>
        </w:rPr>
        <w:t xml:space="preserve">pode ser realizada </w:t>
      </w:r>
      <w:r>
        <w:rPr>
          <w:rFonts w:ascii="Arial" w:eastAsia="Arial" w:hAnsi="Arial" w:cs="Arial"/>
          <w:sz w:val="18"/>
          <w:szCs w:val="18"/>
        </w:rPr>
        <w:t>para observar a morfologia celular das fibras musculares, além da avaliação genética que permite identificar o polimorfismo do gene SCN4A</w:t>
      </w:r>
      <w:r w:rsidR="00EB0411"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br/>
        <w:t>O recomendado é que os equinos diagnosticados com a mutação sejam manejados por tutores que conheçam os sinais clínicos</w:t>
      </w:r>
      <w:r w:rsidR="00D21B90">
        <w:rPr>
          <w:rFonts w:ascii="Arial" w:eastAsia="Arial" w:hAnsi="Arial" w:cs="Arial"/>
          <w:sz w:val="18"/>
          <w:szCs w:val="18"/>
        </w:rPr>
        <w:t xml:space="preserve"> e tenham cautela para um manejo correto</w:t>
      </w:r>
      <w:r w:rsidR="00EB0411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D21B90">
        <w:rPr>
          <w:rFonts w:ascii="Arial" w:eastAsia="Arial" w:hAnsi="Arial" w:cs="Arial"/>
          <w:sz w:val="18"/>
          <w:szCs w:val="18"/>
        </w:rPr>
        <w:t>. Como tratamento, caso o cavalo estiver iniciando sinais clínicos discretos, exercícios leves podem interromper os episódios devida à liberação de adrenalina</w:t>
      </w:r>
      <w:r w:rsidR="00FB5428">
        <w:rPr>
          <w:rFonts w:ascii="Arial" w:eastAsia="Arial" w:hAnsi="Arial" w:cs="Arial"/>
          <w:sz w:val="18"/>
          <w:szCs w:val="18"/>
        </w:rPr>
        <w:t xml:space="preserve"> e</w:t>
      </w:r>
      <w:r w:rsidR="00D21B90">
        <w:rPr>
          <w:rFonts w:ascii="Arial" w:eastAsia="Arial" w:hAnsi="Arial" w:cs="Arial"/>
          <w:sz w:val="18"/>
          <w:szCs w:val="18"/>
        </w:rPr>
        <w:t xml:space="preserve"> nesses casos não é necessário tratamento</w:t>
      </w:r>
      <w:r w:rsidR="00EB0411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D21B90">
        <w:rPr>
          <w:rFonts w:ascii="Arial" w:eastAsia="Arial" w:hAnsi="Arial" w:cs="Arial"/>
          <w:sz w:val="18"/>
          <w:szCs w:val="18"/>
        </w:rPr>
        <w:t>. Quando o animal apresenta quadros graves é recomendad</w:t>
      </w:r>
      <w:r w:rsidR="00FB5428">
        <w:rPr>
          <w:rFonts w:ascii="Arial" w:eastAsia="Arial" w:hAnsi="Arial" w:cs="Arial"/>
          <w:sz w:val="18"/>
          <w:szCs w:val="18"/>
        </w:rPr>
        <w:t>o</w:t>
      </w:r>
      <w:r w:rsidR="00D21B90">
        <w:rPr>
          <w:rFonts w:ascii="Arial" w:eastAsia="Arial" w:hAnsi="Arial" w:cs="Arial"/>
          <w:sz w:val="18"/>
          <w:szCs w:val="18"/>
        </w:rPr>
        <w:t xml:space="preserve"> o tratamento que </w:t>
      </w:r>
      <w:r w:rsidR="00D21B90" w:rsidRPr="00D21B90">
        <w:rPr>
          <w:rFonts w:ascii="Arial" w:eastAsia="Arial" w:hAnsi="Arial" w:cs="Arial"/>
          <w:sz w:val="18"/>
          <w:szCs w:val="18"/>
        </w:rPr>
        <w:t xml:space="preserve">consiste em </w:t>
      </w:r>
      <w:proofErr w:type="spellStart"/>
      <w:r w:rsidR="00D21B90" w:rsidRPr="00D21B90">
        <w:rPr>
          <w:rFonts w:ascii="Arial" w:eastAsia="Arial" w:hAnsi="Arial" w:cs="Arial"/>
          <w:sz w:val="18"/>
          <w:szCs w:val="18"/>
        </w:rPr>
        <w:t>fluidoterapia</w:t>
      </w:r>
      <w:proofErr w:type="spellEnd"/>
      <w:r w:rsidR="00D21B90" w:rsidRPr="00D21B90">
        <w:rPr>
          <w:rFonts w:ascii="Arial" w:eastAsia="Arial" w:hAnsi="Arial" w:cs="Arial"/>
          <w:sz w:val="18"/>
          <w:szCs w:val="18"/>
        </w:rPr>
        <w:t xml:space="preserve"> isotônica livre de potássio, com o intuito de minimizar a concentração plasmática de</w:t>
      </w:r>
      <w:r w:rsidR="0057515F">
        <w:rPr>
          <w:rFonts w:ascii="Arial" w:eastAsia="Arial" w:hAnsi="Arial" w:cs="Arial"/>
          <w:sz w:val="18"/>
          <w:szCs w:val="18"/>
        </w:rPr>
        <w:t xml:space="preserve"> potássio</w:t>
      </w:r>
      <w:r w:rsidR="00D21B90" w:rsidRPr="00D21B90">
        <w:rPr>
          <w:rFonts w:ascii="Arial" w:eastAsia="Arial" w:hAnsi="Arial" w:cs="Arial"/>
          <w:sz w:val="18"/>
          <w:szCs w:val="18"/>
        </w:rPr>
        <w:t xml:space="preserve">, administração intravenosa lenta de </w:t>
      </w:r>
      <w:proofErr w:type="spellStart"/>
      <w:r w:rsidR="00D21B90" w:rsidRPr="00D21B90">
        <w:rPr>
          <w:rFonts w:ascii="Arial" w:eastAsia="Arial" w:hAnsi="Arial" w:cs="Arial"/>
          <w:sz w:val="18"/>
          <w:szCs w:val="18"/>
        </w:rPr>
        <w:t>gluconato</w:t>
      </w:r>
      <w:proofErr w:type="spellEnd"/>
      <w:r w:rsidR="00D21B90" w:rsidRPr="00D21B90">
        <w:rPr>
          <w:rFonts w:ascii="Arial" w:eastAsia="Arial" w:hAnsi="Arial" w:cs="Arial"/>
          <w:sz w:val="18"/>
          <w:szCs w:val="18"/>
        </w:rPr>
        <w:t xml:space="preserve"> de cálcio a 20% diluído em glicose a 5%</w:t>
      </w:r>
      <w:r w:rsidR="004A6906">
        <w:rPr>
          <w:rFonts w:ascii="Arial" w:eastAsia="Arial" w:hAnsi="Arial" w:cs="Arial"/>
          <w:sz w:val="18"/>
          <w:szCs w:val="18"/>
        </w:rPr>
        <w:t>,</w:t>
      </w:r>
      <w:r w:rsidR="00D21B90" w:rsidRPr="00D21B90">
        <w:rPr>
          <w:rFonts w:ascii="Arial" w:eastAsia="Arial" w:hAnsi="Arial" w:cs="Arial"/>
          <w:sz w:val="18"/>
          <w:szCs w:val="18"/>
        </w:rPr>
        <w:t xml:space="preserve"> bem como infusão intravenosa rápida de bicarbonato de sódio ou glicose a 5%</w:t>
      </w:r>
      <w:r w:rsidR="00EB0411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D21B90">
        <w:rPr>
          <w:rFonts w:ascii="Arial" w:eastAsia="Arial" w:hAnsi="Arial" w:cs="Arial"/>
          <w:sz w:val="18"/>
          <w:szCs w:val="18"/>
        </w:rPr>
        <w:t>. O aumento da concentração de cálcio extracelular aumenta o limiar do potencial da membrana muscular o que diminui sua excitabilidade</w:t>
      </w:r>
      <w:r w:rsidR="00EB0411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D21B90">
        <w:rPr>
          <w:rFonts w:ascii="Arial" w:eastAsia="Arial" w:hAnsi="Arial" w:cs="Arial"/>
          <w:sz w:val="18"/>
          <w:szCs w:val="18"/>
        </w:rPr>
        <w:t xml:space="preserve">. </w:t>
      </w:r>
      <w:r w:rsidR="00D21B90" w:rsidRPr="00D21B90">
        <w:rPr>
          <w:rFonts w:ascii="Arial" w:eastAsia="Arial" w:hAnsi="Arial" w:cs="Arial"/>
          <w:sz w:val="18"/>
          <w:szCs w:val="18"/>
        </w:rPr>
        <w:t>Os animais portadores da doença devem ingerir dieta balanceada com baixo teor de</w:t>
      </w:r>
      <w:r w:rsidR="003602C1">
        <w:rPr>
          <w:rFonts w:ascii="Arial" w:eastAsia="Arial" w:hAnsi="Arial" w:cs="Arial"/>
          <w:sz w:val="18"/>
          <w:szCs w:val="18"/>
        </w:rPr>
        <w:t xml:space="preserve"> potássio</w:t>
      </w:r>
      <w:r w:rsidR="00D21B90" w:rsidRPr="00D21B90">
        <w:rPr>
          <w:rFonts w:ascii="Arial" w:eastAsia="Arial" w:hAnsi="Arial" w:cs="Arial"/>
          <w:sz w:val="18"/>
          <w:szCs w:val="18"/>
        </w:rPr>
        <w:t xml:space="preserve"> e pode ser necessária </w:t>
      </w:r>
      <w:r w:rsidR="00FB5428">
        <w:rPr>
          <w:rFonts w:ascii="Arial" w:eastAsia="Arial" w:hAnsi="Arial" w:cs="Arial"/>
          <w:sz w:val="18"/>
          <w:szCs w:val="18"/>
        </w:rPr>
        <w:t>a</w:t>
      </w:r>
      <w:r w:rsidR="00D21B90" w:rsidRPr="00D21B90">
        <w:rPr>
          <w:rFonts w:ascii="Arial" w:eastAsia="Arial" w:hAnsi="Arial" w:cs="Arial"/>
          <w:sz w:val="18"/>
          <w:szCs w:val="18"/>
        </w:rPr>
        <w:t xml:space="preserve"> administração de diuréticos como a </w:t>
      </w:r>
      <w:proofErr w:type="spellStart"/>
      <w:r w:rsidR="00D21B90" w:rsidRPr="00D21B90">
        <w:rPr>
          <w:rFonts w:ascii="Arial" w:eastAsia="Arial" w:hAnsi="Arial" w:cs="Arial"/>
          <w:sz w:val="18"/>
          <w:szCs w:val="18"/>
        </w:rPr>
        <w:t>acetazolamida</w:t>
      </w:r>
      <w:proofErr w:type="spellEnd"/>
      <w:r w:rsidR="00D21B90">
        <w:rPr>
          <w:rFonts w:ascii="Arial" w:eastAsia="Arial" w:hAnsi="Arial" w:cs="Arial"/>
          <w:sz w:val="18"/>
          <w:szCs w:val="18"/>
        </w:rPr>
        <w:t xml:space="preserve">, </w:t>
      </w:r>
      <w:r w:rsidR="00D21B90" w:rsidRPr="00D21B90">
        <w:rPr>
          <w:rFonts w:ascii="Arial" w:eastAsia="Arial" w:hAnsi="Arial" w:cs="Arial"/>
          <w:sz w:val="18"/>
          <w:szCs w:val="18"/>
        </w:rPr>
        <w:t>que promove a excreção seletiva do potássio e aumenta a liberação de insulina, facilitando a entrada do potássio para dentro das células</w:t>
      </w:r>
      <w:r w:rsidR="00EB0411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D21B90">
        <w:rPr>
          <w:rFonts w:ascii="Arial" w:eastAsia="Arial" w:hAnsi="Arial" w:cs="Arial"/>
          <w:sz w:val="18"/>
          <w:szCs w:val="18"/>
        </w:rPr>
        <w:t>.</w:t>
      </w:r>
    </w:p>
    <w:p w14:paraId="46CA7F21" w14:textId="77777777"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7D166C5" w14:textId="06F5ADEE" w:rsidR="00DB44BB" w:rsidRPr="00DB44BB" w:rsidRDefault="0057515F" w:rsidP="00DB44BB">
      <w:pPr>
        <w:spacing w:afterLines="40" w:after="9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Paralisia Periódica Hipercalêmica é uma patologia que merece atenção, principalmente por ser uma condição que não possui cura e por isso necessita da conscientização e cautela na hora de fazer a cruza entre os cavalos da raça Quarto de Milha. A HYPP é responsável por grandes perdas econômicas aos criadores, podendo concluir-se que o manejo adequado e a seleção genética são primordiais para a extinção da mutação. </w:t>
      </w:r>
    </w:p>
    <w:p w14:paraId="17ED3747" w14:textId="026E648E" w:rsidR="00CD65EC" w:rsidRDefault="00CD65EC" w:rsidP="00CD65EC">
      <w:pPr>
        <w:spacing w:afterLines="40" w:after="96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6014532E" w14:textId="77777777" w:rsidR="00CD65EC" w:rsidRPr="00A94FCF" w:rsidRDefault="00CD65EC" w:rsidP="00CD65EC">
      <w:pPr>
        <w:spacing w:afterLines="40" w:after="96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sectPr w:rsidR="00CD65EC" w:rsidRPr="00A94FC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D6F80" w14:textId="77777777" w:rsidR="00A60E21" w:rsidRDefault="00A60E21">
      <w:r>
        <w:separator/>
      </w:r>
    </w:p>
  </w:endnote>
  <w:endnote w:type="continuationSeparator" w:id="0">
    <w:p w14:paraId="29FBBA84" w14:textId="77777777" w:rsidR="00A60E21" w:rsidRDefault="00A6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9CB8B" w14:textId="77777777" w:rsidR="00A60E21" w:rsidRDefault="00A60E21">
      <w:r>
        <w:separator/>
      </w:r>
    </w:p>
  </w:footnote>
  <w:footnote w:type="continuationSeparator" w:id="0">
    <w:p w14:paraId="76DE3601" w14:textId="77777777" w:rsidR="00A60E21" w:rsidRDefault="00A6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67F30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22E6CE2" wp14:editId="2A141297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083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164A46A2" w14:textId="77777777" w:rsidR="005B3E8A" w:rsidRPr="003D5FAA" w:rsidRDefault="00034083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8A"/>
    <w:rsid w:val="0002656B"/>
    <w:rsid w:val="00034083"/>
    <w:rsid w:val="0005795D"/>
    <w:rsid w:val="00064C83"/>
    <w:rsid w:val="00076F4B"/>
    <w:rsid w:val="000A3670"/>
    <w:rsid w:val="000B120F"/>
    <w:rsid w:val="000D19F9"/>
    <w:rsid w:val="000E793D"/>
    <w:rsid w:val="002313B0"/>
    <w:rsid w:val="0029128B"/>
    <w:rsid w:val="002A2CA6"/>
    <w:rsid w:val="00300C91"/>
    <w:rsid w:val="003602C1"/>
    <w:rsid w:val="003C317F"/>
    <w:rsid w:val="003D5FAA"/>
    <w:rsid w:val="00443D92"/>
    <w:rsid w:val="00467B9E"/>
    <w:rsid w:val="004A6906"/>
    <w:rsid w:val="004D3716"/>
    <w:rsid w:val="0050012A"/>
    <w:rsid w:val="00514383"/>
    <w:rsid w:val="00530D64"/>
    <w:rsid w:val="00550FE8"/>
    <w:rsid w:val="00556DAE"/>
    <w:rsid w:val="0057464D"/>
    <w:rsid w:val="0057515F"/>
    <w:rsid w:val="005B3E8A"/>
    <w:rsid w:val="0061406D"/>
    <w:rsid w:val="006764B5"/>
    <w:rsid w:val="00685F4C"/>
    <w:rsid w:val="00687F47"/>
    <w:rsid w:val="006C0DB9"/>
    <w:rsid w:val="006D3BEC"/>
    <w:rsid w:val="006E248B"/>
    <w:rsid w:val="006F164D"/>
    <w:rsid w:val="00732473"/>
    <w:rsid w:val="007B3B95"/>
    <w:rsid w:val="007F64BF"/>
    <w:rsid w:val="00812E53"/>
    <w:rsid w:val="00813A54"/>
    <w:rsid w:val="00893C83"/>
    <w:rsid w:val="008A2767"/>
    <w:rsid w:val="00905731"/>
    <w:rsid w:val="0091484F"/>
    <w:rsid w:val="00933CBF"/>
    <w:rsid w:val="009422AF"/>
    <w:rsid w:val="0096342B"/>
    <w:rsid w:val="00964442"/>
    <w:rsid w:val="009E6CA0"/>
    <w:rsid w:val="009F18C3"/>
    <w:rsid w:val="00A16EAC"/>
    <w:rsid w:val="00A60E21"/>
    <w:rsid w:val="00A86F7F"/>
    <w:rsid w:val="00A94FCF"/>
    <w:rsid w:val="00A97E72"/>
    <w:rsid w:val="00AE0E92"/>
    <w:rsid w:val="00BA6163"/>
    <w:rsid w:val="00BF2D52"/>
    <w:rsid w:val="00C552AD"/>
    <w:rsid w:val="00C97B4E"/>
    <w:rsid w:val="00CD27E4"/>
    <w:rsid w:val="00CD65EC"/>
    <w:rsid w:val="00D21B90"/>
    <w:rsid w:val="00DB44BB"/>
    <w:rsid w:val="00E57E01"/>
    <w:rsid w:val="00E97AC7"/>
    <w:rsid w:val="00EB0411"/>
    <w:rsid w:val="00ED0871"/>
    <w:rsid w:val="00EE5DFB"/>
    <w:rsid w:val="00F03168"/>
    <w:rsid w:val="00F250D9"/>
    <w:rsid w:val="00F26A2E"/>
    <w:rsid w:val="00FB5428"/>
    <w:rsid w:val="00FD2ED1"/>
    <w:rsid w:val="00FE7A89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62F60"/>
  <w15:docId w15:val="{5486CBB0-B30C-B947-B7D9-2BA85477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87F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stockphoto.com/br/foto/cavalo-sentando-gm133623235-64076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976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Carolina soares</cp:lastModifiedBy>
  <cp:revision>5</cp:revision>
  <dcterms:created xsi:type="dcterms:W3CDTF">2021-04-07T14:45:00Z</dcterms:created>
  <dcterms:modified xsi:type="dcterms:W3CDTF">2021-04-09T01:25:00Z</dcterms:modified>
</cp:coreProperties>
</file>