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280" w:after="280"/>
        <w:ind w:left="1" w:hanging="3"/>
        <w:jc w:val="center"/>
        <w:rPr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/>
        <w:ind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NOVO REGULAMENTO DE ESTRANGEIROS NA ESPANHA: UM PROJETO DE IMIGRAÇÃO QUE SEGREGA E PRIORIZA O CAPITAL ACADÊMICO</w:t>
      </w:r>
    </w:p>
    <w:p>
      <w:pPr>
        <w:pStyle w:val="Ttulo1"/>
        <w:ind w:left="0" w:right="-1" w:hanging="2"/>
        <w:rPr/>
      </w:pPr>
      <w:r>
        <w:rPr/>
      </w:r>
    </w:p>
    <w:p>
      <w:pPr>
        <w:pStyle w:val="Normal"/>
        <w:spacing w:lineRule="auto" w:line="240" w:before="280" w:after="280"/>
        <w:ind w:left="0" w:right="-1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Ttulo1"/>
        <w:spacing w:before="280" w:after="0"/>
        <w:ind w:left="0" w:right="-1" w:hanging="2"/>
        <w:jc w:val="both"/>
        <w:rPr/>
      </w:pPr>
      <w:r>
        <w:rPr/>
      </w:r>
    </w:p>
    <w:p>
      <w:pPr>
        <w:pStyle w:val="Normal"/>
        <w:spacing w:lineRule="auto" w:line="240"/>
        <w:ind w:left="0" w:hanging="2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spacing w:lineRule="auto" w:line="240" w:before="0" w:after="0"/>
        <w:ind w:left="0" w:hanging="2"/>
        <w:jc w:val="both"/>
        <w:rPr>
          <w:sz w:val="24"/>
          <w:szCs w:val="24"/>
        </w:rPr>
      </w:pPr>
      <w:bookmarkStart w:id="0" w:name="_heading=h.gjdgxs"/>
      <w:bookmarkEnd w:id="0"/>
      <w:r>
        <w:rPr>
          <w:rFonts w:cs="Times New Roman" w:ascii="Times New Roman" w:hAnsi="Times New Roman"/>
          <w:strike w:val="false"/>
          <w:dstrike w:val="false"/>
          <w:sz w:val="24"/>
          <w:szCs w:val="24"/>
        </w:rPr>
        <w:t>A reforma do Regulamento de Estrangeiros na Espanha (2024), com aplicação a partir de maio de 2025, marca uma nova abordagem na política migratória espanhola. Inserida em um cenário global de competitividade por talentos qualificados, a reforma apresenta medidas como a ampliação da carga horária de trabalho permitida para estudantes estrangeiros, a vinculação da autorização de residência à duração dos estudos e a criação de um processo rápido para autorizaç</w:t>
      </w:r>
      <w:r>
        <w:rPr>
          <w:rFonts w:eastAsia="NSimSun" w:cs="Times New Roman" w:ascii="Times New Roman" w:hAnsi="Times New Roman"/>
          <w:strike w:val="false"/>
          <w:dstrike w:val="false"/>
          <w:color w:val="auto"/>
          <w:kern w:val="2"/>
          <w:sz w:val="24"/>
          <w:szCs w:val="24"/>
          <w:lang w:val="es-ES" w:eastAsia="zh-CN" w:bidi="hi-IN"/>
        </w:rPr>
        <w:t>ão</w:t>
      </w:r>
      <w:r>
        <w:rPr>
          <w:rFonts w:cs="Times New Roman" w:ascii="Times New Roman" w:hAnsi="Times New Roman"/>
          <w:strike w:val="false"/>
          <w:dstrike w:val="false"/>
          <w:sz w:val="24"/>
          <w:szCs w:val="24"/>
        </w:rPr>
        <w:t xml:space="preserve"> de trabalho após a conclusão da formação. O objetivo central deste estudo é examinar criticamente o novo Regulamento focado na promoção de migrantes em diáspora acadêmica, com visto de estudo e qualificação acadêmica universitária, refletindo uma lógica que atribui maior valor às pessoas com formação acadêmica e limitações daqueles sem acesso a tais credenciais. A análise destaca como o regulamento promove a valorização do grau de qualificação institucional e do prestígio acadêmico como critérios para fortalecer a economia e integrar um tipo específico de migrantes ao tecido social espanhol. Esse estudo adota metodologia análise do discurso, perspectiva de Althusser (1998), e Olandi (2017) para examinar a descrita lei. Os resultados apontam que, embora a reforma traga avanços, como certa estabilidade para migrantes, ela também apresenta características discriminatórias e seletivas. A dependência de critérios específicos para acesso a benefícios da migração em situação de diáspora acadêmica limita o alcance inclusivo das medidas para uma política de migração</w:t>
      </w:r>
      <w:r>
        <w:rPr>
          <w:rFonts w:cs="Times New Roman" w:ascii="Times New Roman" w:hAnsi="Times New Roman"/>
          <w:strike w:val="false"/>
          <w:dstrike w:val="false"/>
          <w:color w:val="auto"/>
          <w:sz w:val="24"/>
          <w:szCs w:val="24"/>
        </w:rPr>
        <w:t xml:space="preserve"> sustentável e equitativa. Outra conclusão se centra em que a medida </w:t>
      </w:r>
      <w:r>
        <w:rPr>
          <w:rStyle w:val="Nfaseforte"/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4"/>
          <w:szCs w:val="24"/>
        </w:rPr>
        <w:t xml:space="preserve">pode gerar sérias consequências negativas para o país de origem, já que possivelmente uma parte da população que se forme na Espanha permanecerá no território. </w:t>
      </w:r>
      <w:r>
        <w:rPr>
          <w:rFonts w:cs="Times New Roman" w:ascii="Times New Roman" w:hAnsi="Times New Roman"/>
          <w:strike w:val="false"/>
          <w:dstrike w:val="false"/>
          <w:color w:val="auto"/>
          <w:sz w:val="24"/>
          <w:szCs w:val="24"/>
        </w:rPr>
        <w:t>Conclui-se que, apesar do discurso oficial de inclusão, a mudança de regulamento reforça uma política migratória elitista, que busca rentabilizar a diáspora acadêmica estran</w:t>
      </w:r>
      <w:r>
        <w:rPr>
          <w:rFonts w:cs="Times New Roman" w:ascii="Times New Roman" w:hAnsi="Times New Roman"/>
          <w:strike w:val="false"/>
          <w:dstrike w:val="false"/>
          <w:sz w:val="24"/>
          <w:szCs w:val="24"/>
        </w:rPr>
        <w:t>geira e privilegia o capital educacional e técnico em detrimento de uma integração mais ampla.</w:t>
      </w:r>
    </w:p>
    <w:p>
      <w:pPr>
        <w:pStyle w:val="Ttulo2"/>
        <w:ind w:left="0" w:hanging="2"/>
        <w:rPr/>
      </w:pPr>
      <w:bookmarkStart w:id="1" w:name="_heading=h.gw0vyzcrrbt0"/>
      <w:bookmarkEnd w:id="1"/>
      <w:r>
        <w:rPr/>
        <w:t>Palavras-chave</w:t>
      </w:r>
    </w:p>
    <w:p>
      <w:pPr>
        <w:pStyle w:val="Normal"/>
        <w:ind w:left="0" w:hanging="2"/>
        <w:rPr/>
      </w:pPr>
      <w:r>
        <w:rPr/>
        <w:t xml:space="preserve">1. </w:t>
      </w:r>
      <w:r>
        <w:rPr>
          <w:rStyle w:val="Nfaseforte"/>
          <w:rFonts w:cs="Times New Roman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>Reforma migratória</w:t>
      </w:r>
      <w:r>
        <w:rPr/>
        <w:t xml:space="preserve"> 2. </w:t>
      </w:r>
      <w:r>
        <w:rPr>
          <w:rStyle w:val="Nfaseforte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>Espanha</w:t>
      </w:r>
      <w:r>
        <w:rPr/>
        <w:t xml:space="preserve"> 3.</w:t>
      </w:r>
      <w:r>
        <w:rPr>
          <w:rStyle w:val="Nfaseforte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 xml:space="preserve"> Diáspora acadêmica</w:t>
      </w:r>
      <w:r>
        <w:rPr/>
        <w:t xml:space="preserve"> 4. </w:t>
      </w:r>
      <w:r>
        <w:rPr>
          <w:rStyle w:val="Nfaseforte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>Política migratória</w:t>
      </w:r>
      <w:r>
        <w:rPr/>
        <w:t xml:space="preserve"> 5. </w:t>
      </w:r>
      <w:r>
        <w:rPr>
          <w:rStyle w:val="Nfaseforte"/>
          <w:b w:val="false"/>
          <w:i w:val="false"/>
          <w:caps w:val="false"/>
          <w:smallCaps w:val="false"/>
          <w:color w:val="auto"/>
          <w:spacing w:val="0"/>
          <w:sz w:val="22"/>
          <w:szCs w:val="22"/>
        </w:rPr>
        <w:t>Capital humano</w:t>
      </w:r>
    </w:p>
    <w:p>
      <w:pPr>
        <w:pStyle w:val="Normal"/>
        <w:spacing w:lineRule="auto" w:line="240" w:before="0" w:after="0"/>
        <w:ind w:left="0" w:hanging="2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1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Referências:</w:t>
      </w:r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ALTHUSSER, Louis. </w:t>
      </w:r>
      <w:r>
        <w:rPr>
          <w:b/>
          <w:bCs/>
          <w:color w:val="808080"/>
          <w:sz w:val="24"/>
          <w:szCs w:val="24"/>
        </w:rPr>
        <w:t>Ideología y aparatos ideológicos de Estado</w:t>
      </w:r>
      <w:r>
        <w:rPr>
          <w:color w:val="808080"/>
          <w:sz w:val="24"/>
          <w:szCs w:val="24"/>
        </w:rPr>
        <w:t xml:space="preserve">. Buenos Aires: Nueva Visión, 1988. </w:t>
      </w:r>
    </w:p>
    <w:p>
      <w:pPr>
        <w:pStyle w:val="Normal"/>
        <w:spacing w:lineRule="auto" w:line="240" w:before="0" w:after="0"/>
        <w:rPr>
          <w:color w:val="808080"/>
        </w:rPr>
      </w:pPr>
      <w:r>
        <w:rPr>
          <w:b w:val="false"/>
          <w:bCs w:val="false"/>
          <w:i w:val="false"/>
          <w:caps w:val="false"/>
          <w:smallCaps w:val="false"/>
          <w:color w:val="808080"/>
          <w:sz w:val="24"/>
          <w:szCs w:val="24"/>
        </w:rPr>
        <w:t>HAYES, Matthew; PÉREZ-GAÑÁN, Rocío. N</w:t>
      </w:r>
      <w:r>
        <w:rPr>
          <w:b/>
          <w:bCs/>
          <w:i w:val="false"/>
          <w:caps w:val="false"/>
          <w:smallCaps w:val="false"/>
          <w:color w:val="808080"/>
          <w:sz w:val="24"/>
          <w:szCs w:val="24"/>
        </w:rPr>
        <w:t>orth–South migrations and the asymmetric expulsions of late capitalism: Global inequality, arbitrage, and new dynamics of North–South transnationalism</w:t>
      </w:r>
      <w:r>
        <w:rPr>
          <w:b w:val="false"/>
          <w:bCs w:val="false"/>
          <w:i w:val="false"/>
          <w:caps w:val="false"/>
          <w:smallCaps w:val="false"/>
          <w:color w:val="808080"/>
          <w:sz w:val="24"/>
          <w:szCs w:val="24"/>
        </w:rPr>
        <w:t>. Migration Studies, 2017, vol. 5, no 1, p. 116-135.</w:t>
      </w:r>
    </w:p>
    <w:p>
      <w:pPr>
        <w:pStyle w:val="Normal"/>
        <w:spacing w:lineRule="auto" w:line="240" w:before="0" w:after="0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ORLANDI, Eni. </w:t>
      </w:r>
      <w:r>
        <w:rPr>
          <w:b/>
          <w:bCs/>
          <w:color w:val="808080"/>
          <w:sz w:val="24"/>
          <w:szCs w:val="24"/>
        </w:rPr>
        <w:t xml:space="preserve">Analisis de Discurso: principios y procedimientos. </w:t>
      </w:r>
      <w:r>
        <w:rPr>
          <w:b w:val="false"/>
          <w:bCs w:val="false"/>
          <w:color w:val="808080"/>
          <w:sz w:val="24"/>
          <w:szCs w:val="24"/>
        </w:rPr>
        <w:t>Lom ediciones, 2017.</w:t>
      </w:r>
    </w:p>
    <w:p>
      <w:pPr>
        <w:pStyle w:val="Normal"/>
        <w:spacing w:lineRule="auto" w:line="240" w:before="0" w:after="0"/>
        <w:rPr/>
      </w:pPr>
      <w:r>
        <w:rPr>
          <w:color w:val="808080"/>
          <w:sz w:val="24"/>
          <w:szCs w:val="24"/>
          <w:highlight w:val="white"/>
        </w:rPr>
        <w:t xml:space="preserve">GOVERNO DA ESPANHA. (2024). </w:t>
      </w:r>
      <w:r>
        <w:rPr>
          <w:rStyle w:val="Nfase"/>
          <w:b/>
          <w:bCs/>
          <w:i w:val="false"/>
          <w:iCs w:val="false"/>
          <w:color w:val="808080"/>
          <w:sz w:val="24"/>
          <w:szCs w:val="24"/>
          <w:highlight w:val="white"/>
        </w:rPr>
        <w:t>Real Decreto 1155/2024, de 19 de noviembre, por el que se aprueba el Reglamento de la Ley Orgánica 4/2000, de 11 de enero, sobre los derechos y libertades de los extranjeros en España y su integración social</w:t>
      </w:r>
      <w:r>
        <w:rPr>
          <w:color w:val="808080"/>
          <w:sz w:val="24"/>
          <w:szCs w:val="24"/>
          <w:highlight w:val="white"/>
        </w:rPr>
        <w:t xml:space="preserve">. Boletín Oficial del Estado, nº 280, de 20 de novembro de 2024. Recuperado de: </w:t>
      </w:r>
      <w:hyperlink r:id="rId2">
        <w:r>
          <w:rPr>
            <w:rStyle w:val="LinkdaInternet"/>
            <w:color w:val="808080"/>
            <w:sz w:val="24"/>
            <w:szCs w:val="24"/>
            <w:highlight w:val="white"/>
          </w:rPr>
          <w:t>https://www.boe.es/diario_boe/txt.php?id=BOE-A-2024-24099</w:t>
        </w:r>
      </w:hyperlink>
    </w:p>
    <w:p>
      <w:pPr>
        <w:pStyle w:val="Normal"/>
        <w:spacing w:lineRule="auto" w:line="240" w:before="0" w:after="0"/>
        <w:ind w:left="0" w:hanging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60"/>
        <w:ind w:left="0" w:hanging="2"/>
        <w:rPr>
          <w:sz w:val="24"/>
          <w:szCs w:val="24"/>
        </w:rPr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701" w:right="1134" w:header="708" w:top="1701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252" w:leader="none"/>
        <w:tab w:val="right" w:pos="8504" w:leader="none"/>
      </w:tabs>
      <w:ind w:left="0" w:hanging="2"/>
      <w:jc w:val="right"/>
      <w:rPr>
        <w:rFonts w:ascii="Calibri" w:hAnsi="Calibri" w:eastAsia="Calibri" w:cs="Calibri"/>
        <w:color w:val="000000"/>
      </w:rPr>
    </w:pPr>
    <w:r>
      <w:rPr>
        <w:rFonts w:eastAsia="Calibri" w:cs="Calibri" w:ascii="Calibri" w:hAnsi="Calibri"/>
        <w:color w:val="000000"/>
      </w:rPr>
      <w:fldChar w:fldCharType="begin"/>
    </w:r>
    <w:r>
      <w:rPr>
        <w:rFonts w:eastAsia="Calibri" w:cs="Calibri" w:ascii="Calibri" w:hAnsi="Calibri"/>
        <w:color w:val="000000"/>
      </w:rPr>
      <w:instrText> PAGE </w:instrText>
    </w:r>
    <w:r>
      <w:rPr>
        <w:rFonts w:eastAsia="Calibri" w:cs="Calibri" w:ascii="Calibri" w:hAnsi="Calibri"/>
        <w:color w:val="000000"/>
      </w:rPr>
      <w:fldChar w:fldCharType="separate"/>
    </w:r>
    <w:r>
      <w:rPr>
        <w:rFonts w:eastAsia="Calibri" w:cs="Calibri" w:ascii="Calibri" w:hAnsi="Calibri"/>
        <w:color w:val="000000"/>
      </w:rPr>
      <w:t>0</w:t>
    </w:r>
    <w:r>
      <w:rPr>
        <w:rFonts w:eastAsia="Calibri" w:cs="Calibri" w:ascii="Calibri" w:hAnsi="Calibri"/>
        <w:color w:val="000000"/>
      </w:rPr>
      <w:fldChar w:fldCharType="end"/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before="0" w:after="160"/>
      <w:ind w:left="0" w:hanging="2"/>
      <w:jc w:val="left"/>
      <w:rPr>
        <w:rFonts w:ascii="Calibri" w:hAnsi="Calibri" w:eastAsia="Calibri" w:cs="Calibri"/>
        <w:color w:val="000000"/>
      </w:rPr>
    </w:pPr>
    <w:r>
      <w:rPr>
        <w:rFonts w:eastAsia="Calibri" w:cs="Calibri" w:ascii="Calibri" w:hAnsi="Calibri"/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spacing w:before="0" w:after="160"/>
      <w:ind w:left="0" w:hanging="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160"/>
      <w:ind w:left="0" w:hanging="0"/>
      <w:rPr>
        <w:b/>
        <w:b/>
        <w:sz w:val="16"/>
        <w:szCs w:val="16"/>
      </w:rPr>
    </w:pPr>
    <w:r>
      <w:rPr>
        <w:b/>
        <w:sz w:val="16"/>
        <w:szCs w:val="16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before="0" w:after="160"/>
      <w:ind w:left="0" w:hanging="2"/>
      <w:rPr/>
    </w:pPr>
    <w:r>
      <w:rPr/>
    </w:r>
  </w:p>
</w:hdr>
</file>

<file path=word/settings.xml><?xml version="1.0" encoding="utf-8"?>
<w:settings xmlns:w="http://schemas.openxmlformats.org/wordprocessingml/2006/main">
  <w:zoom w:percent="172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pt-BR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ind w:left="-1" w:hanging="1"/>
      <w:jc w:val="both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2"/>
      <w:szCs w:val="22"/>
      <w:vertAlign w:val="subscript"/>
      <w:lang w:val="pt-BR" w:eastAsia="ja-JP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lineRule="auto" w:line="240" w:before="280" w:after="280"/>
      <w:ind w:left="-1" w:right="-1" w:hanging="1"/>
      <w:jc w:val="center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 w:val="true"/>
      <w:keepLines/>
      <w:spacing w:lineRule="auto" w:line="240" w:before="0" w:after="0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TextChar" w:customStyle="1">
    <w:name w:val="Footnote Text Char"/>
    <w:qFormat/>
    <w:rPr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Ncoradanotaderodap">
    <w:name w:val="Âncora da nota de rodapé"/>
    <w:rPr>
      <w:w w:val="100"/>
      <w:effect w:val="none"/>
      <w:vertAlign w:val="superscript"/>
      <w:em w:val="none"/>
    </w:rPr>
  </w:style>
  <w:style w:type="character" w:styleId="FootnoteCharacters">
    <w:name w:val="Footnote Characters"/>
    <w:qFormat/>
    <w:rPr>
      <w:w w:val="100"/>
      <w:effect w:val="none"/>
      <w:vertAlign w:val="superscript"/>
      <w:em w:val="none"/>
    </w:rPr>
  </w:style>
  <w:style w:type="character" w:styleId="Annotationreference">
    <w:name w:val="annotation reference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CommentTextChar" w:customStyle="1">
    <w:name w:val="Comment Text Char"/>
    <w:qFormat/>
    <w:rPr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CommentSubjectChar" w:customStyle="1">
    <w:name w:val="Comment Subject Char"/>
    <w:qFormat/>
    <w:rPr>
      <w:b/>
      <w:bCs/>
      <w:w w:val="100"/>
      <w:position w:val="0"/>
      <w:sz w:val="20"/>
      <w:sz w:val="20"/>
      <w:szCs w:val="20"/>
      <w:effect w:val="none"/>
      <w:vertAlign w:val="baseline"/>
      <w:em w:val="none"/>
    </w:rPr>
  </w:style>
  <w:style w:type="character" w:styleId="BalloonTextChar" w:customStyle="1">
    <w:name w:val="Balloon Text Char"/>
    <w:qFormat/>
    <w:rPr>
      <w:rFonts w:ascii="Segoe UI" w:hAnsi="Segoe UI" w:cs="Segoe UI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Strong">
    <w:name w:val="Strong"/>
    <w:qFormat/>
    <w:rPr>
      <w:b/>
      <w:bCs/>
      <w:w w:val="100"/>
      <w:position w:val="0"/>
      <w:sz w:val="24"/>
      <w:sz w:val="24"/>
      <w:effect w:val="none"/>
      <w:vertAlign w:val="baseline"/>
      <w:em w:val="none"/>
    </w:rPr>
  </w:style>
  <w:style w:type="character" w:styleId="HeaderChar" w:customStyle="1">
    <w:name w:val="Header Char"/>
    <w:qFormat/>
    <w:rPr>
      <w:w w:val="100"/>
      <w:position w:val="0"/>
      <w:sz w:val="22"/>
      <w:sz w:val="22"/>
      <w:szCs w:val="22"/>
      <w:effect w:val="none"/>
      <w:vertAlign w:val="baseline"/>
      <w:em w:val="none"/>
      <w:lang w:val="pt-BR"/>
    </w:rPr>
  </w:style>
  <w:style w:type="character" w:styleId="FooterChar" w:customStyle="1">
    <w:name w:val="Footer Char"/>
    <w:qFormat/>
    <w:rPr>
      <w:w w:val="100"/>
      <w:position w:val="0"/>
      <w:sz w:val="22"/>
      <w:sz w:val="22"/>
      <w:szCs w:val="22"/>
      <w:effect w:val="none"/>
      <w:vertAlign w:val="baseline"/>
      <w:em w:val="none"/>
      <w:lang w:val="pt-BR"/>
    </w:rPr>
  </w:style>
  <w:style w:type="character" w:styleId="Nfaseforte">
    <w:name w:val="Ênfase forte"/>
    <w:qFormat/>
    <w:rPr>
      <w:b/>
      <w:bCs/>
    </w:rPr>
  </w:style>
  <w:style w:type="character" w:styleId="Nfase">
    <w:name w:val="Ênfase"/>
    <w:qFormat/>
    <w:rPr>
      <w:i/>
      <w:iCs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lineRule="auto" w:line="240" w:before="280" w:after="280"/>
      <w:ind w:left="-1" w:right="-1" w:hanging="1"/>
      <w:jc w:val="center"/>
    </w:pPr>
    <w:rPr>
      <w:b/>
      <w:sz w:val="24"/>
      <w:szCs w:val="24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sz w:val="24"/>
      <w:szCs w:val="24"/>
    </w:rPr>
  </w:style>
  <w:style w:type="paragraph" w:styleId="Notaderodap">
    <w:name w:val="Footnote Text"/>
    <w:basedOn w:val="Normal"/>
    <w:qFormat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/>
      <w:sz w:val="18"/>
      <w:szCs w:val="1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both"/>
      <w:textAlignment w:val="baseline"/>
    </w:pPr>
    <w:rPr>
      <w:rFonts w:ascii="Liberation Serif;Times New Roman" w:hAnsi="Liberation Serif;Times New Roman" w:eastAsia="NSimSun" w:cs="Lucida Sans"/>
      <w:color w:val="auto"/>
      <w:kern w:val="2"/>
      <w:sz w:val="24"/>
      <w:szCs w:val="24"/>
      <w:lang w:val="es-ES" w:eastAsia="zh-CN" w:bidi="hi-IN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boe.es/diario_boe/txt.php?id=BOE-A-2024-24099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FUc0moVpfkkZwTdttCeILJAutpA==">AMUW2mWo3GP/CpYU+VuF2wbPfUtZ3/px7OdLZod267DO0zsWM7KZWwF+dMdI4veguoSeG8enWS+JNRiMm0uX/FXpKuzjHcUTGm7ONHkclJO0BC6LF/LXvPL/PYFQcs+E7hNaIQjdw5RY1q33Erw+QET/XUumVRxPf1xXLq7I6ESvUT0Mprzcn/JbzpO9OsiO0xJUaJb1ipLATNpYo0jo3xVfG3htkJ+TLTjSKmel+63pPGwiTwwFnnXfw26LyRR2O6ay2CTl+gkXlMt43GuEPbMe8LBwmtBHx1yQyO5mdAje5f9fG5Tlqe97Zfqca2Y7JHIbgzpnUFb6KeS3SU14n6q663z6h6n6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LibreOffice/7.0.0.3$Windows_X86_64 LibreOffice_project/8061b3e9204bef6b321a21033174034a5e2ea88e</Application>
  <Pages>1</Pages>
  <Words>447</Words>
  <Characters>2622</Characters>
  <CharactersWithSpaces>3058</CharactersWithSpaces>
  <Paragraphs>10</Paragraphs>
  <Company>University of Minho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2022-03-30T12:34:00Z</dcterms:created>
  <dc:creator>familia</dc:creator>
  <dc:description/>
  <dc:language>es-ES</dc:language>
  <cp:lastModifiedBy/>
  <dcterms:modified xsi:type="dcterms:W3CDTF">2025-02-06T12:12:50Z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University of Minho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