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 PRODUÇÃO ORIZÍCOLA E A CONSTRUÇÃO DA BARRAGEM-ECLUSA DO CANAL SÃO GONÇALO – RIO GRANDE DO SUL</w:t>
      </w:r>
    </w:p>
    <w:p>
      <w:pPr>
        <w:pStyle w:val="normal1"/>
        <w:spacing w:lineRule="auto" w:line="48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Karla Regina Mendes Cassiano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;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UFRGS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;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mendes.karla1@gmail.com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/>
        <w:shd w:val="clear" w:fill="auto"/>
        <w:spacing w:lineRule="auto" w:line="240" w:before="0" w:after="0"/>
        <w:ind w:hanging="0" w:left="0" w:right="0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Área Temática 1: Desenvolvimento e sustentabilidade socioambiental.</w:t>
      </w:r>
    </w:p>
    <w:p>
      <w:pPr>
        <w:pStyle w:val="normal1"/>
        <w:spacing w:lineRule="auto" w:line="48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RESUMO</w:t>
      </w:r>
    </w:p>
    <w:p>
      <w:pPr>
        <w:pStyle w:val="normal1"/>
        <w:spacing w:lineRule="auto" w:line="48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Na região costeira do Rio Grande do Sul, localizam-se a Lagoa dos Patos e a Lagoa Mirim, dois importantes corpos lagunares interligadas pelo São Gonçalo, um canal natural cujos processos interferem diretamente nas suas dinâmicas, sobretudo da Lagoa Mirim. O Canal São Gonçalo se estende por 76 km e apresenta fluxo hidrológico bidirecional, que pode variar conforme os níveis das lagoas. Muito embora o fluxo seja predominantemente no sentido Mirim-Patos (cerca de 80%) em períodos de estiagem, essa direção pode ser invertida, o que permite a entrada de água salina para o canal, e deste para a Lagoa Mirim. </w:t>
      </w:r>
      <w:r>
        <w:rPr>
          <w:rFonts w:ascii="Times New Roman" w:hAnsi="Times New Roman"/>
          <w:sz w:val="24"/>
          <w:szCs w:val="24"/>
        </w:rPr>
        <w:t>No entanto, essa dinâmica foi alterada em virtude da construção de uma barragem-eclusa em funcionamento desde 1977 e administrada pela Agência de Desenvolvimento da Bacia da Lagoa Mirim (ALM). A referida barragem está localizada na extremidade nordeste do Canal São Gonçalo, a montante do centro do município de Pelotas. Possui um sistema de 18 comportas que permitem a passagem da água que vem da Lagoa Mirim, e quando há risco de inversão de fluxo (Patos/Mirim), as comportas são fechadas. A obra foi realizada no intuito de evitar a intrusão salina proveniente da Lagoa dos Patos para Lagoa Mirim para que os recursos hídricos pudessem ser utilizados na irrigação de produção orizícola, beneficiando os grandes proprietários de terra,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que praticam a atividade na região. Da Lagoa Mirim é retirado o abastecimento das plantações de arroz irrigado tanto do Brasil quanto do Uruguai, que têm uma alta demanda de água nos períodos de baixa precipitação. 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</w:rPr>
        <w:t>A partir do primeiro ano de funcionamento da barragem-eclusa é possível identificar a expansão das propriedades rurais nas áreas de influência do Canal São Gonçalo (parte dos municípios de Arroio Grande, Capão do Leão, Pelotas e Rio Grande) e, consequentemente, o aumento na produção de arroz irrigado. Anteriormente ao ano de 1977, este cultivo somava cerca de 30.500 hectares de área colhida nos quatro municípios. Após o funcionamento da barragem, a área colhida passou por considerável aumento, mesmo em períodos onde se observa queda na produção, em 1980, por exemplo</w:t>
      </w:r>
      <w:r>
        <w:rPr>
          <w:rFonts w:cs="Arial"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metade da década seguinte se vê uma considerável ampliação da área cultivada, principalmente em direção noroeste do São Gonçalo, mais especificamente nos municípios de Capão do Leão e Pelotas. Neste ano a área colhida ultrapassou 50.000 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</w:rPr>
        <w:t>hectares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. Após uma década, em 1995, a produção orizícola na área de estudo supera 80.000 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</w:rPr>
        <w:t>hectares</w:t>
      </w:r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Palavras-chave: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Canal São Gonçalo; Barragem-eclusa; Produção orizícola. </w:t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Contedodoquadrouser">
    <w:name w:val="Conteúdo do quadro (user)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4911</TotalTime>
  <Application>LibreOffice/24.8.5.2$Windows_X86_64 LibreOffice_project/fddf2685c70b461e7832239a0162a77216259f22</Application>
  <AppVersion>15.0000</AppVersion>
  <Pages>1</Pages>
  <Words>432</Words>
  <Characters>2346</Characters>
  <CharactersWithSpaces>2774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2025-03-10T21:17:01Z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