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240" w:lineRule="auto"/>
        <w:ind w:firstLine="0"/>
        <w:rPr>
          <w:rFonts w:ascii="Arial" w:hAnsi="Arial" w:cs="Arial"/>
          <w:sz w:val="24"/>
          <w:szCs w:val="24"/>
          <w:lang w:eastAsia="pt-BR"/>
        </w:rPr>
      </w:pPr>
    </w:p>
    <w:p>
      <w:pPr>
        <w:pStyle w:val="25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>
      <w:pPr>
        <w:pStyle w:val="25"/>
        <w:spacing w:before="0" w:line="240" w:lineRule="auto"/>
        <w:ind w:left="0" w:firstLine="0"/>
        <w:jc w:val="center"/>
        <w:rPr>
          <w:rFonts w:ascii="Arial" w:hAnsi="Arial" w:cs="Arial"/>
          <w:b/>
          <w:color w:val="FF0000"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Efeito das dife</w:t>
      </w:r>
      <w:r>
        <w:rPr>
          <w:rFonts w:ascii="Arial" w:hAnsi="Arial" w:cs="Arial"/>
          <w:b/>
          <w:color w:val="auto"/>
          <w:sz w:val="36"/>
          <w:szCs w:val="36"/>
          <w:lang w:val="pt-BR"/>
        </w:rPr>
        <w:t>rentes formas de processamento do poli(lactídeo-co-glicolídeo) em sua cristalização</w:t>
      </w:r>
    </w:p>
    <w:p>
      <w:pPr>
        <w:pStyle w:val="25"/>
        <w:spacing w:before="0" w:line="240" w:lineRule="auto"/>
        <w:ind w:left="0" w:firstLine="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>
      <w:pPr>
        <w:pStyle w:val="23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Thalles Rafael Silva Rêgo</w:t>
      </w:r>
      <w:r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Anna Lecticia M</w:t>
      </w:r>
      <w:bookmarkStart w:id="0" w:name="_GoBack"/>
      <w:bookmarkEnd w:id="0"/>
      <w:r>
        <w:rPr>
          <w:rFonts w:ascii="Arial" w:hAnsi="Arial" w:cs="Arial"/>
          <w:b/>
          <w:szCs w:val="24"/>
          <w:lang w:val="pt-BR"/>
        </w:rPr>
        <w:t>artinez Martinz Toledo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, Marcos Lopes Dias</w:t>
      </w:r>
      <w:r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>
      <w:pPr>
        <w:pStyle w:val="23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1</w:t>
      </w:r>
      <w:r>
        <w:rPr>
          <w:rFonts w:ascii="Arial" w:hAnsi="Arial" w:cs="Arial"/>
          <w:b/>
          <w:lang w:val="pt-BR"/>
        </w:rPr>
        <w:t>Instituto de Macromoléculas Professora Eloisa Mano</w:t>
      </w:r>
    </w:p>
    <w:p>
      <w:pPr>
        <w:pStyle w:val="24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thallesrafael@ima.ufrj.br</w:t>
      </w:r>
    </w:p>
    <w:p>
      <w:pPr>
        <w:pStyle w:val="25"/>
        <w:spacing w:before="0" w:line="240" w:lineRule="auto"/>
        <w:ind w:left="0" w:firstLine="0"/>
        <w:jc w:val="center"/>
        <w:rPr>
          <w:sz w:val="30"/>
          <w:lang w:val="pt-BR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RESUMO:</w:t>
      </w:r>
    </w:p>
    <w:p>
      <w:pPr>
        <w:pStyle w:val="25"/>
        <w:spacing w:before="0" w:line="240" w:lineRule="auto"/>
        <w:ind w:left="0" w:firstLine="0"/>
        <w:rPr>
          <w:rFonts w:ascii="Arial" w:hAnsi="Arial" w:eastAsia="SimSun" w:cs="Arial"/>
          <w:color w:val="000000"/>
          <w:sz w:val="24"/>
          <w:szCs w:val="24"/>
        </w:rPr>
      </w:pPr>
      <w:r>
        <w:rPr>
          <w:rFonts w:ascii="Arial" w:hAnsi="Arial" w:eastAsia="SimSun" w:cs="Arial"/>
          <w:color w:val="000000"/>
          <w:sz w:val="24"/>
          <w:szCs w:val="24"/>
        </w:rPr>
        <w:t xml:space="preserve">O poli(lactídeo-co-glicolídeo) (PLGA) é um copolímero formado por meros de poli(ácido lático) (PLA) e poli(ácido glicólico) </w:t>
      </w:r>
      <w:r>
        <w:rPr>
          <w:rFonts w:ascii="Arial" w:hAnsi="Arial" w:eastAsia="SimSun" w:cs="Arial"/>
          <w:color w:val="auto"/>
          <w:sz w:val="24"/>
          <w:szCs w:val="24"/>
        </w:rPr>
        <w:t>(PGA). Os</w:t>
      </w:r>
      <w:r>
        <w:rPr>
          <w:rFonts w:ascii="Arial" w:hAnsi="Arial" w:eastAsia="SimSun" w:cs="Arial"/>
          <w:color w:val="FF0000"/>
          <w:sz w:val="24"/>
          <w:szCs w:val="24"/>
        </w:rPr>
        <w:t xml:space="preserve"> </w:t>
      </w:r>
      <w:r>
        <w:rPr>
          <w:rFonts w:ascii="Arial" w:hAnsi="Arial" w:eastAsia="SimSun" w:cs="Arial"/>
          <w:color w:val="000000"/>
          <w:sz w:val="24"/>
          <w:szCs w:val="24"/>
        </w:rPr>
        <w:t>dispositivos PLGA são sistemas heterogêneos compostos por cristalitos altamente anisotrópicos</w:t>
      </w:r>
      <w:r>
        <w:rPr>
          <w:rFonts w:ascii="Arial" w:hAnsi="Arial" w:eastAsia="SimSun" w:cs="Arial"/>
          <w:color w:val="000000"/>
          <w:sz w:val="24"/>
          <w:szCs w:val="24"/>
          <w:lang w:val="pt-BR"/>
        </w:rPr>
        <w:t>, o</w:t>
      </w:r>
      <w:r>
        <w:rPr>
          <w:rFonts w:ascii="Arial" w:hAnsi="Arial" w:eastAsia="SimSun" w:cs="Arial"/>
          <w:color w:val="000000"/>
          <w:sz w:val="24"/>
          <w:szCs w:val="24"/>
        </w:rPr>
        <w:t xml:space="preserve"> tamanho e a distribuição desses cristais e a viscoelasticidade são extremamente dependentes da distribuição do peso molecular e das condições em que o material é processado. Dessa maneira, este trabalho</w:t>
      </w:r>
      <w:r>
        <w:rPr>
          <w:rFonts w:ascii="Arial" w:hAnsi="Arial" w:eastAsia="SimSun" w:cs="Arial"/>
          <w:color w:val="auto"/>
          <w:sz w:val="24"/>
          <w:szCs w:val="24"/>
        </w:rPr>
        <w:t xml:space="preserve"> teve </w:t>
      </w:r>
      <w:r>
        <w:rPr>
          <w:rFonts w:ascii="Arial" w:hAnsi="Arial" w:eastAsia="SimSun" w:cs="Arial"/>
          <w:color w:val="000000"/>
          <w:sz w:val="24"/>
          <w:szCs w:val="24"/>
        </w:rPr>
        <w:t xml:space="preserve">como objetivo investigar a influência </w:t>
      </w:r>
      <w:r>
        <w:rPr>
          <w:rFonts w:ascii="Arial" w:hAnsi="Arial" w:eastAsia="SimSun" w:cs="Arial"/>
          <w:color w:val="auto"/>
          <w:sz w:val="24"/>
          <w:szCs w:val="24"/>
        </w:rPr>
        <w:t>das técnicas de processamento na cristalinidade e propriedades térmicas da amostra comercial de PLGA (PURASORB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 xml:space="preserve"> ® </w:t>
      </w:r>
      <w:r>
        <w:rPr>
          <w:rFonts w:ascii="Arial" w:hAnsi="Arial" w:eastAsia="SimSun" w:cs="Arial"/>
          <w:color w:val="auto"/>
          <w:sz w:val="24"/>
          <w:szCs w:val="24"/>
        </w:rPr>
        <w:t xml:space="preserve">PLG 8531). As amostras produzidas pela técnica de eletrofiação e </w:t>
      </w:r>
      <w:r>
        <w:rPr>
          <w:rFonts w:ascii="Arial" w:hAnsi="Arial" w:eastAsia="SimSun" w:cs="Arial"/>
          <w:iCs/>
          <w:color w:val="auto"/>
          <w:sz w:val="24"/>
          <w:szCs w:val="24"/>
        </w:rPr>
        <w:t>filme vazado</w:t>
      </w:r>
      <w:r>
        <w:rPr>
          <w:rFonts w:ascii="Arial" w:hAnsi="Arial" w:eastAsia="SimSun" w:cs="Arial"/>
          <w:color w:val="auto"/>
          <w:sz w:val="24"/>
          <w:szCs w:val="24"/>
        </w:rPr>
        <w:t xml:space="preserve"> foram caracterizadas por meio de difração de raios-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>X</w:t>
      </w:r>
      <w:r>
        <w:rPr>
          <w:rFonts w:ascii="Arial" w:hAnsi="Arial" w:eastAsia="SimSun" w:cs="Arial"/>
          <w:color w:val="auto"/>
          <w:sz w:val="24"/>
          <w:szCs w:val="24"/>
        </w:rPr>
        <w:t xml:space="preserve"> (XRD), análise termogravimétrica (TGA) e calorimetria exploratória diferencial (DSC), comparando as amostras processadas com polímero na forma que é comercializado (grânulos)</w:t>
      </w:r>
      <w:r>
        <w:rPr>
          <w:rFonts w:hint="default" w:ascii="Arial" w:hAnsi="Arial" w:eastAsia="SimSun" w:cs="Arial"/>
          <w:color w:val="auto"/>
          <w:sz w:val="24"/>
          <w:szCs w:val="24"/>
          <w:lang w:val="pt-BR"/>
        </w:rPr>
        <w:t>.</w:t>
      </w:r>
      <w:r>
        <w:rPr>
          <w:rFonts w:ascii="Arial" w:hAnsi="Arial" w:eastAsia="SimSun" w:cs="Arial"/>
          <w:color w:val="000000"/>
          <w:sz w:val="24"/>
          <w:szCs w:val="24"/>
        </w:rPr>
        <w:t xml:space="preserve"> Os difratogramas apontaram qu</w:t>
      </w:r>
      <w:r>
        <w:rPr>
          <w:rFonts w:ascii="Arial" w:hAnsi="Arial" w:eastAsia="SimSun" w:cs="Arial"/>
          <w:color w:val="auto"/>
          <w:sz w:val="24"/>
          <w:szCs w:val="24"/>
        </w:rPr>
        <w:t xml:space="preserve">e o filme vazado apresenta um maior ordenamento estrutural em comparação com a membrana eletrofiada. A análise termogravimétrica do filme vazado apontou presença de, aproximadamente, 10% de solvente residual na amostra, enquanto a membrana eletrofiada não apresentou tal 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>fenômeno</w:t>
      </w:r>
      <w:r>
        <w:rPr>
          <w:rFonts w:ascii="Arial" w:hAnsi="Arial" w:eastAsia="SimSun" w:cs="Arial"/>
          <w:color w:val="auto"/>
          <w:sz w:val="24"/>
          <w:szCs w:val="24"/>
        </w:rPr>
        <w:t>, indicando que a técnica</w:t>
      </w:r>
      <w:r>
        <w:rPr>
          <w:rFonts w:ascii="Arial" w:hAnsi="Arial" w:eastAsia="SimSun" w:cs="Arial"/>
          <w:color w:val="FF0000"/>
          <w:sz w:val="24"/>
          <w:szCs w:val="24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>permitiu</w:t>
      </w:r>
      <w:r>
        <w:rPr>
          <w:rFonts w:ascii="Arial" w:hAnsi="Arial" w:eastAsia="SimSun" w:cs="Arial"/>
          <w:color w:val="000000"/>
          <w:sz w:val="24"/>
          <w:szCs w:val="24"/>
        </w:rPr>
        <w:t xml:space="preserve"> a evaporação de todo o solvente</w:t>
      </w:r>
      <w:r>
        <w:rPr>
          <w:rFonts w:ascii="Arial" w:hAnsi="Arial" w:eastAsia="SimSun" w:cs="Arial"/>
          <w:color w:val="FF0000"/>
          <w:sz w:val="24"/>
          <w:szCs w:val="24"/>
        </w:rPr>
        <w:t xml:space="preserve"> </w:t>
      </w:r>
      <w:r>
        <w:rPr>
          <w:rFonts w:ascii="Arial" w:hAnsi="Arial" w:eastAsia="SimSun" w:cs="Arial"/>
          <w:color w:val="000000"/>
          <w:sz w:val="24"/>
          <w:szCs w:val="24"/>
        </w:rPr>
        <w:t>durante o processo de formação da fibra</w:t>
      </w:r>
      <w:r>
        <w:rPr>
          <w:rFonts w:ascii="Arial" w:hAnsi="Arial" w:eastAsia="SimSun" w:cs="Arial"/>
          <w:color w:val="auto"/>
          <w:sz w:val="24"/>
          <w:szCs w:val="24"/>
        </w:rPr>
        <w:t xml:space="preserve">. A </w:t>
      </w:r>
      <w:r>
        <w:rPr>
          <w:rFonts w:ascii="Arial" w:hAnsi="Arial" w:eastAsia="SimSun" w:cs="Arial"/>
          <w:color w:val="000000"/>
          <w:sz w:val="24"/>
          <w:szCs w:val="24"/>
        </w:rPr>
        <w:t>temperatura máxima de degradação para</w:t>
      </w:r>
      <w:r>
        <w:rPr>
          <w:rFonts w:ascii="Arial" w:hAnsi="Arial" w:eastAsia="SimSun" w:cs="Arial"/>
          <w:color w:val="auto"/>
          <w:sz w:val="24"/>
          <w:szCs w:val="24"/>
        </w:rPr>
        <w:t xml:space="preserve"> o filme vazado e a membrana eletrofiada foram de 328,4 °C e 332,6 °C, respectivamente.</w:t>
      </w:r>
      <w:r>
        <w:rPr>
          <w:rFonts w:ascii="Arial" w:hAnsi="Arial" w:eastAsia="SimSun" w:cs="Arial"/>
          <w:color w:val="000000"/>
          <w:sz w:val="24"/>
          <w:szCs w:val="24"/>
        </w:rPr>
        <w:t xml:space="preserve"> A análise por DSC do PLGA sem processamento apontou </w:t>
      </w:r>
      <w:r>
        <w:rPr>
          <w:rFonts w:ascii="Arial" w:hAnsi="Arial" w:eastAsia="SimSun" w:cs="Arial"/>
          <w:color w:val="auto"/>
          <w:sz w:val="24"/>
          <w:szCs w:val="24"/>
        </w:rPr>
        <w:t>uma T</w:t>
      </w:r>
      <w:r>
        <w:rPr>
          <w:rFonts w:ascii="Arial" w:hAnsi="Arial" w:eastAsia="SimSun" w:cs="Arial"/>
          <w:color w:val="auto"/>
          <w:sz w:val="24"/>
          <w:szCs w:val="24"/>
          <w:vertAlign w:val="subscript"/>
        </w:rPr>
        <w:t>g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 xml:space="preserve">em 51,2 °C, </w:t>
      </w:r>
      <w:r>
        <w:rPr>
          <w:rFonts w:ascii="Arial" w:hAnsi="Arial" w:eastAsia="SimSun" w:cs="Arial"/>
          <w:color w:val="auto"/>
          <w:sz w:val="22"/>
          <w:szCs w:val="22"/>
        </w:rPr>
        <w:t>T</w:t>
      </w:r>
      <w:r>
        <w:rPr>
          <w:rFonts w:ascii="Arial" w:hAnsi="Arial" w:eastAsia="SimSun" w:cs="Arial"/>
          <w:color w:val="auto"/>
          <w:sz w:val="22"/>
          <w:szCs w:val="22"/>
          <w:vertAlign w:val="subscript"/>
          <w:lang w:val="pt-BR"/>
        </w:rPr>
        <w:t>m</w:t>
      </w:r>
      <w:r>
        <w:rPr>
          <w:rFonts w:ascii="Arial" w:hAnsi="Arial" w:eastAsia="SimSun" w:cs="Arial"/>
          <w:color w:val="auto"/>
          <w:sz w:val="22"/>
          <w:szCs w:val="22"/>
          <w:lang w:val="pt-BR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>em 142,9 °C e cristalinidade de 27,45% (Δ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>H</w:t>
      </w:r>
      <w:r>
        <w:rPr>
          <w:rFonts w:ascii="Arial" w:hAnsi="Arial" w:eastAsia="SimSun" w:cs="Arial"/>
          <w:color w:val="auto"/>
          <w:sz w:val="24"/>
          <w:szCs w:val="24"/>
          <w:vertAlign w:val="subscript"/>
          <w:lang w:val="pt-BR"/>
        </w:rPr>
        <w:t>m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>°</w:t>
      </w:r>
      <w:r>
        <w:rPr>
          <w:rFonts w:ascii="Arial" w:hAnsi="Arial" w:eastAsia="SimSun" w:cs="Arial"/>
          <w:color w:val="auto"/>
          <w:sz w:val="24"/>
          <w:szCs w:val="24"/>
        </w:rPr>
        <w:t>= 106 J/g). Após o processamento, o filme vazado apresentou T</w:t>
      </w:r>
      <w:r>
        <w:rPr>
          <w:rFonts w:ascii="Arial" w:hAnsi="Arial" w:eastAsia="SimSun" w:cs="Arial"/>
          <w:color w:val="auto"/>
          <w:sz w:val="24"/>
          <w:szCs w:val="24"/>
          <w:vertAlign w:val="subscript"/>
          <w:lang w:val="pt-BR"/>
        </w:rPr>
        <w:t>g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>em torno de 34,1 °C e um segundo evento endotérmico por volta de 58,9 °C, que pode estar relacionado com a presença de solvente entre as cadeias poliméricas, atuando como um plastificante e consequentemente diminuindo o valor da T</w:t>
      </w:r>
      <w:r>
        <w:rPr>
          <w:rFonts w:ascii="Arial" w:hAnsi="Arial" w:eastAsia="SimSun" w:cs="Arial"/>
          <w:color w:val="auto"/>
          <w:sz w:val="24"/>
          <w:szCs w:val="24"/>
          <w:vertAlign w:val="subscript"/>
          <w:lang w:val="pt-BR"/>
        </w:rPr>
        <w:t>g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>para essa amostra.</w:t>
      </w:r>
      <w:r>
        <w:rPr>
          <w:rFonts w:ascii="Arial" w:hAnsi="Arial" w:eastAsia="SimSun" w:cs="Arial"/>
          <w:color w:val="FF0000"/>
          <w:sz w:val="24"/>
          <w:szCs w:val="24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>A T</w:t>
      </w:r>
      <w:r>
        <w:rPr>
          <w:rFonts w:ascii="Arial" w:hAnsi="Arial" w:eastAsia="SimSun" w:cs="Arial"/>
          <w:color w:val="auto"/>
          <w:sz w:val="24"/>
          <w:szCs w:val="24"/>
          <w:vertAlign w:val="subscript"/>
        </w:rPr>
        <w:t>m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>manifestou-se em 149,2 °C e a cristalinidade calculada foi de 0,1%.</w:t>
      </w:r>
      <w:r>
        <w:rPr>
          <w:rFonts w:ascii="Arial" w:hAnsi="Arial" w:eastAsia="SimSun" w:cs="Arial"/>
          <w:color w:val="000000"/>
          <w:sz w:val="24"/>
          <w:szCs w:val="24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>Quanto a membrana eletrofiada o valor de T</w:t>
      </w:r>
      <w:r>
        <w:rPr>
          <w:rFonts w:ascii="Arial" w:hAnsi="Arial" w:eastAsia="SimSun" w:cs="Arial"/>
          <w:color w:val="auto"/>
          <w:sz w:val="24"/>
          <w:szCs w:val="24"/>
          <w:vertAlign w:val="subscript"/>
          <w:lang w:val="pt-BR"/>
        </w:rPr>
        <w:t>g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>encontrado foi de 59,5 °C, apresentou um pico referente à cristalização durante aquecimento (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>T</w:t>
      </w:r>
      <w:r>
        <w:rPr>
          <w:rFonts w:ascii="Arial" w:hAnsi="Arial" w:eastAsia="SimSun" w:cs="Arial"/>
          <w:color w:val="auto"/>
          <w:sz w:val="24"/>
          <w:szCs w:val="24"/>
          <w:vertAlign w:val="subscript"/>
          <w:lang w:val="pt-BR"/>
        </w:rPr>
        <w:t>cc</w:t>
      </w:r>
      <w:r>
        <w:rPr>
          <w:rFonts w:ascii="Arial" w:hAnsi="Arial" w:eastAsia="SimSun" w:cs="Arial"/>
          <w:color w:val="auto"/>
          <w:sz w:val="24"/>
          <w:szCs w:val="24"/>
        </w:rPr>
        <w:t>) em torno de 90,6 °C e a T</w:t>
      </w:r>
      <w:r>
        <w:rPr>
          <w:rFonts w:ascii="Arial" w:hAnsi="Arial" w:eastAsia="SimSun" w:cs="Arial"/>
          <w:color w:val="auto"/>
          <w:sz w:val="24"/>
          <w:szCs w:val="24"/>
          <w:vertAlign w:val="subscript"/>
          <w:lang w:val="pt-BR"/>
        </w:rPr>
        <w:t>m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 xml:space="preserve"> </w:t>
      </w:r>
      <w:r>
        <w:rPr>
          <w:rFonts w:ascii="Arial" w:hAnsi="Arial" w:eastAsia="SimSun" w:cs="Arial"/>
          <w:color w:val="auto"/>
          <w:sz w:val="24"/>
          <w:szCs w:val="24"/>
        </w:rPr>
        <w:t>por volta de 147,9 °C, revelando que a formação da fibra no processo de eletrofiação permite que, sob aquecimento, as cadeias poliméricas do PLGA po</w:t>
      </w:r>
      <w:r>
        <w:rPr>
          <w:rFonts w:ascii="Arial" w:hAnsi="Arial" w:eastAsia="SimSun" w:cs="Arial"/>
          <w:color w:val="auto"/>
          <w:sz w:val="24"/>
          <w:szCs w:val="24"/>
          <w:lang w:val="pt-BR"/>
        </w:rPr>
        <w:t>ssam</w:t>
      </w:r>
      <w:r>
        <w:rPr>
          <w:rFonts w:ascii="Arial" w:hAnsi="Arial" w:eastAsia="SimSun" w:cs="Arial"/>
          <w:color w:val="auto"/>
          <w:sz w:val="24"/>
          <w:szCs w:val="24"/>
        </w:rPr>
        <w:t xml:space="preserve"> se reorganizar para formação de cristais. A cristalinidade calculada para essa amostra foi de 2,45%.</w:t>
      </w:r>
    </w:p>
    <w:p>
      <w:pPr>
        <w:pStyle w:val="25"/>
        <w:spacing w:before="0" w:line="240" w:lineRule="auto"/>
        <w:ind w:left="0" w:firstLine="0"/>
        <w:rPr>
          <w:rFonts w:ascii="Arial" w:hAnsi="Arial" w:eastAsia="SimSun" w:cs="Arial"/>
          <w:color w:val="000000"/>
          <w:sz w:val="24"/>
          <w:szCs w:val="24"/>
          <w:lang w:val="pt-BR"/>
        </w:rPr>
      </w:pPr>
    </w:p>
    <w:p>
      <w:pPr>
        <w:pStyle w:val="25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PLGA; Cristalinidade</w:t>
      </w:r>
      <w:r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Propriedades Térmicas</w:t>
      </w:r>
      <w:r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Cs w:val="24"/>
          <w:lang w:val="pt-BR"/>
        </w:rPr>
        <w:t xml:space="preserve"> </w:t>
      </w:r>
    </w:p>
    <w:p>
      <w:pP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br w:type="page"/>
      </w:r>
    </w:p>
    <w:p>
      <w:pPr>
        <w:pStyle w:val="25"/>
        <w:spacing w:before="0" w:line="240" w:lineRule="auto"/>
        <w:ind w:left="0" w:firstLine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REFERÊNCIAS:</w:t>
      </w:r>
    </w:p>
    <w:p>
      <w:pPr>
        <w:pStyle w:val="28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  <w:lang w:val="pt-BR"/>
        </w:rPr>
        <w:t xml:space="preserve">[1] MELO, L. P.; SALMORIA, G. V.; FANCELLO, E. A.; ROESLER, C. R. M.. </w:t>
      </w: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Effect of Injection Molding Melt Temperatures on PLGA Craniofacial Plate Properties during In Vitro Degradation. </w:t>
      </w:r>
      <w:r>
        <w:rPr>
          <w:rStyle w:val="4"/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International Journal Of Biomaterials</w:t>
      </w: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, [S.L.], v. 2017, p. 1-11, 2017. DOI: http://dx.doi.org/10.1155/2017/1256537.</w:t>
      </w: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[2] MAKADIA, H. K.; SIEGEL, S. J. Poly Lactic-co-Glycolic Acid (PLGA) as Biodegradable Controlled Drug Delivery Carrier. </w:t>
      </w:r>
      <w:r>
        <w:rPr>
          <w:rStyle w:val="4"/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Polymers</w:t>
      </w: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, [S.L.], v. 3, n. 3, p. 1377-1397, 26 ago. 2011. DOI: http://dx.doi.org/10.3390/polym3031377.</w:t>
      </w: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[3] ZHANG, Z.; WANG, X.; ZHU, R.; WANG, Y.; LI, B.; MA, Y.; YIN, Y. Synthesis and characterization of serial random and block-copolymers based on lactide and glycolide. </w:t>
      </w:r>
      <w:r>
        <w:rPr>
          <w:rStyle w:val="4"/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Polymer Science Series B</w:t>
      </w: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, [S.L.], v. 58, n. 6, p. 720-729, nov. 2016. DOI: http://dx.doi.org/10.1134/s1560090416060191.</w:t>
      </w: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[4] SCAFFARO, R.; MAIO, A.; NOSTRO, A. Poly(lactic acid)/carvacrol-based materials: preparation, physicochemical properties, and antimicrobial activity. </w:t>
      </w:r>
      <w:r>
        <w:rPr>
          <w:rStyle w:val="4"/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Applied Microbiology And Biotechnology</w:t>
      </w: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, [S.L.], v. 104, n. 5, p. 1823-1835, 10 jan. 2020. DOI: http://dx.doi.org/10.1007/s00253-019-10337-9.</w:t>
      </w: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[5] KARIDURAGANAVAR, M. Y.; KITTUR, A. A.; KAMBLE, R. R. Polymer Synthesis and Processing. </w:t>
      </w:r>
      <w:r>
        <w:rPr>
          <w:rStyle w:val="4"/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Natural And Synthetic Biomedical Polymers</w:t>
      </w: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, [S.L.], p. 1-31, 2014. DOI: http://dx.doi.org/10.1016/b978-0-12-396983-5.00001-6.</w:t>
      </w: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[6] LONG, Y.; YAN, X.; WANG, X.; ZHANG, J.; YU, M. Electrospinning. </w:t>
      </w:r>
      <w:r>
        <w:rPr>
          <w:rStyle w:val="4"/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Electrospinning</w:t>
      </w: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: Nanofabrication and Applications, [S.L.], p. 21-52, 2019. DOI: http://dx.doi.org/10.1016/b978-0-323-51270-1.00002-9.</w:t>
      </w:r>
    </w:p>
    <w:p>
      <w:pPr>
        <w:pStyle w:val="28"/>
        <w:spacing w:line="240" w:lineRule="auto"/>
        <w:ind w:firstLine="0"/>
        <w:jc w:val="center"/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</w:pPr>
    </w:p>
    <w:p>
      <w:pPr>
        <w:pStyle w:val="28"/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  <w:lang w:val="pt-BR"/>
        </w:rPr>
        <w:t xml:space="preserve">[7] CHOR, A.; GONÇALVES, R. P.; COSTA, A. M.; FARINA, M.; PONCHE, A.; SIRELLI, L.; SCHRODJ, G.; GREE, S.; ANDRADE, L. R.; ANSELME, K.. </w:t>
      </w: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In Vitro Degradation of Electrospun Poly(Lactic-Co-Glycolic Acid) (PLGA) for Oral Mucosa Regeneration. </w:t>
      </w:r>
      <w:r>
        <w:rPr>
          <w:rStyle w:val="4"/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Polymers</w:t>
      </w:r>
      <w:r>
        <w:rPr>
          <w:rFonts w:ascii="Helvetica" w:hAnsi="Helvetica" w:eastAsia="Helvetica" w:cs="Helvetica"/>
          <w:color w:val="222222"/>
          <w:sz w:val="24"/>
          <w:szCs w:val="24"/>
          <w:shd w:val="clear" w:color="auto" w:fill="FFFFFF"/>
        </w:rPr>
        <w:t>, [S.L.], v. 12, n. 8, p. 1853, 18 ago. 2020. DOI: http://dx.doi.org/10.3390/polym12081853.</w:t>
      </w:r>
    </w:p>
    <w:sectPr>
      <w:headerReference r:id="rId5" w:type="default"/>
      <w:footerReference r:id="rId6" w:type="default"/>
      <w:pgSz w:w="11906" w:h="16838"/>
      <w:pgMar w:top="594" w:right="1418" w:bottom="1418" w:left="1418" w:header="142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16ª Semana de Polímeros Professora Eloísa Mano</w:t>
    </w:r>
  </w:p>
  <w:p>
    <w:pPr>
      <w:pStyle w:val="12"/>
      <w:jc w:val="center"/>
      <w:rPr>
        <w:rFonts w:ascii="Arial" w:hAnsi="Arial" w:cs="Arial"/>
      </w:rPr>
    </w:pPr>
    <w:r>
      <w:rPr>
        <w:rFonts w:ascii="Arial" w:hAnsi="Arial" w:cs="Arial"/>
      </w:rPr>
      <w:t>16,17 e 18 de novembro de 2022</w:t>
    </w:r>
  </w:p>
  <w:p>
    <w:pPr>
      <w:pStyle w:val="12"/>
      <w:jc w:val="center"/>
      <w:rPr>
        <w:rFonts w:ascii="Arial" w:hAnsi="Arial" w:cs="Arial"/>
      </w:rPr>
    </w:pPr>
    <w:r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lang w:val="pt-BR" w:eastAsia="pt-BR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>
                    <a:fillRect/>
                  </a:stretch>
                </pic:blipFill>
                <pic:spPr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Uma imagem contendo relógio, placa, placar&#10;&#10;Descrição gerada automa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85ED7"/>
    <w:rsid w:val="000C412A"/>
    <w:rsid w:val="000D7137"/>
    <w:rsid w:val="000D7EDA"/>
    <w:rsid w:val="000E04F5"/>
    <w:rsid w:val="000E43F3"/>
    <w:rsid w:val="001057EE"/>
    <w:rsid w:val="001348A1"/>
    <w:rsid w:val="00140187"/>
    <w:rsid w:val="00155ACB"/>
    <w:rsid w:val="00172FDA"/>
    <w:rsid w:val="001911FE"/>
    <w:rsid w:val="001A32C8"/>
    <w:rsid w:val="001B0D1D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31146"/>
    <w:rsid w:val="003404D0"/>
    <w:rsid w:val="0035497F"/>
    <w:rsid w:val="00361694"/>
    <w:rsid w:val="00367D8F"/>
    <w:rsid w:val="00371EF9"/>
    <w:rsid w:val="003722AB"/>
    <w:rsid w:val="00393B26"/>
    <w:rsid w:val="003B706E"/>
    <w:rsid w:val="003C077B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973D6"/>
    <w:rsid w:val="004C01B1"/>
    <w:rsid w:val="004C0D2B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97E1A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5D5A"/>
    <w:rsid w:val="00897F80"/>
    <w:rsid w:val="008B5D2B"/>
    <w:rsid w:val="008B5D87"/>
    <w:rsid w:val="008C590F"/>
    <w:rsid w:val="008D1A76"/>
    <w:rsid w:val="008F25DD"/>
    <w:rsid w:val="00906049"/>
    <w:rsid w:val="00930549"/>
    <w:rsid w:val="009314EF"/>
    <w:rsid w:val="009411E4"/>
    <w:rsid w:val="009611A6"/>
    <w:rsid w:val="00975D07"/>
    <w:rsid w:val="00977793"/>
    <w:rsid w:val="00986288"/>
    <w:rsid w:val="00994D32"/>
    <w:rsid w:val="0099579C"/>
    <w:rsid w:val="009C7019"/>
    <w:rsid w:val="009D3211"/>
    <w:rsid w:val="009E04FB"/>
    <w:rsid w:val="009E21BA"/>
    <w:rsid w:val="009E40D6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47C9A"/>
    <w:rsid w:val="00B50B6C"/>
    <w:rsid w:val="00B76B97"/>
    <w:rsid w:val="00B771EA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83783"/>
    <w:rsid w:val="00D92608"/>
    <w:rsid w:val="00D978D6"/>
    <w:rsid w:val="00DA1655"/>
    <w:rsid w:val="00DE6D78"/>
    <w:rsid w:val="00DE7862"/>
    <w:rsid w:val="00E21BC9"/>
    <w:rsid w:val="00E56FF3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5719"/>
    <w:rsid w:val="00EF61A0"/>
    <w:rsid w:val="00F15D5A"/>
    <w:rsid w:val="00F35651"/>
    <w:rsid w:val="00F365AB"/>
    <w:rsid w:val="00F563C9"/>
    <w:rsid w:val="00F6420B"/>
    <w:rsid w:val="00F66A0A"/>
    <w:rsid w:val="00F877AE"/>
    <w:rsid w:val="00FA5A8A"/>
    <w:rsid w:val="00FB336A"/>
    <w:rsid w:val="00FD615E"/>
    <w:rsid w:val="00FF20ED"/>
    <w:rsid w:val="16554FB7"/>
    <w:rsid w:val="18EF20EF"/>
    <w:rsid w:val="491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320" w:lineRule="exact"/>
      <w:jc w:val="both"/>
    </w:pPr>
    <w:rPr>
      <w:rFonts w:ascii="Times" w:hAnsi="Times" w:eastAsia="Times New Roman" w:cs="Times New Roman"/>
      <w:sz w:val="24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Body Text"/>
    <w:basedOn w:val="1"/>
    <w:link w:val="26"/>
    <w:qFormat/>
    <w:uiPriority w:val="0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paragraph" w:styleId="8">
    <w:name w:val="annotation text"/>
    <w:basedOn w:val="1"/>
    <w:link w:val="18"/>
    <w:semiHidden/>
    <w:unhideWhenUsed/>
    <w:qFormat/>
    <w:uiPriority w:val="99"/>
    <w:pPr>
      <w:spacing w:line="240" w:lineRule="auto"/>
    </w:pPr>
    <w:rPr>
      <w:sz w:val="20"/>
    </w:rPr>
  </w:style>
  <w:style w:type="paragraph" w:styleId="9">
    <w:name w:val="HTML Preformatted"/>
    <w:basedOn w:val="1"/>
    <w:link w:val="2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paragraph" w:styleId="10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1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4">
    <w:name w:val="Balloon Text"/>
    <w:basedOn w:val="1"/>
    <w:link w:val="19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table" w:styleId="1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Cabeçalho Char"/>
    <w:basedOn w:val="2"/>
    <w:link w:val="10"/>
    <w:qFormat/>
    <w:uiPriority w:val="99"/>
  </w:style>
  <w:style w:type="character" w:customStyle="1" w:styleId="17">
    <w:name w:val="Rodapé Char"/>
    <w:basedOn w:val="2"/>
    <w:link w:val="12"/>
    <w:qFormat/>
    <w:uiPriority w:val="99"/>
  </w:style>
  <w:style w:type="character" w:customStyle="1" w:styleId="18">
    <w:name w:val="Texto de comentário Char"/>
    <w:basedOn w:val="2"/>
    <w:link w:val="8"/>
    <w:semiHidden/>
    <w:uiPriority w:val="99"/>
    <w:rPr>
      <w:sz w:val="20"/>
      <w:szCs w:val="20"/>
    </w:rPr>
  </w:style>
  <w:style w:type="character" w:customStyle="1" w:styleId="19">
    <w:name w:val="Texto de balão Char"/>
    <w:basedOn w:val="2"/>
    <w:link w:val="1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">
    <w:name w:val="Pré-formatação HTML Char"/>
    <w:basedOn w:val="2"/>
    <w:link w:val="9"/>
    <w:uiPriority w:val="99"/>
    <w:rPr>
      <w:rFonts w:ascii="Courier New" w:hAnsi="Courier New" w:eastAsia="Times New Roman" w:cs="Courier New"/>
      <w:sz w:val="20"/>
      <w:szCs w:val="20"/>
      <w:lang w:eastAsia="pt-BR"/>
    </w:rPr>
  </w:style>
  <w:style w:type="paragraph" w:customStyle="1" w:styleId="21">
    <w:name w:val="00_abstract_title"/>
    <w:uiPriority w:val="0"/>
    <w:pPr>
      <w:spacing w:after="160" w:line="480" w:lineRule="exact"/>
      <w:jc w:val="center"/>
    </w:pPr>
    <w:rPr>
      <w:rFonts w:ascii="Times" w:hAnsi="Times" w:eastAsia="Times New Roman" w:cs="Times New Roman"/>
      <w:b/>
      <w:sz w:val="36"/>
      <w:lang w:val="de-DE" w:eastAsia="en-US" w:bidi="ar-SA"/>
    </w:rPr>
  </w:style>
  <w:style w:type="paragraph" w:customStyle="1" w:styleId="22">
    <w:name w:val="00_abstract_body"/>
    <w:qFormat/>
    <w:uiPriority w:val="0"/>
    <w:pPr>
      <w:spacing w:before="120" w:line="320" w:lineRule="exact"/>
      <w:jc w:val="both"/>
    </w:pPr>
    <w:rPr>
      <w:rFonts w:ascii="Times" w:hAnsi="Times" w:eastAsia="Times New Roman" w:cs="Times New Roman"/>
      <w:sz w:val="24"/>
      <w:lang w:val="de-DE" w:eastAsia="en-US" w:bidi="ar-SA"/>
    </w:rPr>
  </w:style>
  <w:style w:type="paragraph" w:customStyle="1" w:styleId="23">
    <w:name w:val="00_abstract_authors"/>
    <w:uiPriority w:val="0"/>
    <w:pPr>
      <w:spacing w:after="120" w:line="320" w:lineRule="exact"/>
      <w:jc w:val="center"/>
    </w:pPr>
    <w:rPr>
      <w:rFonts w:ascii="Times" w:hAnsi="Times" w:eastAsia="Times New Roman" w:cs="Times New Roman"/>
      <w:sz w:val="24"/>
      <w:lang w:val="de-DE" w:eastAsia="en-US" w:bidi="ar-SA"/>
    </w:rPr>
  </w:style>
  <w:style w:type="paragraph" w:customStyle="1" w:styleId="24">
    <w:name w:val="00_abstract_affiliation"/>
    <w:qFormat/>
    <w:uiPriority w:val="0"/>
    <w:pPr>
      <w:spacing w:line="320" w:lineRule="exact"/>
      <w:jc w:val="center"/>
    </w:pPr>
    <w:rPr>
      <w:rFonts w:ascii="Times" w:hAnsi="Times" w:eastAsia="Times New Roman" w:cs="Times New Roman"/>
      <w:i/>
      <w:lang w:val="de-DE" w:eastAsia="en-US" w:bidi="ar-SA"/>
    </w:rPr>
  </w:style>
  <w:style w:type="paragraph" w:customStyle="1" w:styleId="25">
    <w:name w:val="00_abstract_references"/>
    <w:qFormat/>
    <w:uiPriority w:val="0"/>
    <w:pPr>
      <w:spacing w:before="60" w:line="240" w:lineRule="exact"/>
      <w:ind w:left="454" w:hanging="454"/>
      <w:jc w:val="both"/>
    </w:pPr>
    <w:rPr>
      <w:rFonts w:ascii="Times" w:hAnsi="Times" w:eastAsia="Times New Roman" w:cs="Times New Roman"/>
      <w:lang w:val="de-DE" w:eastAsia="en-US" w:bidi="ar-SA"/>
    </w:rPr>
  </w:style>
  <w:style w:type="character" w:customStyle="1" w:styleId="26">
    <w:name w:val="Corpo de texto Char"/>
    <w:basedOn w:val="2"/>
    <w:link w:val="7"/>
    <w:uiPriority w:val="0"/>
    <w:rPr>
      <w:rFonts w:ascii="Times New Roman" w:hAnsi="Times New Roman" w:eastAsia="Times New Roman" w:cs="Times New Roman"/>
      <w:sz w:val="24"/>
      <w:szCs w:val="24"/>
      <w:lang w:val="en-US" w:eastAsia="pt-BR"/>
    </w:rPr>
  </w:style>
  <w:style w:type="character" w:customStyle="1" w:styleId="27">
    <w:name w:val="Assunto do comentário Char"/>
    <w:basedOn w:val="18"/>
    <w:link w:val="11"/>
    <w:semiHidden/>
    <w:uiPriority w:val="99"/>
    <w:rPr>
      <w:rFonts w:ascii="Times" w:hAnsi="Times" w:eastAsia="Times New Roman" w:cs="Times New Roman"/>
      <w:b/>
      <w:bCs/>
      <w:sz w:val="20"/>
      <w:szCs w:val="20"/>
      <w:lang w:val="de-DE"/>
    </w:rPr>
  </w:style>
  <w:style w:type="paragraph" w:customStyle="1" w:styleId="28">
    <w:name w:val="TA_Main_Text"/>
    <w:basedOn w:val="1"/>
    <w:uiPriority w:val="0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29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9E33-97E6-4E0B-ABA6-2BB2DC404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641</Words>
  <Characters>3936</Characters>
  <Lines>32</Lines>
  <Paragraphs>9</Paragraphs>
  <TotalTime>21</TotalTime>
  <ScaleCrop>false</ScaleCrop>
  <LinksUpToDate>false</LinksUpToDate>
  <CharactersWithSpaces>4563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2022-10-25T21:09:00Z</dcterms:created>
  <dc:creator>Matheus Alves</dc:creator>
  <cp:lastModifiedBy>Thalles Rafael</cp:lastModifiedBy>
  <dcterms:modified xsi:type="dcterms:W3CDTF">2022-10-26T00:45:43Z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8F97B6691B594803B2E18B1B23AE963C</vt:lpwstr>
  </property>
</Properties>
</file>