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46697302"/>
        <w:docPartObj>
          <w:docPartGallery w:val="Cover Pages"/>
          <w:docPartUnique/>
        </w:docPartObj>
      </w:sdtPr>
      <w:sdtEndPr/>
      <w:sdtContent>
        <w:p w14:paraId="376EA4EB" w14:textId="1A2244EB" w:rsidR="0053021A" w:rsidRDefault="0053021A">
          <w:r>
            <w:rPr>
              <w:noProof/>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795DC909" w:rsidR="0027518C" w:rsidRDefault="00984677">
          <w:r>
            <w:rPr>
              <w:noProof/>
            </w:rPr>
            <mc:AlternateContent>
              <mc:Choice Requires="wps">
                <w:drawing>
                  <wp:anchor distT="0" distB="0" distL="114300" distR="114300" simplePos="0" relativeHeight="251664384" behindDoc="0" locked="0" layoutInCell="1" allowOverlap="1" wp14:anchorId="5E65D060" wp14:editId="5E57A9FC">
                    <wp:simplePos x="0" y="0"/>
                    <wp:positionH relativeFrom="column">
                      <wp:posOffset>1329690</wp:posOffset>
                    </wp:positionH>
                    <wp:positionV relativeFrom="paragraph">
                      <wp:posOffset>6847840</wp:posOffset>
                    </wp:positionV>
                    <wp:extent cx="3694430" cy="1600200"/>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600200"/>
                            </a:xfrm>
                            <a:prstGeom prst="rect">
                              <a:avLst/>
                            </a:prstGeom>
                            <a:noFill/>
                            <a:ln w="6350">
                              <a:noFill/>
                            </a:ln>
                          </wps:spPr>
                          <wps:txbx>
                            <w:txbxContent>
                              <w:p w14:paraId="638EDCFA" w14:textId="4A5FF9B9" w:rsidR="0053021A" w:rsidRPr="00733AFB" w:rsidRDefault="00510748" w:rsidP="00510748">
                                <w:pPr>
                                  <w:jc w:val="center"/>
                                  <w:rPr>
                                    <w:rFonts w:ascii="Antonio" w:hAnsi="Antonio"/>
                                    <w:color w:val="1A9B3C"/>
                                    <w:sz w:val="36"/>
                                    <w:szCs w:val="36"/>
                                  </w:rPr>
                                </w:pPr>
                                <w:r w:rsidRPr="00984677">
                                  <w:rPr>
                                    <w:rFonts w:ascii="Antonio" w:hAnsi="Antonio"/>
                                    <w:b/>
                                    <w:bCs/>
                                    <w:caps/>
                                    <w:color w:val="4C260D"/>
                                    <w:sz w:val="39"/>
                                    <w:szCs w:val="39"/>
                                    <w:shd w:val="clear" w:color="auto" w:fill="CBB3A1"/>
                                  </w:rPr>
                                  <w:t>Resistências indígenas, quilombolas e de povos e comunidade tradicionais: lutas pela terra, ecologia e criatividade política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5D060" id="_x0000_t202" coordsize="21600,21600" o:spt="202" path="m,l,21600r21600,l21600,xe">
                    <v:stroke joinstyle="miter"/>
                    <v:path gradientshapeok="t" o:connecttype="rect"/>
                  </v:shapetype>
                  <v:shape id="Caixa de Texto 2" o:spid="_x0000_s1026" type="#_x0000_t202" style="position:absolute;margin-left:104.7pt;margin-top:539.2pt;width:290.9pt;height: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TeNwIAAF8EAAAOAAAAZHJzL2Uyb0RvYy54bWysVN9v2jAQfp+0/8Hy+0gCgdKIUDEqpklV&#10;WwmmPhvHIZEcn2cbEvbX7+wEiro9TXtxzr7f33eXxUPXSHISxtagcpqMYkqE4lDU6pDTH7vNlzkl&#10;1jFVMAlK5PQsLH1Yfv60aHUmxlCBLIQhGETZrNU5rZzTWRRZXomG2RFooVBZgmmYw6s5RIVhLUZv&#10;ZDSO41nUgim0AS6sxdfHXkmXIX5ZCu5eytIKR2ROsTYXThPOvT+j5YJlB8N0VfOhDPYPVTSsVpj0&#10;GuqROUaOpv4jVFNzAxZKN+LQRFCWNRehB+wmiT90s62YFqEXBMfqK0z2/4Xlz6dXQ+oCuYvnyTSd&#10;31GiWINMrVndMVIIshOdAzL2ULXaZuix1ejjuq/Qodvl3eKjR6ArTeO/2BtBPYJ+vgKNkQjHx8ns&#10;Pk0nqOKoS2ZxjFT6ONG7uzbWfRPQEC/k1CCTAWB2erKuN72Y+GwKNrWUgU2pSJvT2WQaB4erBoNL&#10;hTl8E32xXnLdvhs620NxxsYM9FNiNd/UmPyJWffKDI4FFoyj7l7wKCVgEhgkSiowv/727u2RLdRS&#10;0uKY5dT+PDIjKJHfFfJ4n6Spn8twSad3Y7yYW83+VqOOzRpwkhNcKs2D6O2dvIilgeYNN2Lls6KK&#10;KY65c+ou4tr1w48bxcVqFYxwEjVzT2qruQ/t4fTQ7ro3ZvSAv0PqnuEykCz7QENv2xOxOjoo68CR&#10;B7hHdcAdpziwPGycX5Pbe7B6/y8sfwMAAP//AwBQSwMEFAAGAAgAAAAhABchS5bkAAAADQEAAA8A&#10;AABkcnMvZG93bnJldi54bWxMj09PwkAQxe8mfofNmHiTXQpKqd0S0oSYGD2AXLxtu0PbuH9qd4HK&#10;p2c86W1m3sub38tXozXshEPovJMwnQhg6GqvO9dI2H9sHlJgISqnlfEOJfxggFVxe5OrTPuz2+Jp&#10;FxtGIS5kSkIbY59xHuoWrQoT36Mj7eAHqyKtQ8P1oM4Ubg1PhHjiVnWOPrSqx7LF+mt3tBJey827&#10;2laJTS+mfHk7rPvv/eejlPd34/oZWMQx/pnhF5/QoSCmyh+dDsxISMRyTlYSxCKliSyL5TQBVtFp&#10;NhNz4EXO/7corgAAAP//AwBQSwECLQAUAAYACAAAACEAtoM4kv4AAADhAQAAEwAAAAAAAAAAAAAA&#10;AAAAAAAAW0NvbnRlbnRfVHlwZXNdLnhtbFBLAQItABQABgAIAAAAIQA4/SH/1gAAAJQBAAALAAAA&#10;AAAAAAAAAAAAAC8BAABfcmVscy8ucmVsc1BLAQItABQABgAIAAAAIQB/T1TeNwIAAF8EAAAOAAAA&#10;AAAAAAAAAAAAAC4CAABkcnMvZTJvRG9jLnhtbFBLAQItABQABgAIAAAAIQAXIUuW5AAAAA0BAAAP&#10;AAAAAAAAAAAAAAAAAJEEAABkcnMvZG93bnJldi54bWxQSwUGAAAAAAQABADzAAAAogUAAAAA&#10;" filled="f" stroked="f" strokeweight=".5pt">
                    <v:textbox>
                      <w:txbxContent>
                        <w:p w14:paraId="638EDCFA" w14:textId="4A5FF9B9" w:rsidR="0053021A" w:rsidRPr="00733AFB" w:rsidRDefault="00510748" w:rsidP="00510748">
                          <w:pPr>
                            <w:jc w:val="center"/>
                            <w:rPr>
                              <w:rFonts w:ascii="Antonio" w:hAnsi="Antonio"/>
                              <w:color w:val="1A9B3C"/>
                              <w:sz w:val="36"/>
                              <w:szCs w:val="36"/>
                            </w:rPr>
                          </w:pPr>
                          <w:r w:rsidRPr="00984677">
                            <w:rPr>
                              <w:rFonts w:ascii="Antonio" w:hAnsi="Antonio"/>
                              <w:b/>
                              <w:bCs/>
                              <w:caps/>
                              <w:color w:val="4C260D"/>
                              <w:sz w:val="39"/>
                              <w:szCs w:val="39"/>
                              <w:shd w:val="clear" w:color="auto" w:fill="CBB3A1"/>
                            </w:rPr>
                            <w:t>Resistências indígenas, quilombolas e de povos e comunidade tradicionais: lutas pela terra, ecologia e criatividade política</w:t>
                          </w:r>
                        </w:p>
                      </w:txbxContent>
                    </v:textbox>
                  </v:shape>
                </w:pict>
              </mc:Fallback>
            </mc:AlternateContent>
          </w:r>
          <w:r w:rsidR="0053021A">
            <w:rPr>
              <w:noProof/>
            </w:rPr>
            <mc:AlternateContent>
              <mc:Choice Requires="wps">
                <w:drawing>
                  <wp:anchor distT="0" distB="0" distL="114300" distR="114300" simplePos="0" relativeHeight="251667456" behindDoc="1" locked="0" layoutInCell="1" allowOverlap="1" wp14:anchorId="486A8980" wp14:editId="300678A1">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768E0B"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1SrgIAAJ8FAAAOAAAAZHJzL2Uyb0RvYy54bWysVM1u2zAMvg/YOwi6r/5p0iZBnSJL0WFA&#10;0QZth54VWU4MyKJGKX97nL3KXmyU7LhdW+ww7GKLIvmR/ETy4nLfaLZV6GowBc9OUs6UkVDWZlXw&#10;b4/Xn0acOS9MKTQYVfCDcvxy+vHDxc5OVA5r0KVCRiDGTXa24Gvv7SRJnFyrRrgTsMqQsgJshCcR&#10;V0mJYkfojU7yND1LdoClRZDKObq9apV8GvGrSkl/V1VOeaYLTrn5+MX4XYZvMr0QkxUKu65ll4b4&#10;hywaURsK2kNdCS/YBus3UE0tERxU/kRCk0BV1VLFGqiaLH1VzcNaWBVrIXKc7Wly/w9W3m4XyOqy&#10;4HmWj9LReHCWcWZEQ291r/yvn2a10cBmiKoEesUS2GkgbWfdhHwf7AI7ydExMLCvsAl/qo3tI9GH&#10;nmi190zS5Xk6zvIzziSpTkf5cDgMmMmzs0XnvyhoWDgUHGFjynt6zMix2N4439of7UJAB7our2ut&#10;o4Cr5Vwj2wp6+Gw2/nw670L8YaZNMDYQ3FrEcJOE6tp64skftAp22tyrisiiCvKYSWxT1ccRUirj&#10;s1a1FqXqwg/TNHYaFdh7xHIjYECuKH6P3QGEEXiL3WbZ2QdXFbu8d07/lljr3HvEyGB879zUBvA9&#10;AE1VdZFb+yNJLTWBpSWUB2olhHbGnJXXNT3ejXB+IZCGisaPFoW/o0+lYVdw6E6crQF/vHcf7KnX&#10;ScvZjoa04O77RqDiTH81NAXjbDAIUx2FwfA8JwFfapYvNWbTzCG0A60kK+Mx2Ht9PFYIzRPtk1mI&#10;SiphJMUuuPR4FOa+XR60kaSazaIZTbIV/sY8WBnAA6uhLx/3TwJt18GeWv8WjgMtJq96uLUNngZm&#10;Gw9VHRv8mdeOb9oCsXG6jRXWzEs5Wj3v1elvAAAA//8DAFBLAwQUAAYACAAAACEAdTaWi98AAAAM&#10;AQAADwAAAGRycy9kb3ducmV2LnhtbEyPTU7DMBBG90jcwRokdtRpFFI3xKkQggULpBI4gBtPkwh7&#10;HGynDbfHXcFufp6+eVPvFmvYCX0YHUlYrzJgSJ3TI/USPj9e7gSwEBVpZRyhhB8MsGuur2pVaXem&#10;dzy1sWcphEKlJAwxThXnoRvQqrByE1LaHZ23KqbW91x7dU7h1vA8y0pu1UjpwqAmfBqw+2pnK6Es&#10;47PXxs9v93Haz5vvPbavvZS3N8vjA7CIS/yD4aKf1KFJTgc3kw7MSBD5JpFpngmRA7sQ26IAdkjF&#10;uhAF8Kbm/59ofgEAAP//AwBQSwECLQAUAAYACAAAACEAtoM4kv4AAADhAQAAEwAAAAAAAAAAAAAA&#10;AAAAAAAAW0NvbnRlbnRfVHlwZXNdLnhtbFBLAQItABQABgAIAAAAIQA4/SH/1gAAAJQBAAALAAAA&#10;AAAAAAAAAAAAAC8BAABfcmVscy8ucmVsc1BLAQItABQABgAIAAAAIQDpmQ1SrgIAAJ8FAAAOAAAA&#10;AAAAAAAAAAAAAC4CAABkcnMvZTJvRG9jLnhtbFBLAQItABQABgAIAAAAIQB1NpaL3wAAAAwBAAAP&#10;AAAAAAAAAAAAAAAAAAgFAABkcnMvZG93bnJldi54bWxQSwUGAAAAAAQABADzAAAAFAYAAAAA&#10;" fillcolor="#1a9b3c" stroked="f" strokeweight="1pt">
                    <v:stroke joinstyle="miter"/>
                  </v:roundrect>
                </w:pict>
              </mc:Fallback>
            </mc:AlternateContent>
          </w:r>
          <w:r w:rsidR="0053021A">
            <w:rPr>
              <w:noProof/>
            </w:rPr>
            <mc:AlternateContent>
              <mc:Choice Requires="wps">
                <w:drawing>
                  <wp:anchor distT="0" distB="0" distL="114300" distR="114300" simplePos="0" relativeHeight="251665408" behindDoc="0" locked="0" layoutInCell="1" allowOverlap="1" wp14:anchorId="784170F8" wp14:editId="4F7CE88E">
                    <wp:simplePos x="0" y="0"/>
                    <wp:positionH relativeFrom="column">
                      <wp:posOffset>520894</wp:posOffset>
                    </wp:positionH>
                    <wp:positionV relativeFrom="paragraph">
                      <wp:posOffset>6855460</wp:posOffset>
                    </wp:positionV>
                    <wp:extent cx="811530" cy="49403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7AC046C5" w14:textId="36B3AC84"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w:t>
                                </w:r>
                                <w:r w:rsidR="00510748">
                                  <w:rPr>
                                    <w:rFonts w:ascii="Antonio" w:hAnsi="Antonio"/>
                                    <w:color w:val="F8EDD1"/>
                                    <w:sz w:val="44"/>
                                    <w:szCs w:val="44"/>
                                  </w:rPr>
                                  <w:t xml:space="preserve"> 2</w:t>
                                </w:r>
                                <w:r w:rsidRPr="00733AFB">
                                  <w:rPr>
                                    <w:rFonts w:ascii="Antonio" w:hAnsi="Antonio"/>
                                    <w:color w:val="F8EDD1"/>
                                    <w:sz w:val="44"/>
                                    <w:szCs w:val="44"/>
                                  </w:rPr>
                                  <w:t xml:space="preserve"> </w:t>
                                </w:r>
                                <w:r w:rsidR="00510748">
                                  <w:rPr>
                                    <w:rFonts w:ascii="Antonio" w:hAnsi="Antonio"/>
                                    <w:color w:val="F8EDD1"/>
                                    <w:sz w:val="44"/>
                                    <w:szCs w:val="44"/>
                                  </w:rPr>
                                  <w:t>2</w:t>
                                </w:r>
                                <w:r w:rsidRPr="00733AFB">
                                  <w:rPr>
                                    <w:rFonts w:ascii="Antonio" w:hAnsi="Antonio"/>
                                    <w:color w:val="F8EDD1"/>
                                    <w:sz w:val="44"/>
                                    <w:szCs w:val="44"/>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70F8" id="Caixa de Texto 4" o:spid="_x0000_s1027" type="#_x0000_t202" style="position:absolute;margin-left:41pt;margin-top:539.8pt;width:63.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hzOwIAAGYEAAAOAAAAZHJzL2Uyb0RvYy54bWysVN9v2jAQfp+0/8Hy+wgpPwaooWJUTJNQ&#10;W4lWfTaOUyIlPs82JOyv32cHKOr2NO3FOfvO3/m+7y63d21dsYOyriSd8bTX50xpSXmp3zL+8rz6&#10;MuHMeaFzUZFWGT8qx+/mnz/dNmambmhHVa4sA4h2s8ZkfOe9mSWJkztVC9cjozScBdlaeGztW5Jb&#10;0QC9rpKbfn+cNGRzY0kq53B63zn5POIXhZL+sSic8qzKON7m42rjug1rMr8VszcrzK6Up2eIf3hF&#10;LUqNpBeoe+EF29vyD6i6lJYcFb4nqU6oKEqpYg2oJu1/qGazE0bFWkCOMxea3P+DlQ+HJ8vKHNpN&#10;J4PROE1T0KRFDa2WomwFyxV7Vq0nNgxkNcbNcGdjcMu336jFxfO5w2HgoC1sHb6ojsEPvOOFaiAx&#10;icNJmo4G8Ei4htNhHzbQk/fLxjr/XVHNgpFxCyUjweKwdr4LPYeEXJpWZVVFNSvNmoyPB6N+vHDx&#10;ALzSyBFK6J4aLN9u267+cxlbyo+ozlLXLM7IVYk3rIXzT8KiO/BsdLx/xFJUhFx0sjjbkf31t/MQ&#10;D9Hg5axBt2Xc/dwLqzirfmjIOU2HQ8D6uBmOvt5gY68922uP3tdLQkOnmC0joxnifXU2C0v1KwZj&#10;EbLCJbRE7oz7s7n03QxgsKRaLGIQGtIIv9YbIwN0YDUw/Ny+CmtOMnjo90DnvhSzD2p0sZ0ei72n&#10;ooxSBZ47Vk/0o5mj2KfBC9NyvY9R77+H+W8AAAD//wMAUEsDBBQABgAIAAAAIQAgd7qd4wAAAAwB&#10;AAAPAAAAZHJzL2Rvd25yZXYueG1sTI/NbsIwEITvlfoO1iL1VmyiAiGNg1AkVKlqD1AuvW1ik0T4&#10;J40NpH36bk/0uLOjmfny9WgNu+ghdN5JmE0FMO1qrzrXSDh8bB9TYCGiU2i80xK+dYB1cX+XY6b8&#10;1e30ZR8bRiEuZCihjbHPOA91qy2Gqe+1o9/RDxYjnUPD1YBXCreGJ0IsuMXOUUOLvS5bXZ/2Zyvh&#10;tdy+465KbPpjype346b/OnzOpXyYjJtnYFGP8WaGv/k0HQraVPmzU4EZCWlCKJF0sVwtgJEjESuC&#10;qUiazZdPwIuc/4cofgEAAP//AwBQSwECLQAUAAYACAAAACEAtoM4kv4AAADhAQAAEwAAAAAAAAAA&#10;AAAAAAAAAAAAW0NvbnRlbnRfVHlwZXNdLnhtbFBLAQItABQABgAIAAAAIQA4/SH/1gAAAJQBAAAL&#10;AAAAAAAAAAAAAAAAAC8BAABfcmVscy8ucmVsc1BLAQItABQABgAIAAAAIQAON0hzOwIAAGYEAAAO&#10;AAAAAAAAAAAAAAAAAC4CAABkcnMvZTJvRG9jLnhtbFBLAQItABQABgAIAAAAIQAgd7qd4wAAAAwB&#10;AAAPAAAAAAAAAAAAAAAAAJUEAABkcnMvZG93bnJldi54bWxQSwUGAAAAAAQABADzAAAApQUAAAAA&#10;" filled="f" stroked="f" strokeweight=".5pt">
                    <v:textbox>
                      <w:txbxContent>
                        <w:p w14:paraId="7AC046C5" w14:textId="36B3AC84"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w:t>
                          </w:r>
                          <w:r w:rsidR="00510748">
                            <w:rPr>
                              <w:rFonts w:ascii="Antonio" w:hAnsi="Antonio"/>
                              <w:color w:val="F8EDD1"/>
                              <w:sz w:val="44"/>
                              <w:szCs w:val="44"/>
                            </w:rPr>
                            <w:t xml:space="preserve"> 2</w:t>
                          </w:r>
                          <w:r w:rsidRPr="00733AFB">
                            <w:rPr>
                              <w:rFonts w:ascii="Antonio" w:hAnsi="Antonio"/>
                              <w:color w:val="F8EDD1"/>
                              <w:sz w:val="44"/>
                              <w:szCs w:val="44"/>
                            </w:rPr>
                            <w:t xml:space="preserve"> </w:t>
                          </w:r>
                          <w:r w:rsidR="00510748">
                            <w:rPr>
                              <w:rFonts w:ascii="Antonio" w:hAnsi="Antonio"/>
                              <w:color w:val="F8EDD1"/>
                              <w:sz w:val="44"/>
                              <w:szCs w:val="44"/>
                            </w:rPr>
                            <w:t>2</w:t>
                          </w:r>
                          <w:r w:rsidRPr="00733AFB">
                            <w:rPr>
                              <w:rFonts w:ascii="Antonio" w:hAnsi="Antonio"/>
                              <w:color w:val="F8EDD1"/>
                              <w:sz w:val="44"/>
                              <w:szCs w:val="44"/>
                            </w:rPr>
                            <w:t>01:</w:t>
                          </w:r>
                        </w:p>
                      </w:txbxContent>
                    </v:textbox>
                  </v:shape>
                </w:pict>
              </mc:Fallback>
            </mc:AlternateContent>
          </w:r>
          <w:r w:rsidR="0053021A">
            <w:br w:type="page"/>
          </w:r>
        </w:p>
      </w:sdtContent>
    </w:sdt>
    <w:p w14:paraId="1BFD7F8E" w14:textId="77777777" w:rsidR="00216EFF" w:rsidRDefault="00216EFF" w:rsidP="00216EFF">
      <w:pPr>
        <w:spacing w:after="240"/>
        <w:jc w:val="center"/>
        <w:rPr>
          <w:rFonts w:ascii="Avenir Book" w:eastAsia="Arial" w:hAnsi="Avenir Book"/>
          <w:b/>
          <w:bCs/>
        </w:rPr>
      </w:pPr>
    </w:p>
    <w:p w14:paraId="4569F68F" w14:textId="49D61A54" w:rsidR="00216EFF" w:rsidRPr="00F34D0E" w:rsidRDefault="00F34D0E" w:rsidP="00216EFF">
      <w:pPr>
        <w:spacing w:line="360" w:lineRule="auto"/>
        <w:jc w:val="center"/>
        <w:rPr>
          <w:rFonts w:eastAsia="Arial"/>
          <w:b/>
          <w:bCs/>
        </w:rPr>
      </w:pPr>
      <w:r>
        <w:rPr>
          <w:rFonts w:eastAsia="Arial"/>
          <w:b/>
          <w:bCs/>
        </w:rPr>
        <w:t>REDES E TERRAS INDÍGENAS GUARANI: REFLEXÕES A PARTIR DO CONCEITO DE TERRITÓRIOS ANCESTRAIS</w:t>
      </w:r>
    </w:p>
    <w:p w14:paraId="50A5D750" w14:textId="742E65D0" w:rsidR="00216EFF" w:rsidRPr="00216EFF" w:rsidRDefault="00984677" w:rsidP="00216EFF">
      <w:pPr>
        <w:spacing w:line="360" w:lineRule="auto"/>
        <w:ind w:hanging="2"/>
        <w:jc w:val="center"/>
        <w:rPr>
          <w:rFonts w:eastAsia="Arial" w:cs="Arial"/>
          <w:vertAlign w:val="superscript"/>
        </w:rPr>
      </w:pPr>
      <w:r>
        <w:rPr>
          <w:rFonts w:eastAsia="Arial" w:cs="Arial"/>
        </w:rPr>
        <w:t>Neide Barrocá Faccio</w:t>
      </w:r>
      <w:r w:rsidR="00216EFF" w:rsidRPr="00216EFF">
        <w:rPr>
          <w:rStyle w:val="Refdenotaderodap"/>
          <w:rFonts w:eastAsia="Arial" w:cs="Arial"/>
        </w:rPr>
        <w:footnoteReference w:id="1"/>
      </w:r>
    </w:p>
    <w:p w14:paraId="05420B62" w14:textId="67A8E1FF" w:rsidR="00216EFF" w:rsidRPr="00216EFF" w:rsidRDefault="00984677" w:rsidP="00216EFF">
      <w:pPr>
        <w:spacing w:line="360" w:lineRule="auto"/>
        <w:ind w:hanging="2"/>
        <w:jc w:val="center"/>
        <w:rPr>
          <w:rFonts w:eastAsia="Arial" w:cs="Arial"/>
        </w:rPr>
      </w:pPr>
      <w:r>
        <w:rPr>
          <w:rFonts w:eastAsia="Arial" w:cs="Arial"/>
        </w:rPr>
        <w:t>Luís Antonio Barone</w:t>
      </w:r>
      <w:r w:rsidR="00216EFF" w:rsidRPr="00216EFF">
        <w:rPr>
          <w:rStyle w:val="Refdenotaderodap"/>
          <w:rFonts w:eastAsia="Arial" w:cs="Arial"/>
        </w:rPr>
        <w:footnoteReference w:id="2"/>
      </w:r>
    </w:p>
    <w:p w14:paraId="0C32F20E" w14:textId="1BD0917B" w:rsidR="00216EFF" w:rsidRPr="00984677" w:rsidRDefault="00216EFF" w:rsidP="00057CF0">
      <w:pPr>
        <w:spacing w:line="360" w:lineRule="auto"/>
        <w:ind w:hanging="2"/>
        <w:jc w:val="center"/>
        <w:rPr>
          <w:rFonts w:eastAsia="Arial" w:cs="Arial"/>
          <w:b/>
          <w:bCs/>
        </w:rPr>
      </w:pPr>
      <w:r w:rsidRPr="00216EFF">
        <w:rPr>
          <w:rFonts w:eastAsia="Arial" w:cs="Arial"/>
          <w:b/>
        </w:rPr>
        <w:t xml:space="preserve">GT </w:t>
      </w:r>
      <w:r w:rsidR="00984677">
        <w:rPr>
          <w:rFonts w:eastAsia="Arial" w:cs="Arial"/>
          <w:b/>
        </w:rPr>
        <w:t>02</w:t>
      </w:r>
      <w:r w:rsidRPr="00216EFF">
        <w:rPr>
          <w:rFonts w:eastAsia="Arial" w:cs="Arial"/>
          <w:b/>
        </w:rPr>
        <w:t>:</w:t>
      </w:r>
      <w:r w:rsidRPr="00216EFF">
        <w:rPr>
          <w:rFonts w:eastAsia="Arial" w:cs="Arial"/>
        </w:rPr>
        <w:t xml:space="preserve"> </w:t>
      </w:r>
      <w:r w:rsidR="00984677" w:rsidRPr="00984677">
        <w:rPr>
          <w:rFonts w:eastAsia="Arial" w:cs="Arial"/>
          <w:b/>
          <w:bCs/>
        </w:rPr>
        <w:t>Resistências Indígenas, Quilombolas e de Povos e Comunidades Tradicionais: lutas pela terra, ecologias e criatividade política</w:t>
      </w:r>
    </w:p>
    <w:p w14:paraId="173700DD" w14:textId="77777777" w:rsidR="00283845" w:rsidRDefault="00283845" w:rsidP="00216EFF">
      <w:pPr>
        <w:spacing w:line="360" w:lineRule="auto"/>
        <w:ind w:hanging="2"/>
        <w:jc w:val="center"/>
        <w:rPr>
          <w:rFonts w:eastAsia="Arial" w:cs="Arial"/>
          <w:b/>
        </w:rPr>
      </w:pPr>
    </w:p>
    <w:p w14:paraId="7C618C51" w14:textId="674D2FFE" w:rsidR="00216EFF" w:rsidRPr="00216EFF" w:rsidRDefault="00216EFF" w:rsidP="00216EFF">
      <w:pPr>
        <w:spacing w:line="360" w:lineRule="auto"/>
        <w:ind w:hanging="2"/>
        <w:jc w:val="center"/>
        <w:rPr>
          <w:rFonts w:eastAsia="Arial" w:cs="Arial"/>
          <w:b/>
        </w:rPr>
      </w:pPr>
      <w:r w:rsidRPr="00216EFF">
        <w:rPr>
          <w:rFonts w:eastAsia="Arial" w:cs="Arial"/>
          <w:b/>
        </w:rPr>
        <w:t xml:space="preserve">RESUMO </w:t>
      </w:r>
    </w:p>
    <w:p w14:paraId="4550F836" w14:textId="1B4D662E" w:rsidR="00216EFF" w:rsidRPr="00216EFF" w:rsidRDefault="00337FBD" w:rsidP="00337FBD">
      <w:pPr>
        <w:spacing w:line="360" w:lineRule="auto"/>
        <w:ind w:hanging="2"/>
        <w:jc w:val="both"/>
        <w:rPr>
          <w:rFonts w:eastAsia="Arial" w:cs="Arial"/>
        </w:rPr>
      </w:pPr>
      <w:r>
        <w:rPr>
          <w:rFonts w:eastAsia="Arial" w:cs="Arial"/>
          <w:color w:val="000000"/>
        </w:rPr>
        <w:t>A partir de uma pesquisa junto a comunidades Guarani da Serra do Mar – que se estende pelos Estados do Sudeste e do Sul – o trabalho busca refletir sobre os sentidos do conceito de território e território ancestral para esse grupo tradicional. Tal discussão busca aportes da geografia, da antropologia e da arqueologia e se confronta com a concepção positivista/moderna que orientou e orienta o reconhecimento e demarcação de Terras Indígenas. A concepção de território étnico em questão é indissociável da articulação e agenciamento de redes espaciais, que não podem ser (de)limitadas pelo direito positivo, regente das normas e critérios de demarcação adotados pelo Estado brasileiro.</w:t>
      </w:r>
    </w:p>
    <w:p w14:paraId="480B2C1C" w14:textId="2C6BF5F1" w:rsidR="00216EFF" w:rsidRPr="00216EFF" w:rsidRDefault="00216EFF" w:rsidP="00216EFF">
      <w:pPr>
        <w:spacing w:line="360" w:lineRule="auto"/>
        <w:ind w:hanging="2"/>
        <w:jc w:val="both"/>
        <w:rPr>
          <w:rFonts w:eastAsia="Arial" w:cs="Arial"/>
        </w:rPr>
      </w:pPr>
      <w:r w:rsidRPr="00216EFF">
        <w:rPr>
          <w:rFonts w:eastAsia="Arial" w:cs="Arial"/>
        </w:rPr>
        <w:t xml:space="preserve">Palavras-chave: </w:t>
      </w:r>
      <w:r w:rsidR="00337FBD">
        <w:rPr>
          <w:rFonts w:eastAsia="Arial" w:cs="Arial"/>
        </w:rPr>
        <w:t>territórios indígenas; Guarani; redes espaciais.</w:t>
      </w:r>
    </w:p>
    <w:p w14:paraId="1ABB7E9C" w14:textId="77777777" w:rsidR="00216EFF" w:rsidRPr="00216EFF" w:rsidRDefault="00216EFF" w:rsidP="00216EFF">
      <w:pPr>
        <w:spacing w:line="360" w:lineRule="auto"/>
        <w:ind w:hanging="2"/>
        <w:jc w:val="both"/>
        <w:rPr>
          <w:rFonts w:eastAsia="Arial" w:cs="Arial"/>
          <w:color w:val="000000"/>
        </w:rPr>
      </w:pPr>
    </w:p>
    <w:p w14:paraId="25F4F952" w14:textId="77777777" w:rsidR="00216EFF" w:rsidRPr="00216EFF" w:rsidRDefault="00216EFF" w:rsidP="00216EFF">
      <w:pPr>
        <w:spacing w:line="360" w:lineRule="auto"/>
        <w:jc w:val="both"/>
        <w:rPr>
          <w:rFonts w:eastAsia="Arial" w:cs="Arial"/>
          <w:b/>
        </w:rPr>
      </w:pPr>
      <w:r w:rsidRPr="00216EFF">
        <w:rPr>
          <w:rFonts w:eastAsia="Arial" w:cs="Arial"/>
          <w:b/>
        </w:rPr>
        <w:t>INTRODUÇÃO</w:t>
      </w:r>
    </w:p>
    <w:p w14:paraId="1AE7F53A" w14:textId="1541BA3F" w:rsidR="00216EFF" w:rsidRDefault="0051745D" w:rsidP="00216EFF">
      <w:pPr>
        <w:spacing w:line="360" w:lineRule="auto"/>
        <w:jc w:val="both"/>
        <w:rPr>
          <w:rFonts w:eastAsia="Arial" w:cs="Arial"/>
        </w:rPr>
      </w:pPr>
      <w:r>
        <w:rPr>
          <w:rFonts w:eastAsia="Arial" w:cs="Arial"/>
        </w:rPr>
        <w:tab/>
        <w:t xml:space="preserve">Este trabalho é derivado de um programa de pesquisa liderado por pesquisadores da Unesp que objetiva produzir subsídios para as demandas das comunidades </w:t>
      </w:r>
      <w:r w:rsidR="00057CF0">
        <w:rPr>
          <w:rFonts w:eastAsia="Arial" w:cs="Arial"/>
        </w:rPr>
        <w:t>G</w:t>
      </w:r>
      <w:r>
        <w:rPr>
          <w:rFonts w:eastAsia="Arial" w:cs="Arial"/>
        </w:rPr>
        <w:t>uarani da Serra do Mar</w:t>
      </w:r>
      <w:r w:rsidR="00337FBD">
        <w:rPr>
          <w:rFonts w:eastAsia="Arial" w:cs="Arial"/>
        </w:rPr>
        <w:t xml:space="preserve"> (sobretudo nos Estados de São Paulo, Rio de Janeiro e Santa Catarina)</w:t>
      </w:r>
      <w:r>
        <w:rPr>
          <w:rFonts w:eastAsia="Arial" w:cs="Arial"/>
        </w:rPr>
        <w:t xml:space="preserve">, tanto relacionadas à proteção de seus territórios quanto na busca por alternativas de desenvolvimento de seus territórios para </w:t>
      </w:r>
      <w:r>
        <w:rPr>
          <w:rFonts w:eastAsia="Arial" w:cs="Arial"/>
        </w:rPr>
        <w:lastRenderedPageBreak/>
        <w:t>além da hegemônica visão ocidental-colonialista</w:t>
      </w:r>
      <w:r w:rsidR="00ED1812">
        <w:rPr>
          <w:rFonts w:eastAsia="Arial" w:cs="Arial"/>
        </w:rPr>
        <w:t>, em constante embate com outras concepções contra-hegemônicas</w:t>
      </w:r>
      <w:r>
        <w:rPr>
          <w:rFonts w:eastAsia="Arial" w:cs="Arial"/>
        </w:rPr>
        <w:t>. É importante destacar que tais objetivos se definem continuamente, a partir do diálogo e colaboração com as comunidades e suas lideranças, tendo como uma chave de entendimento a busca por territórios “saudáveis e sustentáveis”</w:t>
      </w:r>
      <w:r w:rsidR="00ED1812">
        <w:rPr>
          <w:rFonts w:eastAsia="Arial" w:cs="Arial"/>
        </w:rPr>
        <w:t xml:space="preserve">, uma abordagem que valoriza outros sentidos de modos de vida (GALLO, 2021), mais holística e menos materialista - conforme exposto no Plano de Gestão Territorial Ambiental da TI Morro dos Cavalos </w:t>
      </w:r>
      <w:r w:rsidR="00ED1812">
        <w:rPr>
          <w:rFonts w:eastAsia="Arial" w:cs="Arial"/>
        </w:rPr>
        <w:t>(</w:t>
      </w:r>
      <w:r w:rsidR="00ED1812">
        <w:rPr>
          <w:rFonts w:eastAsia="Arial" w:cs="Arial"/>
        </w:rPr>
        <w:t xml:space="preserve">Território </w:t>
      </w:r>
      <w:r w:rsidR="00ED1812">
        <w:rPr>
          <w:rFonts w:eastAsia="Arial" w:cs="Arial"/>
        </w:rPr>
        <w:t>Guarani</w:t>
      </w:r>
      <w:r w:rsidR="00ED1812">
        <w:rPr>
          <w:rFonts w:eastAsia="Arial" w:cs="Arial"/>
        </w:rPr>
        <w:t xml:space="preserve"> em Santa Catarina</w:t>
      </w:r>
      <w:r w:rsidR="00ED1812">
        <w:rPr>
          <w:rFonts w:eastAsia="Arial" w:cs="Arial"/>
        </w:rPr>
        <w:t>)</w:t>
      </w:r>
      <w:r w:rsidR="00ED1812">
        <w:rPr>
          <w:rFonts w:eastAsia="Arial" w:cs="Arial"/>
        </w:rPr>
        <w:t>:</w:t>
      </w:r>
    </w:p>
    <w:p w14:paraId="4B161412" w14:textId="77777777" w:rsidR="00ED1812" w:rsidRDefault="00ED1812" w:rsidP="00283845">
      <w:pPr>
        <w:jc w:val="both"/>
        <w:rPr>
          <w:rFonts w:eastAsia="Arial" w:cs="Arial"/>
        </w:rPr>
      </w:pPr>
    </w:p>
    <w:p w14:paraId="62DE3DE4" w14:textId="77777777" w:rsidR="00ED1812" w:rsidRPr="00ED1812" w:rsidRDefault="00ED1812" w:rsidP="00ED1812">
      <w:pPr>
        <w:spacing w:line="360" w:lineRule="auto"/>
        <w:ind w:left="1843"/>
        <w:jc w:val="both"/>
        <w:rPr>
          <w:rFonts w:eastAsia="Arial" w:cs="Arial"/>
          <w:sz w:val="22"/>
          <w:szCs w:val="22"/>
        </w:rPr>
      </w:pPr>
      <w:r w:rsidRPr="00ED1812">
        <w:rPr>
          <w:rFonts w:eastAsia="Arial" w:cs="Arial"/>
          <w:sz w:val="22"/>
          <w:szCs w:val="22"/>
        </w:rPr>
        <w:t>Mesmo com esses inúmeros impactos em nossas terras, o Morro dos</w:t>
      </w:r>
    </w:p>
    <w:p w14:paraId="02F94829" w14:textId="77777777" w:rsidR="00ED1812" w:rsidRPr="00ED1812" w:rsidRDefault="00ED1812" w:rsidP="00ED1812">
      <w:pPr>
        <w:spacing w:line="360" w:lineRule="auto"/>
        <w:ind w:left="1843"/>
        <w:jc w:val="both"/>
        <w:rPr>
          <w:rFonts w:eastAsia="Arial" w:cs="Arial"/>
          <w:sz w:val="22"/>
          <w:szCs w:val="22"/>
        </w:rPr>
      </w:pPr>
      <w:r w:rsidRPr="00ED1812">
        <w:rPr>
          <w:rFonts w:eastAsia="Arial" w:cs="Arial"/>
          <w:sz w:val="22"/>
          <w:szCs w:val="22"/>
        </w:rPr>
        <w:t>Cavalos é lugar onde (re)existe memória, biodiversidade, beleza e</w:t>
      </w:r>
    </w:p>
    <w:p w14:paraId="52024F6C" w14:textId="366764D6" w:rsidR="00ED1812" w:rsidRPr="00ED1812" w:rsidRDefault="00ED1812" w:rsidP="00ED1812">
      <w:pPr>
        <w:spacing w:line="360" w:lineRule="auto"/>
        <w:ind w:left="1843"/>
        <w:jc w:val="both"/>
        <w:rPr>
          <w:rFonts w:eastAsia="Arial" w:cs="Arial"/>
          <w:sz w:val="22"/>
          <w:szCs w:val="22"/>
        </w:rPr>
      </w:pPr>
      <w:r w:rsidRPr="00ED1812">
        <w:rPr>
          <w:rFonts w:eastAsia="Arial" w:cs="Arial"/>
          <w:sz w:val="22"/>
          <w:szCs w:val="22"/>
        </w:rPr>
        <w:t>nossa comunidade que tem uma ligação profunda e amorosa com</w:t>
      </w:r>
      <w:r>
        <w:rPr>
          <w:rFonts w:eastAsia="Arial" w:cs="Arial"/>
          <w:sz w:val="22"/>
          <w:szCs w:val="22"/>
        </w:rPr>
        <w:t xml:space="preserve"> </w:t>
      </w:r>
      <w:r w:rsidRPr="00ED1812">
        <w:rPr>
          <w:rFonts w:eastAsia="Arial" w:cs="Arial"/>
          <w:sz w:val="22"/>
          <w:szCs w:val="22"/>
        </w:rPr>
        <w:t>nossa terra e sabe sua relevância ancestral já que muitos grupos do</w:t>
      </w:r>
    </w:p>
    <w:p w14:paraId="3645F7A1" w14:textId="393C187D" w:rsidR="00ED1812" w:rsidRDefault="00ED1812" w:rsidP="00ED1812">
      <w:pPr>
        <w:spacing w:line="360" w:lineRule="auto"/>
        <w:ind w:left="1843"/>
        <w:jc w:val="both"/>
        <w:rPr>
          <w:rFonts w:eastAsia="Arial" w:cs="Arial"/>
          <w:sz w:val="22"/>
          <w:szCs w:val="22"/>
        </w:rPr>
      </w:pPr>
      <w:r w:rsidRPr="00ED1812">
        <w:rPr>
          <w:rFonts w:eastAsia="Arial" w:cs="Arial"/>
          <w:sz w:val="22"/>
          <w:szCs w:val="22"/>
        </w:rPr>
        <w:t>nosso povo</w:t>
      </w:r>
      <w:r>
        <w:rPr>
          <w:rFonts w:eastAsia="Arial" w:cs="Arial"/>
          <w:sz w:val="22"/>
          <w:szCs w:val="22"/>
        </w:rPr>
        <w:t xml:space="preserve"> </w:t>
      </w:r>
      <w:r w:rsidRPr="00ED1812">
        <w:rPr>
          <w:rFonts w:eastAsia="Arial" w:cs="Arial"/>
          <w:sz w:val="22"/>
          <w:szCs w:val="22"/>
        </w:rPr>
        <w:t>chegava no Morro dos Cavalos. Nossa terra é</w:t>
      </w:r>
      <w:r>
        <w:rPr>
          <w:rFonts w:eastAsia="Arial" w:cs="Arial"/>
          <w:sz w:val="22"/>
          <w:szCs w:val="22"/>
        </w:rPr>
        <w:t xml:space="preserve"> </w:t>
      </w:r>
      <w:r w:rsidRPr="00ED1812">
        <w:rPr>
          <w:rFonts w:eastAsia="Arial" w:cs="Arial"/>
          <w:sz w:val="22"/>
          <w:szCs w:val="22"/>
        </w:rPr>
        <w:t>historicamente um dos locais de parada nas andanças da vida Guarani</w:t>
      </w:r>
      <w:r>
        <w:rPr>
          <w:rFonts w:eastAsia="Arial" w:cs="Arial"/>
          <w:sz w:val="22"/>
          <w:szCs w:val="22"/>
        </w:rPr>
        <w:t xml:space="preserve"> </w:t>
      </w:r>
      <w:r w:rsidRPr="00ED1812">
        <w:rPr>
          <w:rFonts w:eastAsia="Arial" w:cs="Arial"/>
          <w:sz w:val="22"/>
          <w:szCs w:val="22"/>
        </w:rPr>
        <w:t>(PGTA, 2021, p.42).</w:t>
      </w:r>
    </w:p>
    <w:p w14:paraId="69C000A2" w14:textId="77777777" w:rsidR="00ED1812" w:rsidRPr="00ED1812" w:rsidRDefault="00ED1812" w:rsidP="00283845">
      <w:pPr>
        <w:ind w:left="1843"/>
        <w:jc w:val="both"/>
        <w:rPr>
          <w:rFonts w:eastAsia="Arial" w:cs="Arial"/>
          <w:sz w:val="22"/>
          <w:szCs w:val="22"/>
        </w:rPr>
      </w:pPr>
    </w:p>
    <w:p w14:paraId="3A08F3B7" w14:textId="49014472" w:rsidR="00ED1812" w:rsidRPr="00ED1812" w:rsidRDefault="00ED1812" w:rsidP="00216EFF">
      <w:pPr>
        <w:spacing w:line="360" w:lineRule="auto"/>
        <w:jc w:val="both"/>
        <w:rPr>
          <w:rFonts w:eastAsia="Arial" w:cs="Arial"/>
          <w:bCs/>
        </w:rPr>
      </w:pPr>
      <w:r>
        <w:rPr>
          <w:rFonts w:eastAsia="Arial" w:cs="Arial"/>
          <w:b/>
        </w:rPr>
        <w:tab/>
      </w:r>
      <w:r w:rsidRPr="00ED1812">
        <w:rPr>
          <w:rFonts w:eastAsia="Arial" w:cs="Arial"/>
          <w:bCs/>
        </w:rPr>
        <w:t xml:space="preserve">Está </w:t>
      </w:r>
      <w:r>
        <w:rPr>
          <w:rFonts w:eastAsia="Arial" w:cs="Arial"/>
          <w:bCs/>
        </w:rPr>
        <w:t xml:space="preserve">em questão, aqui, uma discussão mais específica, derivada desta abordagem, qual seja </w:t>
      </w:r>
      <w:r w:rsidR="00337FBD">
        <w:rPr>
          <w:rFonts w:eastAsia="Arial" w:cs="Arial"/>
          <w:bCs/>
        </w:rPr>
        <w:t xml:space="preserve">a de </w:t>
      </w:r>
      <w:r>
        <w:rPr>
          <w:rFonts w:eastAsia="Arial" w:cs="Arial"/>
          <w:bCs/>
        </w:rPr>
        <w:t>uma refle</w:t>
      </w:r>
      <w:r w:rsidR="00517AE2">
        <w:rPr>
          <w:rFonts w:eastAsia="Arial" w:cs="Arial"/>
          <w:bCs/>
        </w:rPr>
        <w:t>xão sobre o território indígena guarani e os dilemas que concepções contra-hegemônicas de modos de ser e estar no mundo, como as das populações pré-coloniais americanas, acabam experimentando no choque com o desenvolvimento moderno capitalista-colonialista. Neste sentido, uma referência obrigatória são as teorias críticas da colonialidade capitalista</w:t>
      </w:r>
      <w:r w:rsidR="00337FBD">
        <w:rPr>
          <w:rFonts w:eastAsia="Arial" w:cs="Arial"/>
          <w:bCs/>
        </w:rPr>
        <w:t xml:space="preserve"> - colonialidade</w:t>
      </w:r>
      <w:r w:rsidR="00517AE2">
        <w:rPr>
          <w:rFonts w:eastAsia="Arial" w:cs="Arial"/>
          <w:bCs/>
        </w:rPr>
        <w:t xml:space="preserve"> fundamentada numa “classificação étnico-racial do mundo como pedra angular de tal poder </w:t>
      </w:r>
      <w:r w:rsidR="0028685D">
        <w:rPr>
          <w:rFonts w:eastAsia="Arial" w:cs="Arial"/>
          <w:bCs/>
        </w:rPr>
        <w:t xml:space="preserve">[capitalista] e opera em cada um dos planos (...) da existência cotidiana e escala social” (QUIJANO, 2014). Este trabalho é uma contribuição ao debate sobre essa distintas dominialidades que se verificam no contexto da definição dos territórios </w:t>
      </w:r>
      <w:r w:rsidR="00057CF0">
        <w:rPr>
          <w:rFonts w:eastAsia="Arial" w:cs="Arial"/>
          <w:bCs/>
        </w:rPr>
        <w:lastRenderedPageBreak/>
        <w:t>ancestrais/</w:t>
      </w:r>
      <w:r w:rsidR="0028685D">
        <w:rPr>
          <w:rFonts w:eastAsia="Arial" w:cs="Arial"/>
          <w:bCs/>
        </w:rPr>
        <w:t>tradicionais, a partir da experiência de investigação e convivência solidária com os Guarani.</w:t>
      </w:r>
    </w:p>
    <w:p w14:paraId="038876B4" w14:textId="77777777" w:rsidR="00ED1812" w:rsidRDefault="00ED1812" w:rsidP="00216EFF">
      <w:pPr>
        <w:spacing w:line="360" w:lineRule="auto"/>
        <w:jc w:val="both"/>
        <w:rPr>
          <w:rFonts w:eastAsia="Arial" w:cs="Arial"/>
          <w:b/>
        </w:rPr>
      </w:pPr>
    </w:p>
    <w:p w14:paraId="1BF7C275" w14:textId="5621A654" w:rsidR="0028685D" w:rsidRPr="0028685D" w:rsidRDefault="0028685D" w:rsidP="0028685D">
      <w:pPr>
        <w:spacing w:line="360" w:lineRule="auto"/>
        <w:jc w:val="both"/>
        <w:rPr>
          <w:rFonts w:eastAsia="Arial" w:cs="Arial"/>
          <w:b/>
        </w:rPr>
      </w:pPr>
      <w:r w:rsidRPr="0028685D">
        <w:rPr>
          <w:rFonts w:eastAsia="Times New Roman" w:cs="Times New Roman"/>
          <w:b/>
          <w:caps/>
          <w:color w:val="000000"/>
        </w:rPr>
        <w:t>As Terras Guarani e os Territórios Ancestrais Arqueológicos</w:t>
      </w:r>
    </w:p>
    <w:p w14:paraId="14151D4B" w14:textId="0D6288D5" w:rsidR="0028685D" w:rsidRPr="0028685D" w:rsidRDefault="0028685D" w:rsidP="0028685D">
      <w:pPr>
        <w:widowControl w:val="0"/>
        <w:pBdr>
          <w:top w:val="nil"/>
          <w:left w:val="nil"/>
          <w:bottom w:val="nil"/>
          <w:right w:val="nil"/>
          <w:between w:val="nil"/>
        </w:pBdr>
        <w:spacing w:before="1" w:line="360" w:lineRule="auto"/>
        <w:ind w:right="-26" w:firstLine="602"/>
        <w:jc w:val="both"/>
        <w:rPr>
          <w:rFonts w:eastAsia="Times New Roman" w:cs="Times New Roman"/>
          <w:color w:val="000000"/>
        </w:rPr>
      </w:pPr>
      <w:r w:rsidRPr="0028685D">
        <w:rPr>
          <w:rFonts w:eastAsia="Times New Roman" w:cs="Times New Roman"/>
          <w:color w:val="000000"/>
        </w:rPr>
        <w:t xml:space="preserve">O mapeamento dos territórios ancestrais Guarani </w:t>
      </w:r>
      <w:r>
        <w:rPr>
          <w:rFonts w:eastAsia="Times New Roman" w:cs="Times New Roman"/>
          <w:color w:val="000000"/>
        </w:rPr>
        <w:t>é</w:t>
      </w:r>
      <w:r w:rsidRPr="0028685D">
        <w:rPr>
          <w:rFonts w:eastAsia="Times New Roman" w:cs="Times New Roman"/>
          <w:color w:val="000000"/>
        </w:rPr>
        <w:t xml:space="preserve"> de grande relevância para mostrar que esse Povo possui como característica central a   dispersão territorial. Para Susnik (1975, apud NOELLI, 1993) essa dispersão territorial Guarani seria motivada:</w:t>
      </w:r>
    </w:p>
    <w:p w14:paraId="7E6360C8" w14:textId="77777777" w:rsidR="0028685D" w:rsidRPr="00337FBD" w:rsidRDefault="0028685D" w:rsidP="0028685D">
      <w:pPr>
        <w:widowControl w:val="0"/>
        <w:numPr>
          <w:ilvl w:val="0"/>
          <w:numId w:val="1"/>
        </w:numPr>
        <w:pBdr>
          <w:top w:val="nil"/>
          <w:left w:val="nil"/>
          <w:bottom w:val="nil"/>
          <w:right w:val="nil"/>
          <w:between w:val="nil"/>
        </w:pBdr>
        <w:tabs>
          <w:tab w:val="left" w:pos="2552"/>
        </w:tabs>
        <w:spacing w:before="186"/>
        <w:ind w:left="2268" w:right="-26" w:firstLine="0"/>
        <w:jc w:val="both"/>
        <w:rPr>
          <w:sz w:val="22"/>
          <w:szCs w:val="22"/>
        </w:rPr>
      </w:pPr>
      <w:r w:rsidRPr="00337FBD">
        <w:rPr>
          <w:rFonts w:eastAsia="Times New Roman" w:cs="Times New Roman"/>
          <w:color w:val="000000"/>
          <w:sz w:val="22"/>
          <w:szCs w:val="22"/>
        </w:rPr>
        <w:t>pelo crescimento demográfico e subseqüente divisão das aldeias; b) pela busca de novas terras para plantar; c) pela guerra aos grupos que dominavam as terras do seu interesse; d) pelas divisões geradas por diferenças pessoais e de poder dentro [do] sistema de parentesco; e) pelo esgotamento das terras que ocupavam (NOELLI, 1993, p. 53).</w:t>
      </w:r>
    </w:p>
    <w:p w14:paraId="4584CEE5" w14:textId="77777777" w:rsidR="0028685D" w:rsidRPr="00337FBD" w:rsidRDefault="0028685D" w:rsidP="0028685D">
      <w:pPr>
        <w:widowControl w:val="0"/>
        <w:pBdr>
          <w:top w:val="nil"/>
          <w:left w:val="nil"/>
          <w:bottom w:val="nil"/>
          <w:right w:val="nil"/>
          <w:between w:val="nil"/>
        </w:pBdr>
        <w:tabs>
          <w:tab w:val="left" w:pos="2758"/>
        </w:tabs>
        <w:spacing w:before="186"/>
        <w:ind w:left="2268" w:right="-26"/>
        <w:jc w:val="both"/>
        <w:rPr>
          <w:rFonts w:eastAsia="Times New Roman" w:cs="Times New Roman"/>
          <w:color w:val="000000"/>
          <w:sz w:val="22"/>
          <w:szCs w:val="22"/>
        </w:rPr>
      </w:pPr>
    </w:p>
    <w:p w14:paraId="633E8B43" w14:textId="3FB96414" w:rsidR="00216EFF" w:rsidRDefault="0028685D" w:rsidP="0028685D">
      <w:pPr>
        <w:spacing w:line="360" w:lineRule="auto"/>
        <w:jc w:val="both"/>
        <w:rPr>
          <w:rFonts w:eastAsia="Times New Roman" w:cs="Times New Roman"/>
          <w:color w:val="000000"/>
        </w:rPr>
      </w:pPr>
      <w:r w:rsidRPr="0028685D">
        <w:rPr>
          <w:rFonts w:eastAsia="Times New Roman" w:cs="Times New Roman"/>
          <w:color w:val="000000"/>
        </w:rPr>
        <w:t>Esse processo concreto de dispersão territorial também deve ser compreendido no contexto mais amplo de disputa pelo território e de sua apropriação. A compreensão acerca da existência de interesses especulativos fundiários (que se desejam ocultos), se explicita na divergência dos dados veiculados sobre a regularização de Terras Indígenas. Soma-se a isso, a necessidade de preservação ambiental e cultural das comunidades, sempre fortemente ameaçadas, sobretudo na sua base física – exatamente as suas Terras – prejudicando o desenvolvimento de territórios saudáveis e sustentáveis.</w:t>
      </w:r>
    </w:p>
    <w:p w14:paraId="0C95B5F8" w14:textId="1D66750F" w:rsidR="00385724" w:rsidRPr="00385724" w:rsidRDefault="00385724" w:rsidP="00385724">
      <w:pPr>
        <w:spacing w:line="360" w:lineRule="auto"/>
        <w:ind w:firstLine="708"/>
        <w:jc w:val="both"/>
        <w:rPr>
          <w:rFonts w:eastAsia="Arial" w:cs="Arial"/>
        </w:rPr>
      </w:pPr>
      <w:r w:rsidRPr="00385724">
        <w:rPr>
          <w:rFonts w:eastAsia="Arial" w:cs="Arial"/>
        </w:rPr>
        <w:t xml:space="preserve">A Lei 3.924/1961, dispõe sobre os monumentos arqueológicos e pré-históricos no Brasil. </w:t>
      </w:r>
      <w:r>
        <w:rPr>
          <w:rFonts w:eastAsia="Arial" w:cs="Arial"/>
        </w:rPr>
        <w:t xml:space="preserve">Motivada por conflitos e espoliação envolvendo centenas de sítios </w:t>
      </w:r>
      <w:r w:rsidRPr="00385724">
        <w:rPr>
          <w:rFonts w:eastAsia="Arial" w:cs="Arial"/>
        </w:rPr>
        <w:t>arqueológicos existentes na região litorânea do país, foi a primeira iniciativa oficial do Estado Brasileiro em prol da efetiva proteção de territórios ancestrais indígenas.</w:t>
      </w:r>
      <w:r>
        <w:rPr>
          <w:rFonts w:eastAsia="Arial" w:cs="Arial"/>
        </w:rPr>
        <w:t xml:space="preserve"> </w:t>
      </w:r>
      <w:r w:rsidRPr="00385724">
        <w:rPr>
          <w:rFonts w:eastAsia="Arial" w:cs="Arial"/>
        </w:rPr>
        <w:t xml:space="preserve">Essa Lei dispõe, no seu artigo primeiro, que “todos os monumentos arqueológicos ou pré-históricos de qualquer natureza, existentes </w:t>
      </w:r>
      <w:r w:rsidRPr="00385724">
        <w:rPr>
          <w:rFonts w:eastAsia="Arial" w:cs="Arial"/>
        </w:rPr>
        <w:lastRenderedPageBreak/>
        <w:t xml:space="preserve">no território nacional e todos os elementos que neles se encontram ficam sob a guarda e proteção do poder público”. </w:t>
      </w:r>
    </w:p>
    <w:p w14:paraId="6672A65C" w14:textId="7EA5859B" w:rsidR="00385724" w:rsidRPr="00385724" w:rsidRDefault="00385724" w:rsidP="00385724">
      <w:pPr>
        <w:spacing w:line="360" w:lineRule="auto"/>
        <w:ind w:firstLine="708"/>
        <w:jc w:val="both"/>
        <w:rPr>
          <w:rFonts w:eastAsia="Arial" w:cs="Arial"/>
        </w:rPr>
      </w:pPr>
      <w:r w:rsidRPr="00385724">
        <w:rPr>
          <w:rFonts w:eastAsia="Arial" w:cs="Arial"/>
        </w:rPr>
        <w:t>Na década de 1970, o Estado Brasileiro criou o PRONAPA (Programa Nacional de Pesquisas Arqueológicas), no intuito de mapear os sítios arqueológicos no Brasil, usando o método prospectivo. Sob o título de sítios arqueológicos, uma nomenclatura tradicional herdada da França e já utilizada no Brasil - pela própria Lei 3.924, mas também pela Universidade, desde a década de 1960 - as terras indígenas arqueológicas começaram a ser registradas de forma sistemática pelo PRONAPA (FACCIO, 1992).</w:t>
      </w:r>
    </w:p>
    <w:p w14:paraId="6EC99E57" w14:textId="77777777" w:rsidR="00385724" w:rsidRDefault="00385724" w:rsidP="00385724">
      <w:pPr>
        <w:spacing w:line="360" w:lineRule="auto"/>
        <w:ind w:firstLine="708"/>
        <w:jc w:val="both"/>
        <w:rPr>
          <w:rFonts w:eastAsia="Arial" w:cs="Arial"/>
        </w:rPr>
      </w:pPr>
      <w:r w:rsidRPr="00385724">
        <w:rPr>
          <w:rFonts w:eastAsia="Arial" w:cs="Arial"/>
        </w:rPr>
        <w:t>A partir de 20</w:t>
      </w:r>
      <w:r>
        <w:rPr>
          <w:rFonts w:eastAsia="Arial" w:cs="Arial"/>
        </w:rPr>
        <w:t>0</w:t>
      </w:r>
      <w:r w:rsidRPr="00385724">
        <w:rPr>
          <w:rFonts w:eastAsia="Arial" w:cs="Arial"/>
        </w:rPr>
        <w:t xml:space="preserve">2, com a Portaria 230 do IPHAN (Instituto do Patrimônio Histórico, Artístico Nacional), as fases do licenciamento ambiental foram compatibilizadas com os estudos da arqueologia. Dessa forma, todo empreendimento potencialmente capaz de afetar o patrimônio arqueológico passou a demandar um laudo arqueológico, antes mesmo de sua instalação. Essa Portaria mudou a velocidade com que as Terras Indígenas Ancestrais eram cadastradas nesse Instituto (IPHAN, 2002), além de provocar uma explosão nesses registros – derivada diretamente da ação de pesquisa dentro que se convencionou chamar de Arqueologia </w:t>
      </w:r>
      <w:r>
        <w:rPr>
          <w:rFonts w:eastAsia="Arial" w:cs="Arial"/>
        </w:rPr>
        <w:t xml:space="preserve">Preventiva ou </w:t>
      </w:r>
      <w:r w:rsidRPr="00385724">
        <w:rPr>
          <w:rFonts w:eastAsia="Arial" w:cs="Arial"/>
        </w:rPr>
        <w:t xml:space="preserve">de Contrato. </w:t>
      </w:r>
    </w:p>
    <w:p w14:paraId="08233492" w14:textId="0B278A0E" w:rsidR="00385724" w:rsidRPr="00385724" w:rsidRDefault="00385724" w:rsidP="00385724">
      <w:pPr>
        <w:spacing w:line="360" w:lineRule="auto"/>
        <w:ind w:firstLine="708"/>
        <w:jc w:val="both"/>
        <w:rPr>
          <w:rFonts w:eastAsia="Arial" w:cs="Arial"/>
        </w:rPr>
      </w:pPr>
      <w:r w:rsidRPr="00385724">
        <w:rPr>
          <w:rFonts w:eastAsia="Arial" w:cs="Arial"/>
        </w:rPr>
        <w:t xml:space="preserve">Contudo, destaca-se que, no caso </w:t>
      </w:r>
      <w:r>
        <w:rPr>
          <w:rFonts w:eastAsia="Arial" w:cs="Arial"/>
        </w:rPr>
        <w:t xml:space="preserve">específico </w:t>
      </w:r>
      <w:r w:rsidRPr="00385724">
        <w:rPr>
          <w:rFonts w:eastAsia="Arial" w:cs="Arial"/>
        </w:rPr>
        <w:t>do Estado de São Paulo</w:t>
      </w:r>
      <w:r>
        <w:rPr>
          <w:rFonts w:eastAsia="Arial" w:cs="Arial"/>
        </w:rPr>
        <w:t xml:space="preserve"> (o mais economicamente dinâmico do país)</w:t>
      </w:r>
      <w:r w:rsidRPr="00385724">
        <w:rPr>
          <w:rFonts w:eastAsia="Arial" w:cs="Arial"/>
        </w:rPr>
        <w:t>, a Secretaria do Meio Ambiente emitiu a Resolução número 34</w:t>
      </w:r>
      <w:r>
        <w:rPr>
          <w:rFonts w:eastAsia="Arial" w:cs="Arial"/>
        </w:rPr>
        <w:t xml:space="preserve"> </w:t>
      </w:r>
      <w:r w:rsidRPr="00385724">
        <w:rPr>
          <w:rFonts w:eastAsia="Arial" w:cs="Arial"/>
        </w:rPr>
        <w:t>menos de um ano depois de publicada a Portaria 230 do IPHAN</w:t>
      </w:r>
      <w:r>
        <w:rPr>
          <w:rFonts w:eastAsia="Arial" w:cs="Arial"/>
        </w:rPr>
        <w:t>, dispondo sobre</w:t>
      </w:r>
      <w:r w:rsidRPr="00385724">
        <w:rPr>
          <w:rFonts w:eastAsia="Arial" w:cs="Arial"/>
        </w:rPr>
        <w:t xml:space="preserve"> as medidas </w:t>
      </w:r>
      <w:r>
        <w:rPr>
          <w:rFonts w:eastAsia="Arial" w:cs="Arial"/>
        </w:rPr>
        <w:t>“</w:t>
      </w:r>
      <w:r w:rsidRPr="00385724">
        <w:rPr>
          <w:rFonts w:eastAsia="Arial" w:cs="Arial"/>
        </w:rPr>
        <w:t>necessárias à proteção do patrimônio arqueológico e pré-histórico</w:t>
      </w:r>
      <w:r>
        <w:rPr>
          <w:rFonts w:eastAsia="Arial" w:cs="Arial"/>
        </w:rPr>
        <w:t>”</w:t>
      </w:r>
      <w:r w:rsidRPr="00385724">
        <w:rPr>
          <w:rFonts w:eastAsia="Arial" w:cs="Arial"/>
        </w:rPr>
        <w:t>, quando do licenciamento ambiental de empreendimentos.</w:t>
      </w:r>
      <w:r>
        <w:rPr>
          <w:rFonts w:eastAsia="Arial" w:cs="Arial"/>
        </w:rPr>
        <w:t xml:space="preserve"> </w:t>
      </w:r>
      <w:r w:rsidRPr="00385724">
        <w:rPr>
          <w:rFonts w:eastAsia="Arial" w:cs="Arial"/>
        </w:rPr>
        <w:t>Essa Resolução, no seu Artigo 2</w:t>
      </w:r>
      <w:r w:rsidRPr="00385724">
        <w:rPr>
          <w:rFonts w:eastAsia="Arial" w:cs="Arial"/>
          <w:u w:val="single"/>
          <w:vertAlign w:val="superscript"/>
        </w:rPr>
        <w:t>0</w:t>
      </w:r>
      <w:r w:rsidRPr="00385724">
        <w:rPr>
          <w:rFonts w:eastAsia="Arial" w:cs="Arial"/>
        </w:rPr>
        <w:t xml:space="preserve">, inciso III, deixava uma brecha para que diagnósticos negativos para a presença de vestígios arqueológicos </w:t>
      </w:r>
      <w:r w:rsidRPr="00385724">
        <w:rPr>
          <w:rFonts w:eastAsia="Arial" w:cs="Arial"/>
          <w:u w:val="single"/>
        </w:rPr>
        <w:t>não fossem cadastrados no IPHAN</w:t>
      </w:r>
      <w:r>
        <w:rPr>
          <w:rFonts w:eastAsia="Arial" w:cs="Arial"/>
        </w:rPr>
        <w:t>. D</w:t>
      </w:r>
      <w:r w:rsidRPr="00385724">
        <w:rPr>
          <w:rFonts w:eastAsia="Arial" w:cs="Arial"/>
        </w:rPr>
        <w:t xml:space="preserve">essa forma, a Secretária </w:t>
      </w:r>
      <w:r>
        <w:rPr>
          <w:rFonts w:eastAsia="Arial" w:cs="Arial"/>
        </w:rPr>
        <w:t>Estadual</w:t>
      </w:r>
      <w:r w:rsidRPr="00385724">
        <w:rPr>
          <w:rFonts w:eastAsia="Arial" w:cs="Arial"/>
        </w:rPr>
        <w:t xml:space="preserve"> aprovava esses diagnósticos, sem que eles passassem por um parecer </w:t>
      </w:r>
      <w:r>
        <w:rPr>
          <w:rFonts w:eastAsia="Arial" w:cs="Arial"/>
        </w:rPr>
        <w:lastRenderedPageBreak/>
        <w:t xml:space="preserve">técnico </w:t>
      </w:r>
      <w:r w:rsidRPr="00385724">
        <w:rPr>
          <w:rFonts w:eastAsia="Arial" w:cs="Arial"/>
        </w:rPr>
        <w:t>do IPHAN –</w:t>
      </w:r>
      <w:r>
        <w:rPr>
          <w:rFonts w:eastAsia="Arial" w:cs="Arial"/>
        </w:rPr>
        <w:t xml:space="preserve"> o que, na prática, retirou a avaliação oficial de pareceres contratados</w:t>
      </w:r>
      <w:r w:rsidRPr="00385724">
        <w:rPr>
          <w:rFonts w:eastAsia="Arial" w:cs="Arial"/>
        </w:rPr>
        <w:t>.</w:t>
      </w:r>
    </w:p>
    <w:p w14:paraId="466B0938" w14:textId="3660CE65" w:rsidR="00385724" w:rsidRPr="00385724" w:rsidRDefault="00385724" w:rsidP="00385724">
      <w:pPr>
        <w:spacing w:line="360" w:lineRule="auto"/>
        <w:ind w:firstLine="708"/>
        <w:jc w:val="both"/>
        <w:rPr>
          <w:rFonts w:eastAsia="Arial" w:cs="Arial"/>
        </w:rPr>
      </w:pPr>
      <w:r w:rsidRPr="00385724">
        <w:rPr>
          <w:rFonts w:eastAsia="Arial" w:cs="Arial"/>
        </w:rPr>
        <w:t>Tal Resolução só foi revogada em 27 de agosto de 2013, dez anos após a sua publicação, por ter sido julgada inconstitucional - pois um órgão estadual não pode se sobrepor à legislação federal</w:t>
      </w:r>
      <w:r>
        <w:rPr>
          <w:rFonts w:eastAsia="Arial" w:cs="Arial"/>
        </w:rPr>
        <w:t>.</w:t>
      </w:r>
      <w:r w:rsidRPr="00385724">
        <w:rPr>
          <w:rFonts w:eastAsia="Arial" w:cs="Arial"/>
        </w:rPr>
        <w:t xml:space="preserve"> É fato, </w:t>
      </w:r>
      <w:r>
        <w:rPr>
          <w:rFonts w:eastAsia="Arial" w:cs="Arial"/>
        </w:rPr>
        <w:t>no entanto</w:t>
      </w:r>
      <w:r w:rsidRPr="00385724">
        <w:rPr>
          <w:rFonts w:eastAsia="Arial" w:cs="Arial"/>
        </w:rPr>
        <w:t xml:space="preserve">, que muitos empreendimentos foram licenciados </w:t>
      </w:r>
      <w:r>
        <w:rPr>
          <w:rFonts w:eastAsia="Arial" w:cs="Arial"/>
        </w:rPr>
        <w:t xml:space="preserve">em </w:t>
      </w:r>
      <w:r w:rsidRPr="00385724">
        <w:rPr>
          <w:rFonts w:eastAsia="Arial" w:cs="Arial"/>
        </w:rPr>
        <w:t xml:space="preserve">São Paulo sem que o laudo arqueológico prospectivo fosse </w:t>
      </w:r>
      <w:r>
        <w:rPr>
          <w:rFonts w:eastAsia="Arial" w:cs="Arial"/>
        </w:rPr>
        <w:t>validado</w:t>
      </w:r>
      <w:r w:rsidRPr="00385724">
        <w:rPr>
          <w:rFonts w:eastAsia="Arial" w:cs="Arial"/>
        </w:rPr>
        <w:t>. Dessa forma, pode-se presumir que muitas Terras Indígenas Arqueológicas (os “sítios”) deixaram de ser registradas no IPHAN. Dificilmente haverá possibilidade de posterior registro – pois, em ações futuras, essas áreas já foram licenciadas.</w:t>
      </w:r>
    </w:p>
    <w:p w14:paraId="134D8369" w14:textId="73D7AA99" w:rsidR="00385724" w:rsidRPr="00385724" w:rsidRDefault="00385724" w:rsidP="00385724">
      <w:pPr>
        <w:spacing w:line="360" w:lineRule="auto"/>
        <w:ind w:firstLine="708"/>
        <w:jc w:val="both"/>
        <w:rPr>
          <w:rFonts w:eastAsia="Arial" w:cs="Arial"/>
        </w:rPr>
      </w:pPr>
      <w:r w:rsidRPr="00385724">
        <w:rPr>
          <w:rFonts w:eastAsia="Arial" w:cs="Arial"/>
        </w:rPr>
        <w:t>A demarcação ou o registro de Terras Indígenas ancestrais arqueológicas é importante, porque se trata, de alguma forma, da proteção de direitos das populações tradicionais, que vivem sob distintas ameaças: avanço da pecuária, exploração dos recursos naturais (minérios), desmatamento ilegal, loteamentos e monoculturas. Sem dúvida, o desmatamento ilegal precede todas as demais atividades, haja vista que avança cada vez mais em áreas protegidas - como unidades de conservação e terras indígenas - e, também, em áreas que se encontram em processo de litígio e que fazem parte dos processos de demarcação de Terras Indígenas e de Unidades de Conservação (GUIMARÃES et al., 2022).</w:t>
      </w:r>
    </w:p>
    <w:p w14:paraId="5BFCF22B" w14:textId="273ED429" w:rsidR="000B5EB1" w:rsidRDefault="00385724" w:rsidP="00337FBD">
      <w:pPr>
        <w:spacing w:line="360" w:lineRule="auto"/>
        <w:ind w:firstLine="708"/>
        <w:jc w:val="both"/>
        <w:rPr>
          <w:rFonts w:eastAsia="Arial" w:cs="Arial"/>
        </w:rPr>
      </w:pPr>
      <w:r w:rsidRPr="00385724">
        <w:rPr>
          <w:rFonts w:eastAsia="Arial" w:cs="Arial"/>
        </w:rPr>
        <w:t xml:space="preserve">Sabemos que o registro de sítios arqueológicos </w:t>
      </w:r>
      <w:r w:rsidR="00823EF0">
        <w:rPr>
          <w:rFonts w:eastAsia="Arial" w:cs="Arial"/>
        </w:rPr>
        <w:t xml:space="preserve">não se </w:t>
      </w:r>
      <w:r w:rsidRPr="00385724">
        <w:rPr>
          <w:rFonts w:eastAsia="Arial" w:cs="Arial"/>
        </w:rPr>
        <w:t>constitu</w:t>
      </w:r>
      <w:r>
        <w:rPr>
          <w:rFonts w:eastAsia="Arial" w:cs="Arial"/>
        </w:rPr>
        <w:t>i</w:t>
      </w:r>
      <w:r w:rsidRPr="00385724">
        <w:rPr>
          <w:rFonts w:eastAsia="Arial" w:cs="Arial"/>
        </w:rPr>
        <w:t xml:space="preserve"> </w:t>
      </w:r>
      <w:r w:rsidR="00823EF0">
        <w:rPr>
          <w:rFonts w:eastAsia="Arial" w:cs="Arial"/>
        </w:rPr>
        <w:t>nas principais pautas dos</w:t>
      </w:r>
      <w:r w:rsidRPr="00385724">
        <w:rPr>
          <w:rFonts w:eastAsia="Arial" w:cs="Arial"/>
        </w:rPr>
        <w:t xml:space="preserve"> Povos Indígenas brasileiros. </w:t>
      </w:r>
      <w:r w:rsidR="00823EF0">
        <w:rPr>
          <w:rFonts w:eastAsia="Arial" w:cs="Arial"/>
        </w:rPr>
        <w:t>Porém, embora isso</w:t>
      </w:r>
      <w:r w:rsidRPr="00385724">
        <w:rPr>
          <w:rFonts w:eastAsia="Arial" w:cs="Arial"/>
        </w:rPr>
        <w:t xml:space="preserve"> não tra</w:t>
      </w:r>
      <w:r w:rsidR="00823EF0">
        <w:rPr>
          <w:rFonts w:eastAsia="Arial" w:cs="Arial"/>
        </w:rPr>
        <w:t>ga</w:t>
      </w:r>
      <w:r w:rsidRPr="00385724">
        <w:rPr>
          <w:rFonts w:eastAsia="Arial" w:cs="Arial"/>
        </w:rPr>
        <w:t xml:space="preserve"> nenhuma garantia ou benefício</w:t>
      </w:r>
      <w:r>
        <w:rPr>
          <w:rFonts w:eastAsia="Arial" w:cs="Arial"/>
        </w:rPr>
        <w:t xml:space="preserve"> </w:t>
      </w:r>
      <w:r w:rsidRPr="00385724">
        <w:rPr>
          <w:rFonts w:eastAsia="Arial" w:cs="Arial"/>
        </w:rPr>
        <w:t xml:space="preserve">imediatos, </w:t>
      </w:r>
      <w:r w:rsidR="00823EF0">
        <w:rPr>
          <w:rFonts w:eastAsia="Arial" w:cs="Arial"/>
        </w:rPr>
        <w:t>certamente</w:t>
      </w:r>
      <w:r w:rsidRPr="00385724">
        <w:rPr>
          <w:rFonts w:eastAsia="Arial" w:cs="Arial"/>
        </w:rPr>
        <w:t xml:space="preserve"> aux</w:t>
      </w:r>
      <w:r>
        <w:rPr>
          <w:rFonts w:eastAsia="Arial" w:cs="Arial"/>
        </w:rPr>
        <w:t>i</w:t>
      </w:r>
      <w:r w:rsidRPr="00385724">
        <w:rPr>
          <w:rFonts w:eastAsia="Arial" w:cs="Arial"/>
        </w:rPr>
        <w:t xml:space="preserve">lia em processos demarcatórios. </w:t>
      </w:r>
      <w:r w:rsidR="00823EF0">
        <w:rPr>
          <w:rFonts w:eastAsia="Arial" w:cs="Arial"/>
        </w:rPr>
        <w:t>A</w:t>
      </w:r>
      <w:r w:rsidRPr="00385724">
        <w:rPr>
          <w:rFonts w:eastAsia="Arial" w:cs="Arial"/>
        </w:rPr>
        <w:t xml:space="preserve">ssim, vislumbramos a importância desses registros à medida em que a </w:t>
      </w:r>
      <w:r w:rsidR="00823EF0">
        <w:rPr>
          <w:rFonts w:eastAsia="Arial" w:cs="Arial"/>
        </w:rPr>
        <w:t xml:space="preserve">luta </w:t>
      </w:r>
      <w:r w:rsidRPr="00385724">
        <w:rPr>
          <w:rFonts w:eastAsia="Arial" w:cs="Arial"/>
        </w:rPr>
        <w:t>indígena</w:t>
      </w:r>
      <w:r w:rsidR="00823EF0">
        <w:rPr>
          <w:rFonts w:eastAsia="Arial" w:cs="Arial"/>
        </w:rPr>
        <w:t xml:space="preserve"> (e de outros grupos tradicionais)</w:t>
      </w:r>
      <w:r w:rsidRPr="00385724">
        <w:rPr>
          <w:rFonts w:eastAsia="Arial" w:cs="Arial"/>
        </w:rPr>
        <w:t xml:space="preserve"> ganha espaço na política brasileira. </w:t>
      </w:r>
    </w:p>
    <w:p w14:paraId="305E0189" w14:textId="77777777" w:rsidR="00782A9C" w:rsidRDefault="00782A9C" w:rsidP="00385724">
      <w:pPr>
        <w:spacing w:line="360" w:lineRule="auto"/>
        <w:jc w:val="both"/>
        <w:rPr>
          <w:rFonts w:eastAsia="Arial" w:cs="Arial"/>
        </w:rPr>
      </w:pPr>
    </w:p>
    <w:p w14:paraId="5738A280" w14:textId="77777777" w:rsidR="000B5EB1" w:rsidRDefault="000B5EB1" w:rsidP="00385724">
      <w:pPr>
        <w:spacing w:line="360" w:lineRule="auto"/>
        <w:jc w:val="both"/>
        <w:rPr>
          <w:rFonts w:eastAsia="Arial" w:cs="Arial"/>
        </w:rPr>
      </w:pPr>
    </w:p>
    <w:p w14:paraId="1FB7135C" w14:textId="2F3BE14B" w:rsidR="00385724" w:rsidRPr="00385724" w:rsidRDefault="000B5EB1" w:rsidP="00385724">
      <w:pPr>
        <w:spacing w:line="360" w:lineRule="auto"/>
        <w:jc w:val="both"/>
        <w:rPr>
          <w:rFonts w:eastAsia="Arial" w:cs="Arial"/>
          <w:b/>
          <w:bCs/>
        </w:rPr>
      </w:pPr>
      <w:r w:rsidRPr="000B5EB1">
        <w:rPr>
          <w:rFonts w:eastAsia="Arial" w:cs="Arial"/>
          <w:b/>
          <w:bCs/>
        </w:rPr>
        <w:lastRenderedPageBreak/>
        <w:t>A LUTA POR RECONHECIMENTO E POR TERRITÓRIOS</w:t>
      </w:r>
      <w:r w:rsidR="00782A9C">
        <w:rPr>
          <w:rFonts w:eastAsia="Arial" w:cs="Arial"/>
          <w:b/>
          <w:bCs/>
        </w:rPr>
        <w:t xml:space="preserve"> ANCESTRAIS</w:t>
      </w:r>
      <w:r w:rsidR="00385724" w:rsidRPr="00385724">
        <w:rPr>
          <w:rFonts w:eastAsia="Arial" w:cs="Arial"/>
          <w:b/>
          <w:bCs/>
        </w:rPr>
        <w:t xml:space="preserve">                                                                                             </w:t>
      </w:r>
    </w:p>
    <w:p w14:paraId="4D6E7D73" w14:textId="0E18024B" w:rsidR="00385724" w:rsidRPr="00385724" w:rsidRDefault="00385724" w:rsidP="000B5EB1">
      <w:pPr>
        <w:spacing w:line="360" w:lineRule="auto"/>
        <w:ind w:firstLine="708"/>
        <w:jc w:val="both"/>
        <w:rPr>
          <w:rFonts w:eastAsia="Arial" w:cs="Arial"/>
        </w:rPr>
      </w:pPr>
      <w:r w:rsidRPr="00385724">
        <w:rPr>
          <w:rFonts w:eastAsia="Arial" w:cs="Arial"/>
        </w:rPr>
        <w:t>Desde a promulgação da Constituição Federal Brasileira, em 1988, percebe-se que a população indígena volta a crescer e dá início a um forte movimento de organização política. A partir dessa data, verificamos a formação de professores/pesquisadores indígenas e de escolas de ensino fundamental somente com professores indígenas. Emergem, também, indígenas de destaque na política do Estado e, até mesmo, internacionalmente - como é o caso do Cacique Raoni Metuktire, do Povo Kayapó. Também, seus representantes passam, sobretudo nas últimas duas décadas, a ter maior influência na esfera pública, como é o caso do “imortal da ABL”, Aílton Krenak.</w:t>
      </w:r>
    </w:p>
    <w:p w14:paraId="22CF7421" w14:textId="61339679" w:rsidR="00385724" w:rsidRPr="00385724" w:rsidRDefault="00385724" w:rsidP="000B5EB1">
      <w:pPr>
        <w:spacing w:line="360" w:lineRule="auto"/>
        <w:ind w:firstLine="708"/>
        <w:jc w:val="both"/>
        <w:rPr>
          <w:rFonts w:eastAsia="Arial" w:cs="Arial"/>
        </w:rPr>
      </w:pPr>
      <w:r w:rsidRPr="00385724">
        <w:rPr>
          <w:rFonts w:eastAsia="Arial" w:cs="Arial"/>
        </w:rPr>
        <w:t>Os Povos Indígenas mostram, ao longo da História do Brasil, que certos valores e perspectivas resistem a todo tipo de pressão e que sua luta para preservar seus territórios e os recursos naturais neles presentes é fator de preservação de muitos biomas brasileiros (DANAGA</w:t>
      </w:r>
      <w:r w:rsidR="000B5EB1">
        <w:rPr>
          <w:rFonts w:eastAsia="Arial" w:cs="Arial"/>
        </w:rPr>
        <w:t>;</w:t>
      </w:r>
      <w:r w:rsidRPr="00385724">
        <w:rPr>
          <w:rFonts w:eastAsia="Arial" w:cs="Arial"/>
        </w:rPr>
        <w:t xml:space="preserve"> PEGGION, 2016</w:t>
      </w:r>
      <w:r w:rsidR="000B5EB1">
        <w:rPr>
          <w:rFonts w:eastAsia="Arial" w:cs="Arial"/>
        </w:rPr>
        <w:t>;</w:t>
      </w:r>
      <w:r w:rsidRPr="00385724">
        <w:rPr>
          <w:rFonts w:eastAsia="Arial" w:cs="Arial"/>
        </w:rPr>
        <w:t xml:space="preserve"> GUIMARÃES et al., 2022).</w:t>
      </w:r>
    </w:p>
    <w:p w14:paraId="4F4358B2" w14:textId="77E42012" w:rsidR="00782A9C" w:rsidRDefault="00385724" w:rsidP="000B5EB1">
      <w:pPr>
        <w:spacing w:line="360" w:lineRule="auto"/>
        <w:ind w:firstLine="708"/>
        <w:jc w:val="both"/>
        <w:rPr>
          <w:rFonts w:eastAsia="Arial" w:cs="Arial"/>
        </w:rPr>
      </w:pPr>
      <w:r w:rsidRPr="00385724">
        <w:rPr>
          <w:rFonts w:eastAsia="Arial" w:cs="Arial"/>
        </w:rPr>
        <w:t>A Constituição Federal do Brasil, de 1988, dispõe sobre as terras imemoriais dos Povos Indígenas. Contudo, a tese do chamado “marco temporal” busca desrespeitar a Constitu</w:t>
      </w:r>
      <w:r w:rsidR="000B5EB1">
        <w:rPr>
          <w:rFonts w:eastAsia="Arial" w:cs="Arial"/>
        </w:rPr>
        <w:t>i</w:t>
      </w:r>
      <w:r w:rsidRPr="00385724">
        <w:rPr>
          <w:rFonts w:eastAsia="Arial" w:cs="Arial"/>
        </w:rPr>
        <w:t>ção, quando procura aprovar a regra de que só seriam demarcadas e homologadas as Terras que tivessem indígenas nelas morando, na data do início da vigência da Constituição Federal. O chamado marco temporal desrespeita não só a imemorialidade das Terra Indígenas, mas também, de forma específica, a cu</w:t>
      </w:r>
      <w:r w:rsidR="000B5EB1">
        <w:rPr>
          <w:rFonts w:eastAsia="Arial" w:cs="Arial"/>
        </w:rPr>
        <w:t>l</w:t>
      </w:r>
      <w:r w:rsidRPr="00385724">
        <w:rPr>
          <w:rFonts w:eastAsia="Arial" w:cs="Arial"/>
        </w:rPr>
        <w:t>tura Guarani - que se estabele</w:t>
      </w:r>
      <w:r w:rsidR="000B5EB1">
        <w:rPr>
          <w:rFonts w:eastAsia="Arial" w:cs="Arial"/>
        </w:rPr>
        <w:t>ce</w:t>
      </w:r>
      <w:r w:rsidRPr="00385724">
        <w:rPr>
          <w:rFonts w:eastAsia="Arial" w:cs="Arial"/>
        </w:rPr>
        <w:t xml:space="preserve"> a partir de redes que possibilitam a articulação entre os territórios, não necessariamente com ocupação permanente</w:t>
      </w:r>
      <w:r w:rsidR="000B5EB1">
        <w:rPr>
          <w:rFonts w:eastAsia="Arial" w:cs="Arial"/>
        </w:rPr>
        <w:t>, em contraste com a lógica fundiária colonial</w:t>
      </w:r>
      <w:r w:rsidRPr="00385724">
        <w:rPr>
          <w:rFonts w:eastAsia="Arial" w:cs="Arial"/>
        </w:rPr>
        <w:t xml:space="preserve"> brasileira. </w:t>
      </w:r>
      <w:r w:rsidR="000B5EB1">
        <w:rPr>
          <w:rFonts w:eastAsia="Arial" w:cs="Arial"/>
        </w:rPr>
        <w:t>Este é exatamente o caso do amplo território da Serra do Mar, espaço de vida e permanência de inúmeros grupos</w:t>
      </w:r>
      <w:r w:rsidR="00782A9C">
        <w:rPr>
          <w:rFonts w:eastAsia="Arial" w:cs="Arial"/>
        </w:rPr>
        <w:t xml:space="preserve"> - sobretudo Guarani. </w:t>
      </w:r>
    </w:p>
    <w:p w14:paraId="0BA6D72E" w14:textId="10143E83" w:rsidR="00385724" w:rsidRPr="00385724" w:rsidRDefault="00782A9C" w:rsidP="000B5EB1">
      <w:pPr>
        <w:spacing w:line="360" w:lineRule="auto"/>
        <w:ind w:firstLine="708"/>
        <w:jc w:val="both"/>
        <w:rPr>
          <w:rFonts w:eastAsia="Arial" w:cs="Arial"/>
        </w:rPr>
      </w:pPr>
      <w:r>
        <w:rPr>
          <w:rFonts w:eastAsia="Arial" w:cs="Arial"/>
        </w:rPr>
        <w:t>Uma outra abordagem fundamental diz respeito ao fato de que</w:t>
      </w:r>
      <w:r w:rsidR="00385724" w:rsidRPr="00385724">
        <w:rPr>
          <w:rFonts w:eastAsia="Arial" w:cs="Arial"/>
        </w:rPr>
        <w:t xml:space="preserve">, quando são retirados à força de seus territórios ancestrais, esses territórios continuam </w:t>
      </w:r>
      <w:r w:rsidR="00385724" w:rsidRPr="00385724">
        <w:rPr>
          <w:rFonts w:eastAsia="Arial" w:cs="Arial"/>
        </w:rPr>
        <w:lastRenderedPageBreak/>
        <w:t>sendo importantes</w:t>
      </w:r>
      <w:r>
        <w:rPr>
          <w:rFonts w:eastAsia="Arial" w:cs="Arial"/>
        </w:rPr>
        <w:t xml:space="preserve"> para as comunidades</w:t>
      </w:r>
      <w:r w:rsidR="00385724" w:rsidRPr="00385724">
        <w:rPr>
          <w:rFonts w:eastAsia="Arial" w:cs="Arial"/>
        </w:rPr>
        <w:t>. Sem eles</w:t>
      </w:r>
      <w:r>
        <w:rPr>
          <w:rFonts w:eastAsia="Arial" w:cs="Arial"/>
        </w:rPr>
        <w:t>,</w:t>
      </w:r>
      <w:r w:rsidR="00385724" w:rsidRPr="00385724">
        <w:rPr>
          <w:rFonts w:eastAsia="Arial" w:cs="Arial"/>
        </w:rPr>
        <w:t xml:space="preserve"> </w:t>
      </w:r>
      <w:r w:rsidRPr="00385724">
        <w:rPr>
          <w:rFonts w:eastAsia="Arial" w:cs="Arial"/>
        </w:rPr>
        <w:t>suas redes e o seu caminhar</w:t>
      </w:r>
      <w:r>
        <w:rPr>
          <w:rFonts w:eastAsia="Arial" w:cs="Arial"/>
        </w:rPr>
        <w:t xml:space="preserve"> -</w:t>
      </w:r>
      <w:r w:rsidRPr="00385724">
        <w:rPr>
          <w:rFonts w:eastAsia="Arial" w:cs="Arial"/>
        </w:rPr>
        <w:t xml:space="preserve"> que tem a ver com sua cosmologia, com seu modo de vida, com seus sentimentos e com suas tradições</w:t>
      </w:r>
      <w:r w:rsidRPr="00385724">
        <w:rPr>
          <w:rFonts w:eastAsia="Arial" w:cs="Arial"/>
        </w:rPr>
        <w:t xml:space="preserve"> </w:t>
      </w:r>
      <w:r>
        <w:rPr>
          <w:rFonts w:eastAsia="Arial" w:cs="Arial"/>
        </w:rPr>
        <w:t xml:space="preserve">- </w:t>
      </w:r>
      <w:r w:rsidR="00385724" w:rsidRPr="00385724">
        <w:rPr>
          <w:rFonts w:eastAsia="Arial" w:cs="Arial"/>
        </w:rPr>
        <w:t>são desestruturadas.</w:t>
      </w:r>
    </w:p>
    <w:p w14:paraId="1A99B43D" w14:textId="3AB5048B" w:rsidR="00385724" w:rsidRPr="00385724" w:rsidRDefault="00385724" w:rsidP="00782A9C">
      <w:pPr>
        <w:spacing w:line="360" w:lineRule="auto"/>
        <w:ind w:firstLine="708"/>
        <w:jc w:val="both"/>
        <w:rPr>
          <w:rFonts w:eastAsia="Arial" w:cs="Arial"/>
        </w:rPr>
      </w:pPr>
      <w:r w:rsidRPr="00385724">
        <w:rPr>
          <w:rFonts w:eastAsia="Arial" w:cs="Arial"/>
        </w:rPr>
        <w:t xml:space="preserve">Os Territórios Ancestrais Indígenas são importantes para esses Povos porque, neles, estão enterrados os seus mortos; neles está o seu modo de vida ancestral e, neles, estão as florestas plantadas. </w:t>
      </w:r>
      <w:r w:rsidR="00782A9C">
        <w:rPr>
          <w:rFonts w:eastAsia="Arial" w:cs="Arial"/>
        </w:rPr>
        <w:t>Como ilustração disso, apresentamos o relato de u</w:t>
      </w:r>
      <w:r w:rsidRPr="00385724">
        <w:rPr>
          <w:rFonts w:eastAsia="Arial" w:cs="Arial"/>
        </w:rPr>
        <w:t>m ancião Guarani Ñandeva, da Terra Indígena Potero-Guaçu</w:t>
      </w:r>
      <w:r w:rsidR="00782A9C">
        <w:rPr>
          <w:rFonts w:eastAsia="Arial" w:cs="Arial"/>
        </w:rPr>
        <w:t xml:space="preserve"> (MS)</w:t>
      </w:r>
      <w:r w:rsidRPr="00385724">
        <w:rPr>
          <w:rFonts w:eastAsia="Arial" w:cs="Arial"/>
        </w:rPr>
        <w:t xml:space="preserve">, </w:t>
      </w:r>
      <w:r w:rsidR="00782A9C">
        <w:rPr>
          <w:rFonts w:eastAsia="Arial" w:cs="Arial"/>
        </w:rPr>
        <w:t>colhido</w:t>
      </w:r>
      <w:r w:rsidRPr="00385724">
        <w:rPr>
          <w:rFonts w:eastAsia="Arial" w:cs="Arial"/>
        </w:rPr>
        <w:t xml:space="preserve"> durante a realização de laudo pericial</w:t>
      </w:r>
      <w:r w:rsidR="00782A9C">
        <w:rPr>
          <w:rFonts w:eastAsia="Arial" w:cs="Arial"/>
        </w:rPr>
        <w:t xml:space="preserve"> requerido pelo Ministério Público, em processo de litígio de terras:</w:t>
      </w:r>
    </w:p>
    <w:p w14:paraId="15A4484D" w14:textId="77777777" w:rsidR="00385724" w:rsidRPr="00385724" w:rsidRDefault="00385724" w:rsidP="00283845">
      <w:pPr>
        <w:jc w:val="both"/>
        <w:rPr>
          <w:rFonts w:eastAsia="Arial" w:cs="Arial"/>
        </w:rPr>
      </w:pPr>
    </w:p>
    <w:p w14:paraId="5A767808" w14:textId="5FD9BA0C" w:rsidR="00385724" w:rsidRPr="00385724" w:rsidRDefault="00385724" w:rsidP="00782A9C">
      <w:pPr>
        <w:spacing w:line="360" w:lineRule="auto"/>
        <w:ind w:left="2977"/>
        <w:jc w:val="both"/>
        <w:rPr>
          <w:rFonts w:eastAsia="Arial" w:cs="Arial"/>
          <w:sz w:val="22"/>
          <w:szCs w:val="22"/>
        </w:rPr>
      </w:pPr>
      <w:r w:rsidRPr="00385724">
        <w:rPr>
          <w:rFonts w:eastAsia="Arial" w:cs="Arial"/>
          <w:sz w:val="22"/>
          <w:szCs w:val="22"/>
        </w:rPr>
        <w:t>Para vocês brancos a terra só tem valor comercial. Para nós</w:t>
      </w:r>
      <w:r w:rsidR="00782A9C">
        <w:rPr>
          <w:rFonts w:eastAsia="Arial" w:cs="Arial"/>
          <w:sz w:val="22"/>
          <w:szCs w:val="22"/>
        </w:rPr>
        <w:t>,</w:t>
      </w:r>
      <w:r w:rsidRPr="00385724">
        <w:rPr>
          <w:rFonts w:eastAsia="Arial" w:cs="Arial"/>
          <w:sz w:val="22"/>
          <w:szCs w:val="22"/>
        </w:rPr>
        <w:t xml:space="preserve"> Guarani </w:t>
      </w:r>
      <w:r w:rsidR="00782A9C">
        <w:rPr>
          <w:rFonts w:eastAsia="Arial" w:cs="Arial"/>
          <w:sz w:val="22"/>
          <w:szCs w:val="22"/>
        </w:rPr>
        <w:t>Ñ</w:t>
      </w:r>
      <w:r w:rsidRPr="00385724">
        <w:rPr>
          <w:rFonts w:eastAsia="Arial" w:cs="Arial"/>
          <w:sz w:val="22"/>
          <w:szCs w:val="22"/>
        </w:rPr>
        <w:t>andeva, a Terra é nossa mãe. Eu não vendo a minha mãe. Você vende a sua! Aqui estão os nossos ancestrais, nós somos dessa terra (FACCIO et al., 1994, p. 7).</w:t>
      </w:r>
    </w:p>
    <w:p w14:paraId="59B32544" w14:textId="1EF1868F" w:rsidR="00385724" w:rsidRPr="00385724" w:rsidRDefault="00385724" w:rsidP="00385724">
      <w:pPr>
        <w:spacing w:line="360" w:lineRule="auto"/>
        <w:jc w:val="both"/>
        <w:rPr>
          <w:rFonts w:eastAsia="Arial" w:cs="Arial"/>
        </w:rPr>
      </w:pPr>
      <w:r w:rsidRPr="00385724">
        <w:rPr>
          <w:rFonts w:eastAsia="Arial" w:cs="Arial"/>
        </w:rPr>
        <w:t xml:space="preserve">Esse laudo pericial concluiu, no ano 2000, que os indígenas da Terra Potero-Guaçu, foram expulsos </w:t>
      </w:r>
      <w:r w:rsidR="00782A9C">
        <w:rPr>
          <w:rFonts w:eastAsia="Arial" w:cs="Arial"/>
        </w:rPr>
        <w:t xml:space="preserve">da área, </w:t>
      </w:r>
      <w:r w:rsidRPr="00385724">
        <w:rPr>
          <w:rFonts w:eastAsia="Arial" w:cs="Arial"/>
        </w:rPr>
        <w:t>a partir de 1938, em razão de projeto de assentamento</w:t>
      </w:r>
      <w:r w:rsidR="00782A9C">
        <w:rPr>
          <w:rFonts w:eastAsia="Arial" w:cs="Arial"/>
        </w:rPr>
        <w:t xml:space="preserve"> oficial</w:t>
      </w:r>
      <w:r w:rsidRPr="00385724">
        <w:rPr>
          <w:rFonts w:eastAsia="Arial" w:cs="Arial"/>
        </w:rPr>
        <w:t xml:space="preserve">, </w:t>
      </w:r>
      <w:r w:rsidR="00782A9C">
        <w:rPr>
          <w:rFonts w:eastAsia="Arial" w:cs="Arial"/>
        </w:rPr>
        <w:t>que, inclusive tornou os Guarani trabalhadores muitas vezes em condição análoga à escravidão</w:t>
      </w:r>
      <w:r w:rsidRPr="00385724">
        <w:rPr>
          <w:rFonts w:eastAsia="Arial" w:cs="Arial"/>
        </w:rPr>
        <w:t xml:space="preserve">. Registra que, na década de </w:t>
      </w:r>
      <w:r w:rsidR="00782A9C">
        <w:rPr>
          <w:rFonts w:eastAsia="Arial" w:cs="Arial"/>
        </w:rPr>
        <w:t>19</w:t>
      </w:r>
      <w:r w:rsidRPr="00385724">
        <w:rPr>
          <w:rFonts w:eastAsia="Arial" w:cs="Arial"/>
        </w:rPr>
        <w:t>70, eles foram remanejados para a Reserva do Pirajuí, que, embora fosse composta também por indígenas da nação Guarani, não representava suas terras tradicionais</w:t>
      </w:r>
      <w:r w:rsidR="00782A9C">
        <w:rPr>
          <w:rFonts w:eastAsia="Arial" w:cs="Arial"/>
        </w:rPr>
        <w:t xml:space="preserve"> -</w:t>
      </w:r>
      <w:r w:rsidRPr="00385724">
        <w:rPr>
          <w:rFonts w:eastAsia="Arial" w:cs="Arial"/>
        </w:rPr>
        <w:t xml:space="preserve"> o que violou o direito fundamental da Comunidade Indígena de Potrero-Guaçu de viver conforme seu modo de vida tradicional e a ocupar a sua terra, com a qual mantém vínculos históricos e culturais (Terras Indígenas no Brasil, 2023).</w:t>
      </w:r>
    </w:p>
    <w:p w14:paraId="2AA481C5" w14:textId="0C32CFB4" w:rsidR="00385724" w:rsidRPr="00385724" w:rsidRDefault="00385724" w:rsidP="00057CF0">
      <w:pPr>
        <w:spacing w:line="360" w:lineRule="auto"/>
        <w:ind w:firstLine="708"/>
        <w:jc w:val="both"/>
        <w:rPr>
          <w:rFonts w:eastAsia="Arial" w:cs="Arial"/>
        </w:rPr>
      </w:pPr>
      <w:r w:rsidRPr="00385724">
        <w:rPr>
          <w:rFonts w:eastAsia="Arial" w:cs="Arial"/>
        </w:rPr>
        <w:t xml:space="preserve">No referido laudo pericial foi declarado que a Terra Indígena Potero-Guaçu era ancestral, tendo em vista a presença de pedras lascadas em arenito silicificado, cemitério e locais de memórias (Faccio et al., 1994). Verifica-se que, tanto o laudo antropológico, feito pela FUNAI, quanto o lado pericial - do </w:t>
      </w:r>
      <w:r w:rsidRPr="00385724">
        <w:rPr>
          <w:rFonts w:eastAsia="Arial" w:cs="Arial"/>
        </w:rPr>
        <w:lastRenderedPageBreak/>
        <w:t>qual fez parte um arqueólogo - foram fundamentais para que os indígenas garantissem o direito de estar em seu território ancestral.</w:t>
      </w:r>
    </w:p>
    <w:p w14:paraId="70493BBA" w14:textId="77777777" w:rsidR="00385724" w:rsidRPr="00385724" w:rsidRDefault="00385724" w:rsidP="00283845">
      <w:pPr>
        <w:jc w:val="both"/>
        <w:rPr>
          <w:rFonts w:eastAsia="Arial" w:cs="Arial"/>
        </w:rPr>
      </w:pPr>
    </w:p>
    <w:p w14:paraId="44854987" w14:textId="3FFD9B6D" w:rsidR="00385724" w:rsidRPr="00385724" w:rsidRDefault="00385724" w:rsidP="00385724">
      <w:pPr>
        <w:spacing w:line="360" w:lineRule="auto"/>
        <w:jc w:val="both"/>
        <w:rPr>
          <w:rFonts w:eastAsia="Arial" w:cs="Arial"/>
          <w:b/>
          <w:caps/>
        </w:rPr>
      </w:pPr>
      <w:r w:rsidRPr="00385724">
        <w:rPr>
          <w:rFonts w:eastAsia="Arial" w:cs="Arial"/>
          <w:b/>
          <w:caps/>
        </w:rPr>
        <w:t>As redes e o caminhar Guarani</w:t>
      </w:r>
      <w:r w:rsidR="00F34D0E" w:rsidRPr="00F34D0E">
        <w:rPr>
          <w:rFonts w:eastAsia="Arial" w:cs="Arial"/>
          <w:b/>
          <w:caps/>
        </w:rPr>
        <w:t>: os limites da demarcação</w:t>
      </w:r>
    </w:p>
    <w:p w14:paraId="0A237FDD" w14:textId="57037D8B" w:rsidR="00385724" w:rsidRPr="00385724" w:rsidRDefault="00283845" w:rsidP="00782A9C">
      <w:pPr>
        <w:spacing w:line="360" w:lineRule="auto"/>
        <w:ind w:firstLine="708"/>
        <w:jc w:val="both"/>
        <w:rPr>
          <w:rFonts w:eastAsia="Arial" w:cs="Arial"/>
        </w:rPr>
      </w:pPr>
      <w:r>
        <w:rPr>
          <w:rFonts w:eastAsia="Arial" w:cs="Arial"/>
        </w:rPr>
        <w:t xml:space="preserve">Dominique e </w:t>
      </w:r>
      <w:r w:rsidR="00385724" w:rsidRPr="00385724">
        <w:rPr>
          <w:rFonts w:eastAsia="Arial" w:cs="Arial"/>
        </w:rPr>
        <w:t>Macedo (2018)</w:t>
      </w:r>
      <w:r w:rsidR="00782A9C">
        <w:rPr>
          <w:rFonts w:eastAsia="Arial" w:cs="Arial"/>
        </w:rPr>
        <w:t>, num belíssimo trabalho, compil</w:t>
      </w:r>
      <w:r>
        <w:rPr>
          <w:rFonts w:eastAsia="Arial" w:cs="Arial"/>
        </w:rPr>
        <w:t>aram</w:t>
      </w:r>
      <w:r w:rsidR="00782A9C">
        <w:rPr>
          <w:rFonts w:eastAsia="Arial" w:cs="Arial"/>
        </w:rPr>
        <w:t xml:space="preserve"> </w:t>
      </w:r>
      <w:r w:rsidR="00385724" w:rsidRPr="00385724">
        <w:rPr>
          <w:rFonts w:eastAsia="Arial" w:cs="Arial"/>
        </w:rPr>
        <w:t xml:space="preserve">textos de autores Guarani e de pesquisadores que desenvolvem trabalhos entre </w:t>
      </w:r>
      <w:r w:rsidR="00782A9C">
        <w:rPr>
          <w:rFonts w:eastAsia="Arial" w:cs="Arial"/>
        </w:rPr>
        <w:t>essa população</w:t>
      </w:r>
      <w:r w:rsidR="00385724" w:rsidRPr="00385724">
        <w:rPr>
          <w:rFonts w:eastAsia="Arial" w:cs="Arial"/>
        </w:rPr>
        <w:t>, os quais tratam dos “movimentos pela terra, andanças entre mundos”. Essa coletânea trata da articulação dos saberes e como eles estão ligados aos territórios ancestrais, interferindo na construção e na transformação das pessoas por meio de suas redes de parentesco.</w:t>
      </w:r>
    </w:p>
    <w:p w14:paraId="0EECF12B" w14:textId="1F8060C9" w:rsidR="00385724" w:rsidRPr="00385724" w:rsidRDefault="00385724" w:rsidP="00F34D0E">
      <w:pPr>
        <w:spacing w:line="360" w:lineRule="auto"/>
        <w:ind w:firstLine="708"/>
        <w:jc w:val="both"/>
        <w:rPr>
          <w:rFonts w:eastAsia="Arial" w:cs="Arial"/>
        </w:rPr>
      </w:pPr>
      <w:r w:rsidRPr="00385724">
        <w:rPr>
          <w:rFonts w:eastAsia="Arial" w:cs="Arial"/>
        </w:rPr>
        <w:t>Assim, deve-se levar isso em consideração nos processos demarcatórios, para se garantir a articulação dos territórios indígenas percorridos pelos ancestrais Guarani. A Arqueologia e as Geotecnologias são instrumentos importantes para o mapeamento desses territórios. Colocamos que os indígenas podem, em um futuro próximo, reivindicar – mesmo que parcialmente - esses territórios ancestrais que fazem parte do</w:t>
      </w:r>
      <w:r w:rsidR="00283845">
        <w:rPr>
          <w:rFonts w:eastAsia="Arial" w:cs="Arial"/>
        </w:rPr>
        <w:t>s</w:t>
      </w:r>
      <w:r w:rsidR="00F34D0E">
        <w:rPr>
          <w:rFonts w:eastAsia="Arial" w:cs="Arial"/>
        </w:rPr>
        <w:t xml:space="preserve"> </w:t>
      </w:r>
      <w:r w:rsidRPr="00385724">
        <w:rPr>
          <w:rFonts w:eastAsia="Arial" w:cs="Arial"/>
        </w:rPr>
        <w:t>seus modos ancestrais de estabe</w:t>
      </w:r>
      <w:r w:rsidR="00F34D0E">
        <w:rPr>
          <w:rFonts w:eastAsia="Arial" w:cs="Arial"/>
        </w:rPr>
        <w:t>lecimento de</w:t>
      </w:r>
      <w:r w:rsidRPr="00385724">
        <w:rPr>
          <w:rFonts w:eastAsia="Arial" w:cs="Arial"/>
        </w:rPr>
        <w:t xml:space="preserve"> redes, a partir dos caminhamentos em seus territórios.</w:t>
      </w:r>
    </w:p>
    <w:p w14:paraId="3DDDD63A" w14:textId="3BF4201A" w:rsidR="00385724" w:rsidRPr="00385724" w:rsidRDefault="00385724" w:rsidP="00F34D0E">
      <w:pPr>
        <w:spacing w:line="360" w:lineRule="auto"/>
        <w:ind w:firstLine="708"/>
        <w:jc w:val="both"/>
        <w:rPr>
          <w:rFonts w:eastAsia="Arial" w:cs="Arial"/>
        </w:rPr>
      </w:pPr>
      <w:r w:rsidRPr="00385724">
        <w:rPr>
          <w:rFonts w:eastAsia="Arial" w:cs="Arial"/>
        </w:rPr>
        <w:t>Neste contexto, é importante refletir sobre as transformações sofridas pelo mito da busca pela “Terra sem Males”. Por “Terra sem Males”, entende-se a busca de uma terra de felicidade, terra fértil, de lazer eterno, de imortalidade e sem fome - retratando o profundo anseio dos Guarani por um mundo melhor, mais feliz e sem guerras (ALMEIDA, 2016).</w:t>
      </w:r>
      <w:r w:rsidR="00F34D0E">
        <w:rPr>
          <w:rFonts w:eastAsia="Arial" w:cs="Arial"/>
        </w:rPr>
        <w:t xml:space="preserve"> </w:t>
      </w:r>
      <w:r w:rsidRPr="00385724">
        <w:rPr>
          <w:rFonts w:eastAsia="Arial" w:cs="Arial"/>
        </w:rPr>
        <w:t>Para os Guarani, a terra não é simplesmente um meio de produção econômica, mas um espaço social, político e, sobretudo, cosmológico. Os Guarani vivem em constante busca por uma “terra boa” ou “terra sem males”. Para eles, esse conceito é o da terra enquanto lugar privilegiado, indestrutível, quando a terra produz, por si mesma, seus frutos e não há morte (ALMEIDA, 2016).</w:t>
      </w:r>
    </w:p>
    <w:p w14:paraId="027051AE" w14:textId="77777777" w:rsidR="00385724" w:rsidRPr="00385724" w:rsidRDefault="00385724" w:rsidP="00F34D0E">
      <w:pPr>
        <w:spacing w:line="360" w:lineRule="auto"/>
        <w:ind w:firstLine="708"/>
        <w:jc w:val="both"/>
        <w:rPr>
          <w:rFonts w:eastAsia="Arial" w:cs="Arial"/>
        </w:rPr>
      </w:pPr>
      <w:r w:rsidRPr="00385724">
        <w:rPr>
          <w:rFonts w:eastAsia="Arial" w:cs="Arial"/>
        </w:rPr>
        <w:lastRenderedPageBreak/>
        <w:t xml:space="preserve">Como apresenta Almeida (2016), essa visão passa atualmente por um processo de transformação, a partir das reflexões que esses indígenas fazem acerca dos processos de regularização fundiária. Hoje, para os indígenas, essa concepção de “terra sem males” pode ser encontrada em todos os lugares onde viveram seus antepassados e onde possam (re)produzir seu modo de vida - onde possam “viver bem” como no “tempo dos antigos”. E, para encontrá-la, é preciso sempre caminhar. </w:t>
      </w:r>
    </w:p>
    <w:p w14:paraId="6180ADFB" w14:textId="77777777" w:rsidR="00F34D0E" w:rsidRDefault="00385724" w:rsidP="00F34D0E">
      <w:pPr>
        <w:spacing w:line="360" w:lineRule="auto"/>
        <w:ind w:firstLine="708"/>
        <w:jc w:val="both"/>
        <w:rPr>
          <w:rFonts w:eastAsia="Arial" w:cs="Arial"/>
        </w:rPr>
      </w:pPr>
      <w:r w:rsidRPr="00385724">
        <w:rPr>
          <w:rFonts w:eastAsia="Arial" w:cs="Arial"/>
        </w:rPr>
        <w:t xml:space="preserve">Demarcar uma terra, significa a possibilidade de que, nesses lugares, os indígenas tenham, pelo menos, parte dos seus direitos garantidos. Dessa maneira, delimitar a Terra Indígena, não se trata de limitar os movimentos ou instituir uma fixação de um determinado território, mas sim uma forma de garantir que esses grupos continuem se deslocando por um vasto território, circulando entre aldeias e entre terras demarcadas. Almeida (2016) defende que os Povos Indígenas tenham o direito de caminhar livremente, de que não haja limite no seu caminhar. </w:t>
      </w:r>
    </w:p>
    <w:p w14:paraId="7ED73606" w14:textId="07A50A16" w:rsidR="00385724" w:rsidRPr="00385724" w:rsidRDefault="00385724" w:rsidP="00F34D0E">
      <w:pPr>
        <w:spacing w:line="360" w:lineRule="auto"/>
        <w:ind w:firstLine="708"/>
        <w:jc w:val="both"/>
        <w:rPr>
          <w:rFonts w:eastAsia="Arial" w:cs="Arial"/>
        </w:rPr>
      </w:pPr>
      <w:r w:rsidRPr="00385724">
        <w:rPr>
          <w:rFonts w:eastAsia="Arial" w:cs="Arial"/>
        </w:rPr>
        <w:t>Contudo, sabemos que no Brasil - e em todas as partes do mundo onde se instalou o colonialismo moderno - a livre circulação dos indígenas não se efetiva. Pelo contrário, muitas vezes os povos tradicionais são ameaçados em seus próprios territórios - como no caso Guarani da Terra Indígena Panambi-Lagoa Rica, em Douradina</w:t>
      </w:r>
      <w:r w:rsidR="00F34D0E">
        <w:rPr>
          <w:rFonts w:eastAsia="Arial" w:cs="Arial"/>
        </w:rPr>
        <w:t xml:space="preserve"> (MS)</w:t>
      </w:r>
      <w:r w:rsidRPr="00385724">
        <w:rPr>
          <w:rFonts w:eastAsia="Arial" w:cs="Arial"/>
        </w:rPr>
        <w:t xml:space="preserve">, </w:t>
      </w:r>
      <w:r w:rsidR="00F34D0E">
        <w:rPr>
          <w:rFonts w:eastAsia="Arial" w:cs="Arial"/>
        </w:rPr>
        <w:t>na qual</w:t>
      </w:r>
      <w:r w:rsidRPr="00385724">
        <w:rPr>
          <w:rFonts w:eastAsia="Arial" w:cs="Arial"/>
        </w:rPr>
        <w:t xml:space="preserve"> ruralistas estão atacando indígenas em processo de retomada de suas terras (Ministério dos Povos Indígenas, 2024).</w:t>
      </w:r>
    </w:p>
    <w:p w14:paraId="3FEA7A64" w14:textId="0A4B367A" w:rsidR="00385724" w:rsidRPr="00385724" w:rsidRDefault="00385724" w:rsidP="00385724">
      <w:pPr>
        <w:spacing w:line="360" w:lineRule="auto"/>
        <w:jc w:val="both"/>
        <w:rPr>
          <w:rFonts w:eastAsia="Arial" w:cs="Arial"/>
        </w:rPr>
      </w:pPr>
      <w:r w:rsidRPr="00385724">
        <w:rPr>
          <w:rFonts w:eastAsia="Arial" w:cs="Arial"/>
        </w:rPr>
        <w:t xml:space="preserve"> </w:t>
      </w:r>
      <w:r w:rsidR="00F34D0E">
        <w:rPr>
          <w:rFonts w:eastAsia="Arial" w:cs="Arial"/>
        </w:rPr>
        <w:tab/>
      </w:r>
      <w:r w:rsidRPr="00385724">
        <w:rPr>
          <w:rFonts w:eastAsia="Arial" w:cs="Arial"/>
        </w:rPr>
        <w:t>Junta-se, ao que foi apresentado até agora, o fato de que muitas das Terras Indígenas demarcadas não são suficientes para atender às necessidades de sobrevivência com segurança e/ou acesso às práticas ancestrais dos Povos Originários - seja devido ao pequeno tamanho para comportar um grande número de pessoas, seja porque sofrem pressão dos grandes empreendedores do entorno, seja por se verem impedidos de acessar os seus territórios ancestrais - o que afeta sua saúde física e espiritual.</w:t>
      </w:r>
      <w:r w:rsidR="00F34D0E">
        <w:rPr>
          <w:rFonts w:eastAsia="Arial" w:cs="Arial"/>
        </w:rPr>
        <w:t xml:space="preserve"> </w:t>
      </w:r>
      <w:r w:rsidRPr="00385724">
        <w:rPr>
          <w:rFonts w:eastAsia="Arial" w:cs="Arial"/>
        </w:rPr>
        <w:t xml:space="preserve">Se demarcar implica, por </w:t>
      </w:r>
      <w:r w:rsidRPr="00385724">
        <w:rPr>
          <w:rFonts w:eastAsia="Arial" w:cs="Arial"/>
        </w:rPr>
        <w:lastRenderedPageBreak/>
        <w:t xml:space="preserve">um lado, segurança para os indígenas, também implica em limites imutáveis. Muitos indígenas relatam ultrapassar os limites impostos pela demarcação para caminhar ou pescar e, com isso, quase sempre correm riscos. </w:t>
      </w:r>
    </w:p>
    <w:p w14:paraId="21662133" w14:textId="0275A6D6" w:rsidR="00385724" w:rsidRPr="00385724" w:rsidRDefault="00385724" w:rsidP="00385724">
      <w:pPr>
        <w:spacing w:line="360" w:lineRule="auto"/>
        <w:jc w:val="both"/>
        <w:rPr>
          <w:rFonts w:eastAsia="Arial" w:cs="Arial"/>
        </w:rPr>
      </w:pPr>
      <w:r w:rsidRPr="00385724">
        <w:rPr>
          <w:rFonts w:eastAsia="Arial" w:cs="Arial"/>
        </w:rPr>
        <w:t>Pode-se dizer que o processo de colonização no Brasil impôs modificações desumanas aos Povos Indígenas, primeiro por que matou seus moradores e usurpou os territórios; segundo, porque impôs limites aos seus territórios e, com isso, impediu o livre caminhar, que faz parte do modo de vida de tantos povos, como os Guarani.</w:t>
      </w:r>
    </w:p>
    <w:p w14:paraId="3A325DCE" w14:textId="377CCCBF" w:rsidR="00385724" w:rsidRPr="00385724" w:rsidRDefault="00385724" w:rsidP="00F34D0E">
      <w:pPr>
        <w:spacing w:line="360" w:lineRule="auto"/>
        <w:ind w:firstLine="708"/>
        <w:jc w:val="both"/>
        <w:rPr>
          <w:rFonts w:eastAsia="Arial" w:cs="Arial"/>
        </w:rPr>
      </w:pPr>
      <w:r w:rsidRPr="00385724">
        <w:rPr>
          <w:rFonts w:eastAsia="Arial" w:cs="Arial"/>
        </w:rPr>
        <w:t xml:space="preserve">O Povo Guarani é um, entre tantos outros Povos Indígenas, que têm esse tipo de problema no Brasil. Ladeira (2004), a respeito das terras indígenas Guarani no litoral norte do Estado de São Paulo, destaca que, para eles, o território vai além dos limites físicos das aldeias e das trilhas, associando-o a uma noção de mundo que se amplia na constante redefinição das relações multiétnicas e no compartilhamento de espaços. Trata-se de um território amplo, não contínuo, compartilhado por diferentes sociedades e preservado por meio de intercâmbios, da manutenção e da formação de aldeias em locais estratégicos, com referências simbólicas práticas. </w:t>
      </w:r>
    </w:p>
    <w:p w14:paraId="39457995" w14:textId="77777777" w:rsidR="00385724" w:rsidRPr="00385724" w:rsidRDefault="00385724" w:rsidP="00F34D0E">
      <w:pPr>
        <w:spacing w:line="360" w:lineRule="auto"/>
        <w:ind w:firstLine="708"/>
        <w:jc w:val="both"/>
        <w:rPr>
          <w:rFonts w:eastAsia="Arial" w:cs="Arial"/>
        </w:rPr>
      </w:pPr>
      <w:r w:rsidRPr="00385724">
        <w:rPr>
          <w:rFonts w:eastAsia="Arial" w:cs="Arial"/>
        </w:rPr>
        <w:t xml:space="preserve">As dinâmicas sociais, econômicas, políticas e religiosas, mediante suas redes de parentesco, envolvem uma mobilidade constante que permite aos Guarani dominar uma ampla extensão geográfica. Dessa forma, segundo a autora, cada aldeia deve possuir recursos naturais preservados e garantir a privacidade da comunidade. Contudo, a fragmentação atual das aldeias, delimitadas por fronteiras artificiais devido ao reconhecimento público e oficial de outras ocupações - como fazendas, loteamentos, estradas e projetos de infraestrutura - torna difícil a garantia de subsistência da própria comunidade. </w:t>
      </w:r>
    </w:p>
    <w:p w14:paraId="3956297D" w14:textId="77777777" w:rsidR="00385724" w:rsidRPr="00385724" w:rsidRDefault="00385724" w:rsidP="00385724">
      <w:pPr>
        <w:spacing w:line="360" w:lineRule="auto"/>
        <w:jc w:val="both"/>
        <w:rPr>
          <w:rFonts w:eastAsia="Arial" w:cs="Arial"/>
        </w:rPr>
      </w:pPr>
      <w:r w:rsidRPr="00385724">
        <w:rPr>
          <w:rFonts w:eastAsia="Arial" w:cs="Arial"/>
        </w:rPr>
        <w:t>De acordo com Macário,</w:t>
      </w:r>
    </w:p>
    <w:p w14:paraId="39826A84" w14:textId="77777777" w:rsidR="00385724" w:rsidRPr="00385724" w:rsidRDefault="00385724" w:rsidP="00F34D0E">
      <w:pPr>
        <w:spacing w:line="360" w:lineRule="auto"/>
        <w:ind w:left="2835"/>
        <w:jc w:val="both"/>
        <w:rPr>
          <w:rFonts w:eastAsia="Arial" w:cs="Arial"/>
          <w:sz w:val="22"/>
          <w:szCs w:val="22"/>
        </w:rPr>
      </w:pPr>
      <w:r w:rsidRPr="00385724">
        <w:rPr>
          <w:rFonts w:eastAsia="Arial" w:cs="Arial"/>
          <w:sz w:val="22"/>
          <w:szCs w:val="22"/>
        </w:rPr>
        <w:t xml:space="preserve">mesmo neste cenário de muitas pressões, diversos povos indígenas conseguiram sobreviver, sendo que o relato do </w:t>
      </w:r>
      <w:r w:rsidRPr="00385724">
        <w:rPr>
          <w:rFonts w:eastAsia="Arial" w:cs="Arial"/>
          <w:sz w:val="22"/>
          <w:szCs w:val="22"/>
        </w:rPr>
        <w:lastRenderedPageBreak/>
        <w:t>processo de formação e consolidação dos seus territórios é uma história de luta e resistência. Todos compartilham um passado de esbulho territorial e de recursos ambientais, que passaram por diversos ciclos de exploração, muitas vezes acompanhados de conflitos envolvendo muitos episódios de violência. Em algumas situações, a exploração foi empreendida pelo próprio Estado brasileiro, não considerando a presença indígena e incentivando a colonização desses territórios pelos imigrantes de origem europeia (MACARIO, 2016, p. 20).</w:t>
      </w:r>
    </w:p>
    <w:p w14:paraId="5B3D1614" w14:textId="77777777" w:rsidR="00385724" w:rsidRPr="00385724" w:rsidRDefault="00385724" w:rsidP="00283845">
      <w:pPr>
        <w:jc w:val="both"/>
        <w:rPr>
          <w:rFonts w:eastAsia="Arial" w:cs="Arial"/>
        </w:rPr>
      </w:pPr>
    </w:p>
    <w:p w14:paraId="7361D444" w14:textId="79EF8800" w:rsidR="00385724" w:rsidRPr="00385724" w:rsidRDefault="00F34D0E" w:rsidP="00F34D0E">
      <w:pPr>
        <w:spacing w:line="360" w:lineRule="auto"/>
        <w:ind w:firstLine="708"/>
        <w:jc w:val="both"/>
        <w:rPr>
          <w:rFonts w:eastAsia="Arial" w:cs="Arial"/>
        </w:rPr>
      </w:pPr>
      <w:r>
        <w:rPr>
          <w:rFonts w:eastAsia="Arial" w:cs="Arial"/>
        </w:rPr>
        <w:t>Ainda s</w:t>
      </w:r>
      <w:r w:rsidR="00385724" w:rsidRPr="00385724">
        <w:rPr>
          <w:rFonts w:eastAsia="Arial" w:cs="Arial"/>
        </w:rPr>
        <w:t>egundo Danaga (2016), quando os indígenas dizem estamos na luta, “</w:t>
      </w:r>
      <w:r w:rsidR="00385724" w:rsidRPr="00385724">
        <w:rPr>
          <w:rFonts w:eastAsia="Arial" w:cs="Arial"/>
          <w:u w:val="single"/>
        </w:rPr>
        <w:t>eles não estão simplesmente dizendo que a vida é dura</w:t>
      </w:r>
      <w:r w:rsidR="00385724" w:rsidRPr="00385724">
        <w:rPr>
          <w:rFonts w:eastAsia="Arial" w:cs="Arial"/>
        </w:rPr>
        <w:t xml:space="preserve">, mas que a guerra é uma constante, </w:t>
      </w:r>
      <w:r w:rsidR="00385724" w:rsidRPr="00385724">
        <w:rPr>
          <w:rFonts w:eastAsia="Arial" w:cs="Arial"/>
          <w:u w:val="single"/>
        </w:rPr>
        <w:t>que relacionar-se com os brancos faz da vida deles uma guerra sem fim</w:t>
      </w:r>
      <w:r w:rsidR="00385724" w:rsidRPr="00385724">
        <w:rPr>
          <w:rFonts w:eastAsia="Arial" w:cs="Arial"/>
        </w:rPr>
        <w:t xml:space="preserve"> e que essa é a política dos Tupi Guarani” (p. 77, grifo nosso). A luta, segundo a autora, não é um termo neutro ou transparente, mas sim, um conceito ameríndio de potência, que é estabelecida desde a invasão da América. Desse modo, é preciso entender a luta como conceito e relação, não apenas como um termo. Além disso, a organização para os Tupi Guarani é, ao mesmo tempo, beleza e caos, ordem e desordem, já que, antes de fazer a política como organização, as coisas precisam estar desorganizadas; por isso, a desordem constante é o que permite a busca da ordem.</w:t>
      </w:r>
    </w:p>
    <w:p w14:paraId="0B193176" w14:textId="387C7B28" w:rsidR="00385724" w:rsidRPr="00385724" w:rsidRDefault="00385724" w:rsidP="00F34D0E">
      <w:pPr>
        <w:spacing w:line="360" w:lineRule="auto"/>
        <w:ind w:firstLine="708"/>
        <w:jc w:val="both"/>
        <w:rPr>
          <w:rFonts w:eastAsia="Arial" w:cs="Arial"/>
        </w:rPr>
      </w:pPr>
      <w:r w:rsidRPr="00385724">
        <w:rPr>
          <w:rFonts w:eastAsia="Arial" w:cs="Arial"/>
        </w:rPr>
        <w:t>A partir do livro “Nas Redes Guarani</w:t>
      </w:r>
      <w:r w:rsidR="00283845">
        <w:rPr>
          <w:rFonts w:eastAsia="Arial" w:cs="Arial"/>
        </w:rPr>
        <w:t>: saberes, traduções e transformações</w:t>
      </w:r>
      <w:r w:rsidRPr="00385724">
        <w:rPr>
          <w:rFonts w:eastAsia="Arial" w:cs="Arial"/>
        </w:rPr>
        <w:t xml:space="preserve">”, organizado por </w:t>
      </w:r>
      <w:r w:rsidR="00283845">
        <w:rPr>
          <w:rFonts w:eastAsia="Arial" w:cs="Arial"/>
        </w:rPr>
        <w:t xml:space="preserve">Dominique e </w:t>
      </w:r>
      <w:r w:rsidRPr="00385724">
        <w:rPr>
          <w:rFonts w:eastAsia="Arial" w:cs="Arial"/>
        </w:rPr>
        <w:t xml:space="preserve">Macedo (2018), com a participação de diversos autores Guarani e juruá (não-indígenas), é possível compreender como o território Guarani é conectado, através da mobilidade, por uma rede de relações sociais de parentesco e de amizade, impulsionada pela luta, mas também pela visita e pela alegria. Essas redes e conexões são </w:t>
      </w:r>
      <w:r w:rsidRPr="00385724">
        <w:rPr>
          <w:rFonts w:eastAsia="Arial" w:cs="Arial"/>
        </w:rPr>
        <w:lastRenderedPageBreak/>
        <w:t xml:space="preserve">heterogêneas, sobrepondo-se e conectando-se umas </w:t>
      </w:r>
      <w:r w:rsidR="00F34D0E">
        <w:rPr>
          <w:rFonts w:eastAsia="Arial" w:cs="Arial"/>
        </w:rPr>
        <w:t xml:space="preserve">às </w:t>
      </w:r>
      <w:r w:rsidRPr="00385724">
        <w:rPr>
          <w:rFonts w:eastAsia="Arial" w:cs="Arial"/>
        </w:rPr>
        <w:t>outras de formas variadas, a ponto de conectar todo o território Guarani.</w:t>
      </w:r>
    </w:p>
    <w:p w14:paraId="608B3FFA" w14:textId="2EEBFC51" w:rsidR="00385724" w:rsidRPr="00385724" w:rsidRDefault="00385724" w:rsidP="00F34D0E">
      <w:pPr>
        <w:spacing w:line="360" w:lineRule="auto"/>
        <w:ind w:firstLine="708"/>
        <w:jc w:val="both"/>
        <w:rPr>
          <w:rFonts w:eastAsia="Arial" w:cs="Arial"/>
        </w:rPr>
      </w:pPr>
      <w:r w:rsidRPr="00385724">
        <w:rPr>
          <w:rFonts w:eastAsia="Arial" w:cs="Arial"/>
        </w:rPr>
        <w:t>A Convenção 169 de 1989, da Organização Internacional do Trabalho para Povos Indígenas e Tribais, afirma, em seu artigo 5</w:t>
      </w:r>
      <w:r w:rsidRPr="00385724">
        <w:rPr>
          <w:rFonts w:eastAsia="Arial" w:cs="Arial"/>
          <w:u w:val="single"/>
          <w:vertAlign w:val="superscript"/>
        </w:rPr>
        <w:t>º</w:t>
      </w:r>
      <w:r w:rsidRPr="00385724">
        <w:rPr>
          <w:rFonts w:eastAsia="Arial" w:cs="Arial"/>
        </w:rPr>
        <w:t xml:space="preserve">, Item A, que </w:t>
      </w:r>
      <w:r w:rsidR="00F34D0E">
        <w:rPr>
          <w:rFonts w:eastAsia="Arial" w:cs="Arial"/>
        </w:rPr>
        <w:t>“</w:t>
      </w:r>
      <w:r w:rsidRPr="00385724">
        <w:rPr>
          <w:rFonts w:eastAsia="Arial" w:cs="Arial"/>
        </w:rPr>
        <w:t>deverão ser reconhecidos e protegidos os valores e as práticas sociais, culturais, religiosas e espirituais próprias dos povos mencionados</w:t>
      </w:r>
      <w:r w:rsidR="00F34D0E">
        <w:rPr>
          <w:rFonts w:eastAsia="Arial" w:cs="Arial"/>
        </w:rPr>
        <w:t>”</w:t>
      </w:r>
      <w:r w:rsidRPr="00385724">
        <w:rPr>
          <w:rFonts w:eastAsia="Arial" w:cs="Arial"/>
        </w:rPr>
        <w:t>. O artigo 7</w:t>
      </w:r>
      <w:r w:rsidRPr="00385724">
        <w:rPr>
          <w:rFonts w:eastAsia="Arial" w:cs="Arial"/>
          <w:u w:val="single"/>
          <w:vertAlign w:val="superscript"/>
        </w:rPr>
        <w:t>º</w:t>
      </w:r>
      <w:r w:rsidRPr="00385724">
        <w:rPr>
          <w:rFonts w:eastAsia="Arial" w:cs="Arial"/>
        </w:rPr>
        <w:t xml:space="preserve">, inciso 1, reza que os povos interessados deverão ter </w:t>
      </w:r>
      <w:r w:rsidR="00F34D0E">
        <w:rPr>
          <w:rFonts w:eastAsia="Arial" w:cs="Arial"/>
        </w:rPr>
        <w:t>“</w:t>
      </w:r>
      <w:r w:rsidRPr="00385724">
        <w:rPr>
          <w:rFonts w:eastAsia="Arial" w:cs="Arial"/>
        </w:rPr>
        <w:t>o direito de escolher suas próprias prioridades, no que diz respeito ao processo de desenvolvimento, quando ele afeta as suas vidas, as suas crenças, as suas instituições e o seu bem-estar espiritual</w:t>
      </w:r>
      <w:r w:rsidR="00F34D0E">
        <w:rPr>
          <w:rFonts w:eastAsia="Arial" w:cs="Arial"/>
        </w:rPr>
        <w:t>”</w:t>
      </w:r>
      <w:r w:rsidRPr="00385724">
        <w:rPr>
          <w:rFonts w:eastAsia="Arial" w:cs="Arial"/>
        </w:rPr>
        <w:t xml:space="preserve"> (NUNES JR., 2022).</w:t>
      </w:r>
    </w:p>
    <w:p w14:paraId="592237EE" w14:textId="77777777" w:rsidR="00385724" w:rsidRPr="00385724" w:rsidRDefault="00385724" w:rsidP="00F34D0E">
      <w:pPr>
        <w:spacing w:line="360" w:lineRule="auto"/>
        <w:ind w:firstLine="708"/>
        <w:jc w:val="both"/>
        <w:rPr>
          <w:rFonts w:eastAsia="Arial" w:cs="Arial"/>
        </w:rPr>
      </w:pPr>
      <w:r w:rsidRPr="00385724">
        <w:rPr>
          <w:rFonts w:eastAsia="Arial" w:cs="Arial"/>
        </w:rPr>
        <w:t>Mainardi (2016) destaca a dificuldade em definir exatamente o que as redes indígenas são, ressaltando que não se tratam de totalidades fechadas com limites claros, como sociedades ou Povos. Em vez disso, propõe pensar nas redes ameríndias de uma forma mais flexível e alinhada com a experiência de vida das pessoas, proporcionando uma visão mais próxima da realidade indígena na pesquisa antropológica.</w:t>
      </w:r>
    </w:p>
    <w:p w14:paraId="71717635" w14:textId="77777777" w:rsidR="00216EFF" w:rsidRPr="00216EFF" w:rsidRDefault="00216EFF" w:rsidP="00283845">
      <w:pPr>
        <w:jc w:val="both"/>
        <w:rPr>
          <w:rFonts w:eastAsia="Arial" w:cs="Arial"/>
        </w:rPr>
      </w:pPr>
    </w:p>
    <w:p w14:paraId="28D0CC89" w14:textId="56AA4508" w:rsidR="00216EFF" w:rsidRPr="00216EFF" w:rsidRDefault="00216EFF" w:rsidP="00216EFF">
      <w:pPr>
        <w:spacing w:line="360" w:lineRule="auto"/>
        <w:jc w:val="both"/>
        <w:rPr>
          <w:rFonts w:eastAsia="Arial" w:cs="Arial"/>
          <w:b/>
        </w:rPr>
      </w:pPr>
      <w:r w:rsidRPr="00216EFF">
        <w:rPr>
          <w:rFonts w:eastAsia="Arial" w:cs="Arial"/>
          <w:b/>
        </w:rPr>
        <w:t xml:space="preserve">CONSIDERAÇÕES FINAIS </w:t>
      </w:r>
    </w:p>
    <w:p w14:paraId="4F81AF00" w14:textId="792FFCBA" w:rsidR="00216EFF" w:rsidRDefault="004B43EE" w:rsidP="00216EFF">
      <w:pPr>
        <w:spacing w:line="360" w:lineRule="auto"/>
        <w:jc w:val="both"/>
        <w:rPr>
          <w:rFonts w:eastAsia="Arial" w:cs="Arial"/>
        </w:rPr>
      </w:pPr>
      <w:r>
        <w:rPr>
          <w:rFonts w:eastAsia="Arial" w:cs="Arial"/>
        </w:rPr>
        <w:tab/>
        <w:t>Refletir sobre concepções de dominialidade e espacialização de grupos tradicionais evidencia a operação de racionalidades sociais distintas daquelas que presidem as discussões sobre a política de terras no estado nacional brasileiro – diretamente derivadas da racionalidade instrumental capitalista. A legislação brasileira, desde sempre buscou traduzir essas concepções alternativas em termos da modernidade/colonialidade ocidental (GEDIEL, 2018), na imensa maioria dos casos servindo exclusivamente aos interesses dos agentes coloniais e capitalistas. Mesmo quando se orientou no sentido de garantir direitos aos indígenas, o fez dentro dos quadros epitemicos ocidentais/coloniais.</w:t>
      </w:r>
    </w:p>
    <w:p w14:paraId="40FF63FB" w14:textId="71F86E4B" w:rsidR="004B43EE" w:rsidRDefault="004B43EE" w:rsidP="00216EFF">
      <w:pPr>
        <w:spacing w:line="360" w:lineRule="auto"/>
        <w:jc w:val="both"/>
        <w:rPr>
          <w:rFonts w:eastAsia="Arial" w:cs="Arial"/>
        </w:rPr>
      </w:pPr>
      <w:r>
        <w:rPr>
          <w:rFonts w:eastAsia="Arial" w:cs="Arial"/>
        </w:rPr>
        <w:lastRenderedPageBreak/>
        <w:tab/>
        <w:t>A arqueologia, quando conectada a uma perspectiva colaborativa e decolonial (militante), tem trabalhado no sentido de ampliar a compreensão desses territórios ancestrais, subsidiando debates sobre direitos territoriais de grupos tradicionais. A antropologia, associada à geografia, alcança a perspectiva de redes espaciais, conectando aldeias e Terras Indígenas para além das demarcações oficiais – mesmo que tais definições, restritas nesta conceção, ainda traduzem muita da luta dos indígenas</w:t>
      </w:r>
      <w:r w:rsidR="00E95808">
        <w:rPr>
          <w:rFonts w:eastAsia="Arial" w:cs="Arial"/>
        </w:rPr>
        <w:t>. A extensão da Serra do Mar, que cruza vários Estados do Sudeste e Sul do Brasil torna-se um referente para que pesquisas interdisciplinares – nas áreas de geografia, antropologia, arqueologia e etno-história</w:t>
      </w:r>
      <w:r>
        <w:rPr>
          <w:rFonts w:eastAsia="Arial" w:cs="Arial"/>
        </w:rPr>
        <w:t xml:space="preserve"> </w:t>
      </w:r>
      <w:r w:rsidR="00E95808">
        <w:rPr>
          <w:rFonts w:eastAsia="Arial" w:cs="Arial"/>
        </w:rPr>
        <w:t>– aprofundem hipóteses acerca da dominialidade e da espacialidade indígena, notadamente Guarani, no litoral brasileiro.</w:t>
      </w:r>
    </w:p>
    <w:p w14:paraId="62AC2489" w14:textId="77777777" w:rsidR="00E95808" w:rsidRPr="00216EFF" w:rsidRDefault="00E95808" w:rsidP="00283845">
      <w:pPr>
        <w:jc w:val="both"/>
        <w:rPr>
          <w:rFonts w:eastAsia="Arial" w:cs="Arial"/>
        </w:rPr>
      </w:pPr>
    </w:p>
    <w:p w14:paraId="3D237921" w14:textId="77777777" w:rsidR="00216EFF" w:rsidRPr="00216EFF" w:rsidRDefault="00216EFF" w:rsidP="00216EFF">
      <w:pPr>
        <w:spacing w:line="360" w:lineRule="auto"/>
        <w:ind w:hanging="2"/>
        <w:jc w:val="both"/>
        <w:rPr>
          <w:rFonts w:eastAsia="Arial" w:cs="Arial"/>
          <w:b/>
          <w:color w:val="000000"/>
        </w:rPr>
      </w:pPr>
      <w:r w:rsidRPr="00216EFF">
        <w:rPr>
          <w:rFonts w:eastAsia="Arial" w:cs="Arial"/>
          <w:b/>
          <w:color w:val="000000"/>
          <w:highlight w:val="white"/>
        </w:rPr>
        <w:t>REFERÊNCIAS</w:t>
      </w:r>
    </w:p>
    <w:p w14:paraId="5A4004EE" w14:textId="4BFA7090" w:rsidR="00D1286E" w:rsidRPr="00D1286E" w:rsidRDefault="00D1286E" w:rsidP="00D1286E">
      <w:pPr>
        <w:spacing w:line="360" w:lineRule="auto"/>
        <w:ind w:hanging="2"/>
        <w:jc w:val="both"/>
        <w:rPr>
          <w:rFonts w:eastAsia="Arial" w:cs="Arial"/>
          <w:sz w:val="22"/>
          <w:szCs w:val="22"/>
          <w:lang w:val="pt-PT"/>
        </w:rPr>
      </w:pPr>
      <w:r w:rsidRPr="00D1286E">
        <w:rPr>
          <w:rFonts w:eastAsia="Arial" w:cs="Arial"/>
          <w:sz w:val="22"/>
          <w:szCs w:val="22"/>
          <w:lang w:val="pt-PT"/>
        </w:rPr>
        <w:t xml:space="preserve">ALMEIDA, L. R.. </w:t>
      </w:r>
      <w:r w:rsidRPr="00D1286E">
        <w:rPr>
          <w:rFonts w:eastAsia="Arial" w:cs="Arial"/>
          <w:b/>
          <w:sz w:val="22"/>
          <w:szCs w:val="22"/>
          <w:lang w:val="pt-PT"/>
        </w:rPr>
        <w:t>Os Tupi Guarani de Barão de Antonina</w:t>
      </w:r>
      <w:r w:rsidRPr="00D1286E">
        <w:rPr>
          <w:rFonts w:eastAsia="Arial" w:cs="Arial"/>
          <w:sz w:val="22"/>
          <w:szCs w:val="22"/>
          <w:lang w:val="pt-PT"/>
        </w:rPr>
        <w:t xml:space="preserve"> (SP): a busca pela 'terra boa' e os processos de regularização fundiária. In: DANAGA, Amanda, C.; PEGGION, E</w:t>
      </w:r>
      <w:r w:rsidR="00283845">
        <w:rPr>
          <w:rFonts w:eastAsia="Arial" w:cs="Arial"/>
          <w:sz w:val="22"/>
          <w:szCs w:val="22"/>
          <w:lang w:val="pt-PT"/>
        </w:rPr>
        <w:t>.</w:t>
      </w:r>
      <w:r w:rsidRPr="00D1286E">
        <w:rPr>
          <w:rFonts w:eastAsia="Arial" w:cs="Arial"/>
          <w:sz w:val="22"/>
          <w:szCs w:val="22"/>
          <w:lang w:val="pt-PT"/>
        </w:rPr>
        <w:t xml:space="preserve"> A.. (Org.). Povos Indígenas em São Paulo. Novos Olhares.São Carlos: Edufscar, 2016.</w:t>
      </w:r>
    </w:p>
    <w:p w14:paraId="4CF457B6" w14:textId="113AEE10" w:rsidR="00D1286E" w:rsidRPr="00D1286E" w:rsidRDefault="00D1286E" w:rsidP="00D1286E">
      <w:pPr>
        <w:spacing w:line="360" w:lineRule="auto"/>
        <w:ind w:hanging="2"/>
        <w:jc w:val="both"/>
        <w:rPr>
          <w:rFonts w:eastAsia="Arial" w:cs="Arial"/>
          <w:sz w:val="20"/>
          <w:szCs w:val="20"/>
          <w:lang w:val="pt-PT"/>
        </w:rPr>
      </w:pPr>
      <w:r w:rsidRPr="00D1286E">
        <w:rPr>
          <w:rFonts w:eastAsia="Arial" w:cs="Arial"/>
          <w:sz w:val="20"/>
          <w:szCs w:val="20"/>
          <w:lang w:val="pt-PT"/>
        </w:rPr>
        <w:t xml:space="preserve">CONSTITUIÇÃO DA REPÚBLICA FEDERATIVA DO BRASIL – Texto constitucional promulgado em 5 de outubro de 1988. Disponível em: </w:t>
      </w:r>
      <w:hyperlink r:id="rId9">
        <w:r w:rsidRPr="00D1286E">
          <w:rPr>
            <w:rStyle w:val="Hyperlink"/>
            <w:rFonts w:eastAsia="Arial" w:cs="Arial"/>
            <w:sz w:val="20"/>
            <w:szCs w:val="20"/>
            <w:lang w:val="pt-PT"/>
          </w:rPr>
          <w:t>https://www2.senado.leg.br/bdsf/bitstream/handle/id/518231/CF88_Livro_EC91_2016.pdf</w:t>
        </w:r>
      </w:hyperlink>
      <w:r w:rsidRPr="00D1286E">
        <w:rPr>
          <w:rFonts w:eastAsia="Arial" w:cs="Arial"/>
          <w:sz w:val="20"/>
          <w:szCs w:val="20"/>
          <w:lang w:val="pt-PT"/>
        </w:rPr>
        <w:t>. Acesso em: 3 de Março de 2024.</w:t>
      </w:r>
    </w:p>
    <w:p w14:paraId="2535E8E7" w14:textId="0EFC1843" w:rsidR="00D1286E" w:rsidRPr="00D1286E" w:rsidRDefault="00D1286E" w:rsidP="00D1286E">
      <w:pPr>
        <w:spacing w:line="360" w:lineRule="auto"/>
        <w:ind w:hanging="2"/>
        <w:jc w:val="both"/>
        <w:rPr>
          <w:rFonts w:eastAsia="Arial" w:cs="Arial"/>
          <w:sz w:val="22"/>
          <w:szCs w:val="22"/>
          <w:lang w:val="pt-PT"/>
        </w:rPr>
      </w:pPr>
      <w:r w:rsidRPr="00D1286E">
        <w:rPr>
          <w:rFonts w:eastAsia="Arial" w:cs="Arial"/>
          <w:sz w:val="22"/>
          <w:szCs w:val="22"/>
          <w:lang w:val="pt-PT"/>
        </w:rPr>
        <w:t xml:space="preserve"> DANAGA, A. C. “Nome e Relações: A noção de mistura entre familias tuoi Guarani do Litoral Paulista”, in </w:t>
      </w:r>
      <w:r w:rsidRPr="00D1286E">
        <w:rPr>
          <w:rFonts w:eastAsia="Arial" w:cs="Arial"/>
          <w:b/>
          <w:bCs/>
          <w:sz w:val="22"/>
          <w:szCs w:val="22"/>
          <w:lang w:val="pt-PT"/>
        </w:rPr>
        <w:t>Povos Indígenas em São Paulo - novos olhares</w:t>
      </w:r>
      <w:r w:rsidRPr="00D1286E">
        <w:rPr>
          <w:rFonts w:eastAsia="Arial" w:cs="Arial"/>
          <w:sz w:val="22"/>
          <w:szCs w:val="22"/>
          <w:lang w:val="pt-PT"/>
        </w:rPr>
        <w:t>. São Carlos: EdUFSCar, 2016.</w:t>
      </w:r>
    </w:p>
    <w:p w14:paraId="218DD415" w14:textId="77777777" w:rsidR="00D1286E" w:rsidRPr="00D1286E" w:rsidRDefault="00D1286E" w:rsidP="00D1286E">
      <w:pPr>
        <w:spacing w:line="360" w:lineRule="auto"/>
        <w:ind w:hanging="2"/>
        <w:jc w:val="both"/>
        <w:rPr>
          <w:rFonts w:eastAsia="Arial" w:cs="Arial"/>
          <w:sz w:val="22"/>
          <w:szCs w:val="22"/>
          <w:lang w:val="pt-PT"/>
        </w:rPr>
      </w:pPr>
      <w:hyperlink r:id="rId10">
        <w:r w:rsidRPr="00D1286E">
          <w:rPr>
            <w:rStyle w:val="Hyperlink"/>
            <w:rFonts w:eastAsia="Arial" w:cs="Arial"/>
            <w:sz w:val="22"/>
            <w:szCs w:val="22"/>
            <w:lang w:val="pt-PT"/>
          </w:rPr>
          <w:t xml:space="preserve">DANAGA, A. C.; </w:t>
        </w:r>
      </w:hyperlink>
      <w:hyperlink r:id="rId11">
        <w:r w:rsidRPr="00D1286E">
          <w:rPr>
            <w:rStyle w:val="Hyperlink"/>
            <w:rFonts w:eastAsia="Arial" w:cs="Arial"/>
            <w:sz w:val="22"/>
            <w:szCs w:val="22"/>
            <w:lang w:val="pt-PT"/>
          </w:rPr>
          <w:t xml:space="preserve">PEGGION, E. A. </w:t>
        </w:r>
      </w:hyperlink>
      <w:r w:rsidRPr="00D1286E">
        <w:rPr>
          <w:rFonts w:eastAsia="Arial" w:cs="Arial"/>
          <w:sz w:val="22"/>
          <w:szCs w:val="22"/>
          <w:lang w:val="pt-PT"/>
        </w:rPr>
        <w:t xml:space="preserve">(Org.) . </w:t>
      </w:r>
      <w:r w:rsidRPr="00D1286E">
        <w:rPr>
          <w:rFonts w:eastAsia="Arial" w:cs="Arial"/>
          <w:b/>
          <w:sz w:val="22"/>
          <w:szCs w:val="22"/>
          <w:lang w:val="pt-PT"/>
        </w:rPr>
        <w:t>Povos Indígenas em São Paulo</w:t>
      </w:r>
      <w:r w:rsidRPr="00D1286E">
        <w:rPr>
          <w:rFonts w:eastAsia="Arial" w:cs="Arial"/>
          <w:sz w:val="22"/>
          <w:szCs w:val="22"/>
          <w:lang w:val="pt-PT"/>
        </w:rPr>
        <w:t xml:space="preserve"> </w:t>
      </w:r>
      <w:r w:rsidRPr="00D1286E">
        <w:rPr>
          <w:rFonts w:eastAsia="Arial" w:cs="Arial"/>
          <w:b/>
          <w:bCs/>
          <w:sz w:val="22"/>
          <w:szCs w:val="22"/>
          <w:lang w:val="pt-PT"/>
        </w:rPr>
        <w:t>- novos olhares</w:t>
      </w:r>
      <w:r w:rsidRPr="00D1286E">
        <w:rPr>
          <w:rFonts w:eastAsia="Arial" w:cs="Arial"/>
          <w:sz w:val="22"/>
          <w:szCs w:val="22"/>
          <w:lang w:val="pt-PT"/>
        </w:rPr>
        <w:t>. 1. ed. São Carlos: EdUFSCar, 2016. v. 1. 310 p.</w:t>
      </w:r>
    </w:p>
    <w:p w14:paraId="4E9EDA22" w14:textId="0A17EC7F" w:rsidR="00D1286E" w:rsidRPr="00283845" w:rsidRDefault="00D1286E" w:rsidP="00D1286E">
      <w:pPr>
        <w:spacing w:line="360" w:lineRule="auto"/>
        <w:ind w:hanging="2"/>
        <w:jc w:val="both"/>
        <w:rPr>
          <w:rFonts w:eastAsia="Arial" w:cs="Arial"/>
          <w:sz w:val="22"/>
          <w:szCs w:val="22"/>
        </w:rPr>
      </w:pPr>
      <w:r w:rsidRPr="00D1286E">
        <w:rPr>
          <w:rFonts w:eastAsia="Arial" w:cs="Arial"/>
          <w:sz w:val="22"/>
          <w:szCs w:val="22"/>
        </w:rPr>
        <w:t>GALLO, Edmundo. Territórios Sustentáveis e Saudáveis: desafios teórico-práticos para o bem viver IN:  DIAS, A</w:t>
      </w:r>
      <w:r w:rsidR="00283845">
        <w:rPr>
          <w:rFonts w:eastAsia="Arial" w:cs="Arial"/>
          <w:sz w:val="22"/>
          <w:szCs w:val="22"/>
        </w:rPr>
        <w:t>.</w:t>
      </w:r>
      <w:r w:rsidRPr="00D1286E">
        <w:rPr>
          <w:rFonts w:eastAsia="Arial" w:cs="Arial"/>
          <w:sz w:val="22"/>
          <w:szCs w:val="22"/>
        </w:rPr>
        <w:t xml:space="preserve"> P</w:t>
      </w:r>
      <w:r w:rsidR="00283845">
        <w:rPr>
          <w:rFonts w:eastAsia="Arial" w:cs="Arial"/>
          <w:sz w:val="22"/>
          <w:szCs w:val="22"/>
        </w:rPr>
        <w:t>.</w:t>
      </w:r>
      <w:r w:rsidRPr="00D1286E">
        <w:rPr>
          <w:rFonts w:eastAsia="Arial" w:cs="Arial"/>
          <w:sz w:val="22"/>
          <w:szCs w:val="22"/>
        </w:rPr>
        <w:t xml:space="preserve"> et al. Territórios Sustentáveis e Saudáveis: experiências de saúde ambiental territorializadas-Marco Teórico. </w:t>
      </w:r>
      <w:r w:rsidRPr="00D1286E">
        <w:rPr>
          <w:rFonts w:eastAsia="Arial" w:cs="Arial"/>
          <w:b/>
          <w:sz w:val="22"/>
          <w:szCs w:val="22"/>
        </w:rPr>
        <w:t>Territórios Sustentáveis e Saudáveis: experiências de saúde ambiental territorializadas, Volume 1-Marco Teórico</w:t>
      </w:r>
      <w:r w:rsidRPr="00D1286E">
        <w:rPr>
          <w:rFonts w:eastAsia="Arial" w:cs="Arial"/>
          <w:sz w:val="22"/>
          <w:szCs w:val="22"/>
        </w:rPr>
        <w:t>, 2021.</w:t>
      </w:r>
    </w:p>
    <w:p w14:paraId="2D594F20" w14:textId="00E2888E" w:rsidR="00D1286E" w:rsidRPr="00D1286E" w:rsidRDefault="00D1286E" w:rsidP="00D1286E">
      <w:pPr>
        <w:spacing w:line="360" w:lineRule="auto"/>
        <w:ind w:hanging="2"/>
        <w:jc w:val="both"/>
        <w:rPr>
          <w:rFonts w:eastAsia="Arial" w:cs="Arial"/>
          <w:sz w:val="22"/>
          <w:szCs w:val="22"/>
          <w:lang w:val="pt-PT"/>
        </w:rPr>
      </w:pPr>
      <w:r w:rsidRPr="00D1286E">
        <w:rPr>
          <w:rFonts w:eastAsia="Arial" w:cs="Arial"/>
          <w:sz w:val="22"/>
          <w:szCs w:val="22"/>
          <w:lang w:val="pt-PT"/>
        </w:rPr>
        <w:lastRenderedPageBreak/>
        <w:t>LADEIRA, M</w:t>
      </w:r>
      <w:r w:rsidR="00283845">
        <w:rPr>
          <w:rFonts w:eastAsia="Arial" w:cs="Arial"/>
          <w:sz w:val="22"/>
          <w:szCs w:val="22"/>
          <w:lang w:val="pt-PT"/>
        </w:rPr>
        <w:t>.</w:t>
      </w:r>
      <w:r w:rsidRPr="00D1286E">
        <w:rPr>
          <w:rFonts w:eastAsia="Arial" w:cs="Arial"/>
          <w:sz w:val="22"/>
          <w:szCs w:val="22"/>
          <w:lang w:val="pt-PT"/>
        </w:rPr>
        <w:t xml:space="preserve"> I</w:t>
      </w:r>
      <w:r w:rsidR="00283845">
        <w:rPr>
          <w:rFonts w:eastAsia="Arial" w:cs="Arial"/>
          <w:sz w:val="22"/>
          <w:szCs w:val="22"/>
          <w:lang w:val="pt-PT"/>
        </w:rPr>
        <w:t>.</w:t>
      </w:r>
      <w:r w:rsidRPr="00D1286E">
        <w:rPr>
          <w:rFonts w:eastAsia="Arial" w:cs="Arial"/>
          <w:sz w:val="22"/>
          <w:szCs w:val="22"/>
          <w:lang w:val="pt-PT"/>
        </w:rPr>
        <w:t xml:space="preserve">; MATTA, P. (Org.) . </w:t>
      </w:r>
      <w:r w:rsidRPr="00D1286E">
        <w:rPr>
          <w:rFonts w:eastAsia="Arial" w:cs="Arial"/>
          <w:b/>
          <w:sz w:val="22"/>
          <w:szCs w:val="22"/>
          <w:lang w:val="pt-PT"/>
        </w:rPr>
        <w:t>Terras Guarani no litoral</w:t>
      </w:r>
      <w:r w:rsidRPr="00D1286E">
        <w:rPr>
          <w:rFonts w:eastAsia="Arial" w:cs="Arial"/>
          <w:sz w:val="22"/>
          <w:szCs w:val="22"/>
          <w:lang w:val="pt-PT"/>
        </w:rPr>
        <w:t>: Kaaguy oreramói kuéry ojou rive vaekue y, As matas que foram reveladas aos nossos avós. 1. ed. SãoPaulo: Centro de Trabalho Indigenista, 2004. v. 1. 113p .</w:t>
      </w:r>
    </w:p>
    <w:p w14:paraId="0A7A7EC7" w14:textId="00C3430A" w:rsidR="00D1286E" w:rsidRPr="00D1286E" w:rsidRDefault="00D1286E" w:rsidP="00D1286E">
      <w:pPr>
        <w:spacing w:line="360" w:lineRule="auto"/>
        <w:ind w:hanging="2"/>
        <w:jc w:val="both"/>
        <w:rPr>
          <w:rFonts w:eastAsia="Arial" w:cs="Arial"/>
          <w:sz w:val="22"/>
          <w:szCs w:val="22"/>
          <w:lang w:val="pt-PT"/>
        </w:rPr>
      </w:pPr>
      <w:r w:rsidRPr="00D1286E">
        <w:rPr>
          <w:rFonts w:eastAsia="Arial" w:cs="Arial"/>
          <w:sz w:val="22"/>
          <w:szCs w:val="22"/>
          <w:lang w:val="pt-PT"/>
        </w:rPr>
        <w:t>MACARIO. D</w:t>
      </w:r>
      <w:r w:rsidR="00283845">
        <w:rPr>
          <w:rFonts w:eastAsia="Arial" w:cs="Arial"/>
          <w:sz w:val="22"/>
          <w:szCs w:val="22"/>
          <w:lang w:val="pt-PT"/>
        </w:rPr>
        <w:t>.</w:t>
      </w:r>
      <w:r w:rsidRPr="00D1286E">
        <w:rPr>
          <w:rFonts w:eastAsia="Arial" w:cs="Arial"/>
          <w:sz w:val="22"/>
          <w:szCs w:val="22"/>
          <w:lang w:val="pt-PT"/>
        </w:rPr>
        <w:t xml:space="preserve"> G</w:t>
      </w:r>
      <w:r w:rsidR="00283845">
        <w:rPr>
          <w:rFonts w:eastAsia="Arial" w:cs="Arial"/>
          <w:sz w:val="22"/>
          <w:szCs w:val="22"/>
          <w:lang w:val="pt-PT"/>
        </w:rPr>
        <w:t>.</w:t>
      </w:r>
      <w:r w:rsidRPr="00D1286E">
        <w:rPr>
          <w:rFonts w:eastAsia="Arial" w:cs="Arial"/>
          <w:sz w:val="22"/>
          <w:szCs w:val="22"/>
          <w:lang w:val="pt-PT"/>
        </w:rPr>
        <w:t xml:space="preserve">. </w:t>
      </w:r>
      <w:r w:rsidRPr="00D1286E">
        <w:rPr>
          <w:rFonts w:eastAsia="Arial" w:cs="Arial"/>
          <w:b/>
          <w:sz w:val="22"/>
          <w:szCs w:val="22"/>
          <w:lang w:val="pt-PT"/>
        </w:rPr>
        <w:t>Núcleos Regionais Sul e Sudeste</w:t>
      </w:r>
      <w:r w:rsidRPr="00D1286E">
        <w:rPr>
          <w:rFonts w:eastAsia="Arial" w:cs="Arial"/>
          <w:sz w:val="22"/>
          <w:szCs w:val="22"/>
          <w:lang w:val="pt-PT"/>
        </w:rPr>
        <w:t xml:space="preserve"> / Macario</w:t>
      </w:r>
      <w:r w:rsidR="00283845">
        <w:rPr>
          <w:rFonts w:eastAsia="Arial" w:cs="Arial"/>
          <w:sz w:val="22"/>
          <w:szCs w:val="22"/>
          <w:lang w:val="pt-PT"/>
        </w:rPr>
        <w:t>, D. G.;</w:t>
      </w:r>
      <w:r w:rsidRPr="00D1286E">
        <w:rPr>
          <w:rFonts w:eastAsia="Arial" w:cs="Arial"/>
          <w:sz w:val="22"/>
          <w:szCs w:val="22"/>
          <w:lang w:val="pt-PT"/>
        </w:rPr>
        <w:t xml:space="preserve"> Rosa E</w:t>
      </w:r>
      <w:r w:rsidR="00283845">
        <w:rPr>
          <w:rFonts w:eastAsia="Arial" w:cs="Arial"/>
          <w:sz w:val="22"/>
          <w:szCs w:val="22"/>
          <w:lang w:val="pt-PT"/>
        </w:rPr>
        <w:t>.</w:t>
      </w:r>
      <w:r w:rsidRPr="00D1286E">
        <w:rPr>
          <w:rFonts w:eastAsia="Arial" w:cs="Arial"/>
          <w:sz w:val="22"/>
          <w:szCs w:val="22"/>
          <w:lang w:val="pt-PT"/>
        </w:rPr>
        <w:t xml:space="preserve"> Villanueva - Brasilia (DF) IEB, 2016 - (A Experiência do Projeto GATI em Terras Indigenas).</w:t>
      </w:r>
    </w:p>
    <w:p w14:paraId="73DE3E20" w14:textId="77777777" w:rsidR="00D1286E" w:rsidRPr="00D1286E" w:rsidRDefault="00D1286E" w:rsidP="00D1286E">
      <w:pPr>
        <w:spacing w:line="360" w:lineRule="auto"/>
        <w:ind w:hanging="2"/>
        <w:jc w:val="both"/>
        <w:rPr>
          <w:rFonts w:eastAsia="Arial" w:cs="Arial"/>
          <w:sz w:val="22"/>
          <w:szCs w:val="22"/>
          <w:lang w:val="pt-PT"/>
        </w:rPr>
      </w:pPr>
      <w:r w:rsidRPr="00D1286E">
        <w:rPr>
          <w:rFonts w:eastAsia="Arial" w:cs="Arial"/>
          <w:sz w:val="22"/>
          <w:szCs w:val="22"/>
          <w:lang w:val="pt-PT"/>
        </w:rPr>
        <w:t xml:space="preserve">DOMINIQUE, T. G.; MACEDO, V.  (Org.). </w:t>
      </w:r>
      <w:r w:rsidRPr="00D1286E">
        <w:rPr>
          <w:rFonts w:eastAsia="Arial" w:cs="Arial"/>
          <w:b/>
          <w:sz w:val="22"/>
          <w:szCs w:val="22"/>
          <w:lang w:val="pt-PT"/>
        </w:rPr>
        <w:t>Nas redes Guarani</w:t>
      </w:r>
      <w:r w:rsidRPr="00D1286E">
        <w:rPr>
          <w:rFonts w:eastAsia="Arial" w:cs="Arial"/>
          <w:b/>
          <w:bCs/>
          <w:sz w:val="22"/>
          <w:szCs w:val="22"/>
          <w:lang w:val="pt-PT"/>
        </w:rPr>
        <w:t>: saberes, traduções e transformações</w:t>
      </w:r>
      <w:r w:rsidRPr="00D1286E">
        <w:rPr>
          <w:rFonts w:eastAsia="Arial" w:cs="Arial"/>
          <w:sz w:val="22"/>
          <w:szCs w:val="22"/>
          <w:lang w:val="pt-PT"/>
        </w:rPr>
        <w:t>, São Paulo: Hedra.2018, 374 p.</w:t>
      </w:r>
    </w:p>
    <w:p w14:paraId="61668214" w14:textId="77777777" w:rsidR="00D1286E" w:rsidRPr="00D1286E" w:rsidRDefault="00D1286E" w:rsidP="00D1286E">
      <w:pPr>
        <w:spacing w:line="360" w:lineRule="auto"/>
        <w:ind w:hanging="2"/>
        <w:jc w:val="both"/>
        <w:rPr>
          <w:rFonts w:eastAsia="Arial" w:cs="Arial"/>
          <w:sz w:val="20"/>
          <w:szCs w:val="20"/>
          <w:lang w:val="pt-PT"/>
        </w:rPr>
      </w:pPr>
      <w:r w:rsidRPr="00D1286E">
        <w:rPr>
          <w:rFonts w:eastAsia="Arial" w:cs="Arial"/>
          <w:sz w:val="20"/>
          <w:szCs w:val="20"/>
          <w:lang w:val="pt-PT"/>
        </w:rPr>
        <w:t xml:space="preserve"> MAINARDI, C.. “</w:t>
      </w:r>
      <w:r w:rsidRPr="00D1286E">
        <w:rPr>
          <w:rFonts w:eastAsia="Arial" w:cs="Arial"/>
          <w:bCs/>
          <w:sz w:val="20"/>
          <w:szCs w:val="20"/>
          <w:lang w:val="pt-PT"/>
        </w:rPr>
        <w:t>Entre as redes das famílias tupi guarani</w:t>
      </w:r>
      <w:r w:rsidRPr="00D1286E">
        <w:rPr>
          <w:rFonts w:eastAsia="Arial" w:cs="Arial"/>
          <w:sz w:val="20"/>
          <w:szCs w:val="20"/>
          <w:lang w:val="pt-PT"/>
        </w:rPr>
        <w:t xml:space="preserve">: ensaio sobre as categorias étnicas”. In: Amanda Cristina Danaga; Edmundo Antonio Peggion. (Org.). </w:t>
      </w:r>
      <w:r w:rsidRPr="00D1286E">
        <w:rPr>
          <w:rFonts w:eastAsia="Arial" w:cs="Arial"/>
          <w:b/>
          <w:bCs/>
          <w:sz w:val="20"/>
          <w:szCs w:val="20"/>
          <w:lang w:val="pt-PT"/>
        </w:rPr>
        <w:t>Povos indígenas em São Paulo. Novos olhares</w:t>
      </w:r>
      <w:r w:rsidRPr="00D1286E">
        <w:rPr>
          <w:rFonts w:eastAsia="Arial" w:cs="Arial"/>
          <w:sz w:val="20"/>
          <w:szCs w:val="20"/>
          <w:lang w:val="pt-PT"/>
        </w:rPr>
        <w:t>. 1ed.São Carlos: EdUFSCar, 2016, v. , p. 269-282.</w:t>
      </w:r>
    </w:p>
    <w:p w14:paraId="70D4D517" w14:textId="0171E1E5" w:rsidR="00D1286E" w:rsidRPr="00D1286E" w:rsidRDefault="00D1286E" w:rsidP="00D1286E">
      <w:pPr>
        <w:spacing w:line="360" w:lineRule="auto"/>
        <w:ind w:hanging="2"/>
        <w:jc w:val="both"/>
        <w:rPr>
          <w:rFonts w:eastAsia="Arial" w:cs="Arial"/>
          <w:sz w:val="20"/>
          <w:szCs w:val="20"/>
          <w:lang w:val="pt-PT"/>
        </w:rPr>
      </w:pPr>
      <w:r w:rsidRPr="00D1286E">
        <w:rPr>
          <w:rFonts w:eastAsia="Arial" w:cs="Arial"/>
          <w:sz w:val="20"/>
          <w:szCs w:val="20"/>
          <w:lang w:val="pt-PT"/>
        </w:rPr>
        <w:t xml:space="preserve">MINISTÉRIO DOS POVOS INDÍGENAS. </w:t>
      </w:r>
      <w:r w:rsidRPr="00D1286E">
        <w:rPr>
          <w:rFonts w:eastAsia="Arial" w:cs="Arial"/>
          <w:b/>
          <w:sz w:val="20"/>
          <w:szCs w:val="20"/>
          <w:lang w:val="pt-PT"/>
        </w:rPr>
        <w:t>Nota sobre ataque a indígenas Guarani Kaiowá em Mato Grosso do Sul</w:t>
      </w:r>
      <w:r w:rsidRPr="00D1286E">
        <w:rPr>
          <w:rFonts w:eastAsia="Arial" w:cs="Arial"/>
          <w:sz w:val="20"/>
          <w:szCs w:val="20"/>
          <w:lang w:val="pt-PT"/>
        </w:rPr>
        <w:t xml:space="preserve">. Disponível em: </w:t>
      </w:r>
      <w:hyperlink r:id="rId12" w:history="1">
        <w:r w:rsidR="00283845" w:rsidRPr="00D1286E">
          <w:rPr>
            <w:rStyle w:val="Hyperlink"/>
            <w:rFonts w:eastAsia="Arial" w:cs="Arial"/>
            <w:sz w:val="20"/>
            <w:szCs w:val="20"/>
            <w:lang w:val="pt-PT"/>
          </w:rPr>
          <w:t>https://www.gov.br/povosindigenas/pt-br/assuntos/noticias/2024/08/nota-sobre-ataque-a-indigenas-guarani-kaiowa-em-mato-grosso-do-</w:t>
        </w:r>
        <w:r w:rsidR="00283845" w:rsidRPr="00A06AA8">
          <w:rPr>
            <w:rStyle w:val="Hyperlink"/>
            <w:rFonts w:eastAsia="Arial" w:cs="Arial"/>
            <w:sz w:val="20"/>
            <w:szCs w:val="20"/>
            <w:lang w:val="pt-PT"/>
          </w:rPr>
          <w:t>s</w:t>
        </w:r>
        <w:r w:rsidR="00283845" w:rsidRPr="00D1286E">
          <w:rPr>
            <w:rStyle w:val="Hyperlink"/>
            <w:rFonts w:eastAsia="Arial" w:cs="Arial"/>
            <w:sz w:val="20"/>
            <w:szCs w:val="20"/>
            <w:lang w:val="pt-PT"/>
          </w:rPr>
          <w:t>ul#:~:text=Neste%20s%C3%A1bado%20(3)%2C%20o,%2C%20em%20Douradina%20(MS)</w:t>
        </w:r>
      </w:hyperlink>
      <w:r w:rsidRPr="00D1286E">
        <w:rPr>
          <w:rFonts w:eastAsia="Arial" w:cs="Arial"/>
          <w:sz w:val="20"/>
          <w:szCs w:val="20"/>
          <w:lang w:val="pt-PT"/>
        </w:rPr>
        <w:t>. Acesso em: 3 de setembro de 2024.</w:t>
      </w:r>
    </w:p>
    <w:p w14:paraId="7FD1FB41" w14:textId="77777777" w:rsidR="00D1286E" w:rsidRPr="00D1286E" w:rsidRDefault="00D1286E" w:rsidP="00D1286E">
      <w:pPr>
        <w:spacing w:line="360" w:lineRule="auto"/>
        <w:ind w:hanging="2"/>
        <w:jc w:val="both"/>
        <w:rPr>
          <w:rFonts w:eastAsia="Arial" w:cs="Arial"/>
          <w:sz w:val="20"/>
          <w:szCs w:val="20"/>
          <w:lang w:val="pt-PT"/>
        </w:rPr>
      </w:pPr>
      <w:r w:rsidRPr="00D1286E">
        <w:rPr>
          <w:rFonts w:eastAsia="Arial" w:cs="Arial"/>
          <w:sz w:val="20"/>
          <w:szCs w:val="20"/>
          <w:lang w:val="pt-PT"/>
        </w:rPr>
        <w:t xml:space="preserve">MIRANDA, M. P. S. </w:t>
      </w:r>
      <w:r w:rsidRPr="00D1286E">
        <w:rPr>
          <w:rFonts w:eastAsia="Arial" w:cs="Arial"/>
          <w:b/>
          <w:sz w:val="20"/>
          <w:szCs w:val="20"/>
          <w:lang w:val="pt-PT"/>
        </w:rPr>
        <w:t>Lei de proteção ao patrimônio arqueológico brasileiro completa 60 anos.</w:t>
      </w:r>
      <w:r w:rsidRPr="00D1286E">
        <w:rPr>
          <w:rFonts w:eastAsia="Arial" w:cs="Arial"/>
          <w:sz w:val="20"/>
          <w:szCs w:val="20"/>
          <w:lang w:val="pt-PT"/>
        </w:rPr>
        <w:t xml:space="preserve"> Disponível em: </w:t>
      </w:r>
      <w:hyperlink r:id="rId13">
        <w:r w:rsidRPr="00D1286E">
          <w:rPr>
            <w:rStyle w:val="Hyperlink"/>
            <w:rFonts w:eastAsia="Arial" w:cs="Arial"/>
            <w:sz w:val="20"/>
            <w:szCs w:val="20"/>
            <w:lang w:val="pt-PT"/>
          </w:rPr>
          <w:t>https://www.conjur.com.br/2021-abr-03/lei-protecao-patrimonio-arqueologico-brasileiro-completa-60-anos2/</w:t>
        </w:r>
      </w:hyperlink>
      <w:r w:rsidRPr="00D1286E">
        <w:rPr>
          <w:rFonts w:eastAsia="Arial" w:cs="Arial"/>
          <w:sz w:val="20"/>
          <w:szCs w:val="20"/>
          <w:lang w:val="pt-PT"/>
        </w:rPr>
        <w:t>. Acesso em: 3 de outubro de 2024.</w:t>
      </w:r>
    </w:p>
    <w:p w14:paraId="77FD9304" w14:textId="77777777" w:rsidR="00D1286E" w:rsidRPr="00D1286E" w:rsidRDefault="00D1286E" w:rsidP="00D1286E">
      <w:pPr>
        <w:spacing w:line="360" w:lineRule="auto"/>
        <w:ind w:hanging="2"/>
        <w:jc w:val="both"/>
        <w:rPr>
          <w:rFonts w:eastAsia="Arial" w:cs="Arial"/>
          <w:sz w:val="22"/>
          <w:szCs w:val="22"/>
          <w:lang w:val="pt-PT"/>
        </w:rPr>
      </w:pPr>
      <w:r w:rsidRPr="00D1286E">
        <w:rPr>
          <w:rFonts w:eastAsia="Arial" w:cs="Arial"/>
          <w:sz w:val="22"/>
          <w:szCs w:val="22"/>
          <w:lang w:val="pt-PT"/>
        </w:rPr>
        <w:t xml:space="preserve">NOELLI, F. S. </w:t>
      </w:r>
      <w:r w:rsidRPr="00D1286E">
        <w:rPr>
          <w:rFonts w:eastAsia="Arial" w:cs="Arial"/>
          <w:b/>
          <w:sz w:val="22"/>
          <w:szCs w:val="22"/>
          <w:lang w:val="pt-PT"/>
        </w:rPr>
        <w:t>Sem Tekohá não há Teko. Em busca de um modelo etnoarqueológico da Aldeia e da subsistência Guarani e sua aplicação a uma área de domínio no Delta do Rio Jacui- RS</w:t>
      </w:r>
      <w:r w:rsidRPr="00D1286E">
        <w:rPr>
          <w:rFonts w:eastAsia="Arial" w:cs="Arial"/>
          <w:sz w:val="22"/>
          <w:szCs w:val="22"/>
          <w:lang w:val="pt-PT"/>
        </w:rPr>
        <w:t>. Dissertação de mestrado. Pontifícia Universidade Católica do Rio Grande do Sul. (1993).</w:t>
      </w:r>
    </w:p>
    <w:p w14:paraId="08BA4968" w14:textId="77777777" w:rsidR="00D1286E" w:rsidRPr="00D1286E" w:rsidRDefault="00D1286E" w:rsidP="00D1286E">
      <w:pPr>
        <w:spacing w:line="360" w:lineRule="auto"/>
        <w:ind w:hanging="2"/>
        <w:jc w:val="both"/>
        <w:rPr>
          <w:rFonts w:eastAsia="Arial" w:cs="Arial"/>
          <w:sz w:val="20"/>
          <w:szCs w:val="20"/>
          <w:lang w:val="pt-PT"/>
        </w:rPr>
      </w:pPr>
      <w:r w:rsidRPr="00D1286E">
        <w:rPr>
          <w:rFonts w:eastAsia="Arial" w:cs="Arial"/>
          <w:sz w:val="20"/>
          <w:szCs w:val="20"/>
          <w:lang w:val="pt-PT"/>
        </w:rPr>
        <w:t xml:space="preserve">NUNES Jr, Orivaldo. </w:t>
      </w:r>
      <w:r w:rsidRPr="00D1286E">
        <w:rPr>
          <w:rFonts w:eastAsia="Arial" w:cs="Arial"/>
          <w:b/>
          <w:sz w:val="20"/>
          <w:szCs w:val="20"/>
          <w:lang w:val="pt-PT"/>
        </w:rPr>
        <w:t>Teoria da multiescalaridade do torus-mestre e método para etnoplanejamento ambiental e territorial indígena</w:t>
      </w:r>
      <w:r w:rsidRPr="00D1286E">
        <w:rPr>
          <w:rFonts w:eastAsia="Arial" w:cs="Arial"/>
          <w:sz w:val="20"/>
          <w:szCs w:val="20"/>
          <w:lang w:val="pt-PT"/>
        </w:rPr>
        <w:t>. 2022. Tese (Doutorado) - Universidade do Estado de Santa Catarina, Centro de Ciências Humanas e da Educação, Doutorado em Planejamento Territorial e Desenvolvimento Socioambiental, Florianópolis, 2022.</w:t>
      </w:r>
    </w:p>
    <w:p w14:paraId="14EAB092" w14:textId="34E562DF" w:rsidR="00216EFF" w:rsidRPr="00216EFF" w:rsidRDefault="00D1286E" w:rsidP="00A06AA8">
      <w:pPr>
        <w:spacing w:line="360" w:lineRule="auto"/>
        <w:ind w:hanging="2"/>
        <w:jc w:val="both"/>
        <w:rPr>
          <w:rFonts w:eastAsia="Arial" w:cs="Arial"/>
          <w:color w:val="FF0000"/>
        </w:rPr>
      </w:pPr>
      <w:r w:rsidRPr="00D1286E">
        <w:rPr>
          <w:rFonts w:eastAsia="Arial" w:cs="Arial"/>
          <w:sz w:val="22"/>
          <w:szCs w:val="22"/>
          <w:lang w:val="pt-PT"/>
        </w:rPr>
        <w:t xml:space="preserve">GUIMARÃES, R. B. et al. </w:t>
      </w:r>
      <w:r w:rsidRPr="00D1286E">
        <w:rPr>
          <w:rFonts w:eastAsia="Arial" w:cs="Arial"/>
          <w:b/>
          <w:sz w:val="22"/>
          <w:szCs w:val="22"/>
          <w:lang w:val="pt-PT"/>
        </w:rPr>
        <w:t xml:space="preserve">Nhemboaty Mirim: </w:t>
      </w:r>
      <w:r w:rsidRPr="00D1286E">
        <w:rPr>
          <w:rFonts w:eastAsia="Arial" w:cs="Arial"/>
          <w:b/>
          <w:bCs/>
          <w:sz w:val="22"/>
          <w:szCs w:val="22"/>
          <w:lang w:val="pt-PT"/>
        </w:rPr>
        <w:t>um sistema de vigilância e monitoramento saudável e sustentável do Parque Estadual da Serra do Tabuleiro e da Terra Indígena Morro dos Cavalos (SC) com base em geotecnologias e mapeamento participativo</w:t>
      </w:r>
      <w:r w:rsidRPr="00D1286E">
        <w:rPr>
          <w:rFonts w:eastAsia="Arial" w:cs="Arial"/>
          <w:sz w:val="22"/>
          <w:szCs w:val="22"/>
          <w:lang w:val="pt-PT"/>
        </w:rPr>
        <w:t>. São Paulo</w:t>
      </w:r>
      <w:r w:rsidRPr="00D1286E">
        <w:rPr>
          <w:rFonts w:eastAsia="Arial" w:cs="Arial"/>
          <w:b/>
          <w:sz w:val="22"/>
          <w:szCs w:val="22"/>
          <w:lang w:val="pt-PT"/>
        </w:rPr>
        <w:t>.</w:t>
      </w:r>
      <w:r w:rsidRPr="00D1286E">
        <w:rPr>
          <w:rFonts w:eastAsia="Arial" w:cs="Arial"/>
          <w:sz w:val="22"/>
          <w:szCs w:val="22"/>
          <w:lang w:val="pt-PT"/>
        </w:rPr>
        <w:t>, 2022 (relatório final do projeto regular da FAPESP, processo 19/27565-4).</w:t>
      </w:r>
    </w:p>
    <w:p w14:paraId="7A12CA73" w14:textId="6C74D881" w:rsidR="0053021A" w:rsidRDefault="0053021A"/>
    <w:sectPr w:rsidR="0053021A" w:rsidSect="0053021A">
      <w:footerReference w:type="default" r:id="rId14"/>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BEC42" w14:textId="77777777" w:rsidR="00DD00EB" w:rsidRDefault="00DD00EB" w:rsidP="0027518C">
      <w:r>
        <w:separator/>
      </w:r>
    </w:p>
  </w:endnote>
  <w:endnote w:type="continuationSeparator" w:id="0">
    <w:p w14:paraId="3B6F6342" w14:textId="77777777" w:rsidR="00DD00EB" w:rsidRDefault="00DD00EB"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ntonio">
    <w:altName w:val="Calibri"/>
    <w:charset w:val="4D"/>
    <w:family w:val="auto"/>
    <w:pitch w:val="variable"/>
    <w:sig w:usb0="A00000EF" w:usb1="0000204B" w:usb2="00000000" w:usb3="00000000" w:csb0="00000093" w:csb1="00000000"/>
  </w:font>
  <w:font w:name="Avenir Book">
    <w:altName w:val="Tw Cen MT"/>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6226C" w14:textId="4E227B22" w:rsidR="0027518C" w:rsidRDefault="0027518C">
    <w:pPr>
      <w:pStyle w:val="Rodap"/>
    </w:pPr>
    <w:r>
      <w:rPr>
        <w:noProof/>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2BC1C" w14:textId="77777777" w:rsidR="00DD00EB" w:rsidRDefault="00DD00EB" w:rsidP="0027518C">
      <w:r>
        <w:separator/>
      </w:r>
    </w:p>
  </w:footnote>
  <w:footnote w:type="continuationSeparator" w:id="0">
    <w:p w14:paraId="2EFF411E" w14:textId="77777777" w:rsidR="00DD00EB" w:rsidRDefault="00DD00EB" w:rsidP="0027518C">
      <w:r>
        <w:continuationSeparator/>
      </w:r>
    </w:p>
  </w:footnote>
  <w:footnote w:id="1">
    <w:p w14:paraId="6DBA78B4" w14:textId="47822FF5" w:rsidR="00216EFF" w:rsidRPr="0018293E" w:rsidRDefault="00216EFF" w:rsidP="00216EFF">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sidR="00984677">
        <w:rPr>
          <w:rFonts w:ascii="Avenir Book" w:hAnsi="Avenir Book"/>
        </w:rPr>
        <w:t>FCT/Unesp – Campus de Presidente Prudente/SP</w:t>
      </w:r>
      <w:r w:rsidRPr="0018293E">
        <w:rPr>
          <w:rFonts w:ascii="Avenir Book" w:eastAsia="Arial" w:hAnsi="Avenir Book" w:cs="Arial"/>
        </w:rPr>
        <w:t xml:space="preserve">, </w:t>
      </w:r>
      <w:r w:rsidR="00984677">
        <w:rPr>
          <w:rFonts w:ascii="Avenir Book" w:eastAsia="Arial" w:hAnsi="Avenir Book" w:cs="Arial"/>
        </w:rPr>
        <w:t>neide.faccio@unesp.br</w:t>
      </w:r>
    </w:p>
  </w:footnote>
  <w:footnote w:id="2">
    <w:p w14:paraId="25B57293" w14:textId="06E3C5FB" w:rsidR="00216EFF" w:rsidRPr="0018293E" w:rsidRDefault="00216EFF" w:rsidP="00216EFF">
      <w:pPr>
        <w:pStyle w:val="Textodenotaderodap"/>
        <w:rPr>
          <w:rFonts w:ascii="Avenir Book" w:hAnsi="Avenir Book"/>
          <w:lang w:val="pt-BR"/>
        </w:rPr>
      </w:pPr>
      <w:r w:rsidRPr="0018293E">
        <w:rPr>
          <w:rStyle w:val="Refdenotaderodap"/>
          <w:rFonts w:ascii="Avenir Book" w:hAnsi="Avenir Book"/>
        </w:rPr>
        <w:footnoteRef/>
      </w:r>
      <w:r w:rsidR="00984677">
        <w:rPr>
          <w:rFonts w:ascii="Avenir Book" w:hAnsi="Avenir Book"/>
          <w:lang w:val="pt-BR"/>
        </w:rPr>
        <w:t xml:space="preserve"> </w:t>
      </w:r>
      <w:r w:rsidR="00984677">
        <w:rPr>
          <w:rFonts w:ascii="Avenir Book" w:hAnsi="Avenir Book"/>
        </w:rPr>
        <w:t>FCT/Unesp – Campus de Presidente Prudente/SP</w:t>
      </w:r>
      <w:r w:rsidR="00984677">
        <w:rPr>
          <w:rFonts w:ascii="Avenir Book" w:hAnsi="Avenir Book"/>
        </w:rPr>
        <w:t>; PPGDTMA/Uniara – Araraquara/SP; luis.barone@unesp.br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55B86"/>
    <w:multiLevelType w:val="multilevel"/>
    <w:tmpl w:val="F89E7D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FB"/>
    <w:rsid w:val="00057CF0"/>
    <w:rsid w:val="000B5EB1"/>
    <w:rsid w:val="00216EFF"/>
    <w:rsid w:val="0027518C"/>
    <w:rsid w:val="00283845"/>
    <w:rsid w:val="0028685D"/>
    <w:rsid w:val="00295FBE"/>
    <w:rsid w:val="002B2423"/>
    <w:rsid w:val="002E28F1"/>
    <w:rsid w:val="0032757F"/>
    <w:rsid w:val="00337FBD"/>
    <w:rsid w:val="00385724"/>
    <w:rsid w:val="004906DE"/>
    <w:rsid w:val="004B43EE"/>
    <w:rsid w:val="00507B98"/>
    <w:rsid w:val="00510748"/>
    <w:rsid w:val="0051745D"/>
    <w:rsid w:val="00517AE2"/>
    <w:rsid w:val="0053021A"/>
    <w:rsid w:val="00634370"/>
    <w:rsid w:val="00680A10"/>
    <w:rsid w:val="00692EEB"/>
    <w:rsid w:val="00733AFB"/>
    <w:rsid w:val="00757F24"/>
    <w:rsid w:val="00782A9C"/>
    <w:rsid w:val="00823EF0"/>
    <w:rsid w:val="008863CD"/>
    <w:rsid w:val="008E7A76"/>
    <w:rsid w:val="009255AC"/>
    <w:rsid w:val="00984677"/>
    <w:rsid w:val="00A06AA8"/>
    <w:rsid w:val="00B61734"/>
    <w:rsid w:val="00D104FD"/>
    <w:rsid w:val="00D1286E"/>
    <w:rsid w:val="00D31A9F"/>
    <w:rsid w:val="00D46408"/>
    <w:rsid w:val="00DD00EB"/>
    <w:rsid w:val="00E95808"/>
    <w:rsid w:val="00ED1812"/>
    <w:rsid w:val="00F34D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character" w:styleId="Hyperlink">
    <w:name w:val="Hyperlink"/>
    <w:basedOn w:val="Fontepargpadro"/>
    <w:uiPriority w:val="99"/>
    <w:unhideWhenUsed/>
    <w:rsid w:val="00984677"/>
    <w:rPr>
      <w:color w:val="467886" w:themeColor="hyperlink"/>
      <w:u w:val="single"/>
    </w:rPr>
  </w:style>
  <w:style w:type="character" w:styleId="MenoPendente">
    <w:name w:val="Unresolved Mention"/>
    <w:basedOn w:val="Fontepargpadro"/>
    <w:uiPriority w:val="99"/>
    <w:semiHidden/>
    <w:unhideWhenUsed/>
    <w:rsid w:val="009846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njur.com.br/2021-abr-03/lei-protecao-patrimonio-arqueologico-brasileiro-completa-60-anos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br/povosindigenas/pt-br/assuntos/noticias/2024/08/nota-sobre-ataque-a-indigenas-guarani-kaiowa-em-mato-grosso-do-sul#:~:text=Neste%20s%C3%A1bado%20(3)%2C%20o,%2C%20em%20Douradina%20(M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attes.cnpq.br/9849805103860827"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lattes.cnpq.br/8230760897259077" TargetMode="External"/><Relationship Id="rId4" Type="http://schemas.openxmlformats.org/officeDocument/2006/relationships/settings" Target="settings.xml"/><Relationship Id="rId9" Type="http://schemas.openxmlformats.org/officeDocument/2006/relationships/hyperlink" Target="https://www2.senado.leg.br/bdsf/bitstream/handle/id/518231/CF88_Livro_EC91_2016.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BEA5E-5DB0-C544-9A6C-83152145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15</Pages>
  <Words>4169</Words>
  <Characters>22517</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Usuario</cp:lastModifiedBy>
  <cp:revision>11</cp:revision>
  <dcterms:created xsi:type="dcterms:W3CDTF">2025-05-12T02:59:00Z</dcterms:created>
  <dcterms:modified xsi:type="dcterms:W3CDTF">2025-05-12T23:40:00Z</dcterms:modified>
</cp:coreProperties>
</file>