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76" w:rsidRPr="00937176" w:rsidRDefault="00937176" w:rsidP="0021490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937176">
        <w:rPr>
          <w:rFonts w:ascii="Arial" w:hAnsi="Arial" w:cs="Arial"/>
          <w:b/>
          <w:bCs/>
          <w:color w:val="000000"/>
        </w:rPr>
        <w:t xml:space="preserve">Abordagem cirúrgica da Gangrena de </w:t>
      </w:r>
      <w:proofErr w:type="spellStart"/>
      <w:r w:rsidRPr="00937176">
        <w:rPr>
          <w:rFonts w:ascii="Arial" w:hAnsi="Arial" w:cs="Arial"/>
          <w:b/>
          <w:bCs/>
          <w:color w:val="000000"/>
        </w:rPr>
        <w:t>Fournier</w:t>
      </w:r>
      <w:proofErr w:type="spellEnd"/>
      <w:r w:rsidRPr="00937176">
        <w:rPr>
          <w:rFonts w:ascii="Arial" w:hAnsi="Arial" w:cs="Arial"/>
          <w:b/>
          <w:bCs/>
          <w:color w:val="000000"/>
        </w:rPr>
        <w:t xml:space="preserve"> na pediatria: um relato de caso</w:t>
      </w:r>
    </w:p>
    <w:p w:rsidR="00937176" w:rsidRPr="00937176" w:rsidRDefault="00937176" w:rsidP="009371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b/>
          <w:bCs/>
          <w:color w:val="000000"/>
        </w:rPr>
        <w:t>Maria C. S. Lana</w:t>
      </w:r>
      <w:r w:rsidRPr="00937176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bCs/>
          <w:color w:val="000000"/>
        </w:rPr>
        <w:t>; Ana J. C. Oliveira</w:t>
      </w:r>
      <w:r w:rsidR="00BB13F4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bCs/>
          <w:color w:val="000000"/>
        </w:rPr>
        <w:t>; Laura C. A. Acypreste</w:t>
      </w:r>
      <w:r w:rsidR="00BB13F4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bCs/>
          <w:color w:val="000000"/>
        </w:rPr>
        <w:t xml:space="preserve">; </w:t>
      </w:r>
      <w:proofErr w:type="spellStart"/>
      <w:r>
        <w:rPr>
          <w:rFonts w:ascii="Arial" w:hAnsi="Arial" w:cs="Arial"/>
          <w:bCs/>
          <w:color w:val="000000"/>
        </w:rPr>
        <w:t>Lidiane</w:t>
      </w:r>
      <w:proofErr w:type="spellEnd"/>
      <w:r>
        <w:rPr>
          <w:rFonts w:ascii="Arial" w:hAnsi="Arial" w:cs="Arial"/>
          <w:bCs/>
          <w:color w:val="000000"/>
        </w:rPr>
        <w:t xml:space="preserve"> C. Monteiro</w:t>
      </w:r>
      <w:r w:rsidR="00BB13F4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bCs/>
          <w:color w:val="000000"/>
        </w:rPr>
        <w:t xml:space="preserve">; Sandra R. </w:t>
      </w:r>
      <w:proofErr w:type="gramStart"/>
      <w:r>
        <w:rPr>
          <w:rFonts w:ascii="Arial" w:hAnsi="Arial" w:cs="Arial"/>
          <w:bCs/>
          <w:color w:val="000000"/>
        </w:rPr>
        <w:t>Teixeira</w:t>
      </w:r>
      <w:r w:rsidR="00BB13F4">
        <w:rPr>
          <w:rFonts w:ascii="Arial" w:hAnsi="Arial" w:cs="Arial"/>
          <w:color w:val="000000"/>
          <w:vertAlign w:val="superscript"/>
        </w:rPr>
        <w:t>1</w:t>
      </w:r>
      <w:r w:rsidR="00E4378B">
        <w:rPr>
          <w:rFonts w:ascii="Arial" w:hAnsi="Arial" w:cs="Arial"/>
          <w:color w:val="000000"/>
          <w:vertAlign w:val="superscript"/>
        </w:rPr>
        <w:t>,</w:t>
      </w:r>
      <w:proofErr w:type="gramEnd"/>
      <w:r w:rsidR="00E4378B"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bCs/>
          <w:color w:val="000000"/>
        </w:rPr>
        <w:t>.</w:t>
      </w:r>
    </w:p>
    <w:p w:rsidR="00937176" w:rsidRPr="00937176" w:rsidRDefault="00937176" w:rsidP="009371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color w:val="000000"/>
          <w:vertAlign w:val="superscript"/>
        </w:rPr>
        <w:t>1</w:t>
      </w:r>
      <w:r w:rsidR="00BB13F4">
        <w:rPr>
          <w:rFonts w:ascii="Arial" w:hAnsi="Arial" w:cs="Arial"/>
          <w:bCs/>
          <w:color w:val="000000"/>
        </w:rPr>
        <w:t>Faculdade</w:t>
      </w:r>
      <w:proofErr w:type="gramEnd"/>
      <w:r w:rsidR="00BB13F4">
        <w:rPr>
          <w:rFonts w:ascii="Arial" w:hAnsi="Arial" w:cs="Arial"/>
          <w:bCs/>
          <w:color w:val="000000"/>
        </w:rPr>
        <w:t xml:space="preserve"> de Medicina da Universidade Federal </w:t>
      </w:r>
      <w:r w:rsidR="00350257">
        <w:rPr>
          <w:rFonts w:ascii="Arial" w:hAnsi="Arial" w:cs="Arial"/>
          <w:bCs/>
          <w:color w:val="000000"/>
        </w:rPr>
        <w:t xml:space="preserve">de São João </w:t>
      </w:r>
      <w:proofErr w:type="spellStart"/>
      <w:r w:rsidR="00350257">
        <w:rPr>
          <w:rFonts w:ascii="Arial" w:hAnsi="Arial" w:cs="Arial"/>
          <w:bCs/>
          <w:color w:val="000000"/>
        </w:rPr>
        <w:t>Del-</w:t>
      </w:r>
      <w:r w:rsidR="00BB13F4">
        <w:rPr>
          <w:rFonts w:ascii="Arial" w:hAnsi="Arial" w:cs="Arial"/>
          <w:bCs/>
          <w:color w:val="000000"/>
        </w:rPr>
        <w:t>Rei</w:t>
      </w:r>
      <w:proofErr w:type="spellEnd"/>
      <w:r w:rsidR="00BB13F4">
        <w:rPr>
          <w:rFonts w:ascii="Arial" w:hAnsi="Arial" w:cs="Arial"/>
          <w:bCs/>
          <w:color w:val="000000"/>
        </w:rPr>
        <w:t xml:space="preserve">, Campus </w:t>
      </w:r>
      <w:r w:rsidR="00350257">
        <w:rPr>
          <w:rFonts w:ascii="Arial" w:hAnsi="Arial" w:cs="Arial"/>
          <w:bCs/>
          <w:color w:val="000000"/>
        </w:rPr>
        <w:t xml:space="preserve">Centro-Oeste, </w:t>
      </w:r>
      <w:r w:rsidR="00E4378B">
        <w:rPr>
          <w:rFonts w:ascii="Arial" w:hAnsi="Arial" w:cs="Arial"/>
          <w:bCs/>
          <w:color w:val="000000"/>
        </w:rPr>
        <w:t xml:space="preserve">Divinópolis, </w:t>
      </w:r>
      <w:r w:rsidR="00BB13F4">
        <w:rPr>
          <w:rFonts w:ascii="Arial" w:hAnsi="Arial" w:cs="Arial"/>
          <w:bCs/>
          <w:color w:val="000000"/>
        </w:rPr>
        <w:t xml:space="preserve">Brasil, 2025. </w:t>
      </w:r>
    </w:p>
    <w:p w:rsidR="00937176" w:rsidRPr="00E4378B" w:rsidRDefault="00E4378B" w:rsidP="009371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color w:val="000000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vertAlign w:val="superscript"/>
        </w:rPr>
        <w:t xml:space="preserve"> </w:t>
      </w:r>
      <w:r>
        <w:rPr>
          <w:rFonts w:ascii="Arial" w:hAnsi="Arial" w:cs="Arial"/>
          <w:bCs/>
          <w:color w:val="000000"/>
        </w:rPr>
        <w:t xml:space="preserve">Complexo de Saúde São João de Deus, Divinópolis, Brasil, 2025. </w:t>
      </w:r>
    </w:p>
    <w:p w:rsidR="00214906" w:rsidRDefault="00214906" w:rsidP="009371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37176" w:rsidRPr="00937176" w:rsidRDefault="00937176" w:rsidP="009371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37176">
        <w:rPr>
          <w:rFonts w:ascii="Arial" w:hAnsi="Arial" w:cs="Arial"/>
          <w:b/>
          <w:bCs/>
          <w:color w:val="000000"/>
        </w:rPr>
        <w:t xml:space="preserve">Descritores: </w:t>
      </w:r>
      <w:r w:rsidR="00E4378B">
        <w:rPr>
          <w:rFonts w:ascii="Arial" w:hAnsi="Arial" w:cs="Arial"/>
          <w:color w:val="000000"/>
        </w:rPr>
        <w:t xml:space="preserve">Gangrena de </w:t>
      </w:r>
      <w:proofErr w:type="spellStart"/>
      <w:r w:rsidR="00E4378B">
        <w:rPr>
          <w:rFonts w:ascii="Arial" w:hAnsi="Arial" w:cs="Arial"/>
          <w:color w:val="000000"/>
        </w:rPr>
        <w:t>Fournier</w:t>
      </w:r>
      <w:proofErr w:type="spellEnd"/>
      <w:r w:rsidR="00E4378B">
        <w:rPr>
          <w:rFonts w:ascii="Arial" w:hAnsi="Arial" w:cs="Arial"/>
          <w:color w:val="000000"/>
        </w:rPr>
        <w:t xml:space="preserve">. Pediatria. </w:t>
      </w:r>
      <w:proofErr w:type="spellStart"/>
      <w:r w:rsidRPr="00937176">
        <w:rPr>
          <w:rFonts w:ascii="Arial" w:hAnsi="Arial" w:cs="Arial"/>
          <w:color w:val="000000"/>
        </w:rPr>
        <w:t>Desbridamento</w:t>
      </w:r>
      <w:proofErr w:type="spellEnd"/>
      <w:r w:rsidRPr="00937176">
        <w:rPr>
          <w:rFonts w:ascii="Arial" w:hAnsi="Arial" w:cs="Arial"/>
          <w:color w:val="000000"/>
        </w:rPr>
        <w:t>. </w:t>
      </w:r>
      <w:r w:rsidR="00E4378B">
        <w:rPr>
          <w:rFonts w:ascii="Arial" w:hAnsi="Arial" w:cs="Arial"/>
          <w:color w:val="000000"/>
        </w:rPr>
        <w:t>Relato de caso.</w:t>
      </w:r>
    </w:p>
    <w:p w:rsidR="00937176" w:rsidRPr="00937176" w:rsidRDefault="00937176" w:rsidP="009371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37176">
        <w:rPr>
          <w:rFonts w:ascii="Arial" w:hAnsi="Arial" w:cs="Arial"/>
          <w:b/>
          <w:bCs/>
          <w:color w:val="000000"/>
        </w:rPr>
        <w:t xml:space="preserve">Introdução: </w:t>
      </w:r>
      <w:r w:rsidRPr="00937176">
        <w:rPr>
          <w:rFonts w:ascii="Arial" w:hAnsi="Arial" w:cs="Arial"/>
          <w:color w:val="000000"/>
        </w:rPr>
        <w:t xml:space="preserve">A gangrena de </w:t>
      </w:r>
      <w:proofErr w:type="spellStart"/>
      <w:r w:rsidRPr="00937176">
        <w:rPr>
          <w:rFonts w:ascii="Arial" w:hAnsi="Arial" w:cs="Arial"/>
          <w:color w:val="000000"/>
        </w:rPr>
        <w:t>Fournier</w:t>
      </w:r>
      <w:proofErr w:type="spellEnd"/>
      <w:r w:rsidRPr="00937176">
        <w:rPr>
          <w:rFonts w:ascii="Arial" w:hAnsi="Arial" w:cs="Arial"/>
          <w:color w:val="000000"/>
        </w:rPr>
        <w:t xml:space="preserve"> é uma infecção </w:t>
      </w:r>
      <w:proofErr w:type="spellStart"/>
      <w:r w:rsidRPr="00937176">
        <w:rPr>
          <w:rFonts w:ascii="Arial" w:hAnsi="Arial" w:cs="Arial"/>
          <w:color w:val="000000"/>
        </w:rPr>
        <w:t>necrosante</w:t>
      </w:r>
      <w:proofErr w:type="spellEnd"/>
      <w:r w:rsidRPr="00937176">
        <w:rPr>
          <w:rFonts w:ascii="Arial" w:hAnsi="Arial" w:cs="Arial"/>
          <w:color w:val="000000"/>
        </w:rPr>
        <w:t xml:space="preserve"> da região </w:t>
      </w:r>
      <w:proofErr w:type="spellStart"/>
      <w:r w:rsidRPr="00937176">
        <w:rPr>
          <w:rFonts w:ascii="Arial" w:hAnsi="Arial" w:cs="Arial"/>
          <w:color w:val="000000"/>
        </w:rPr>
        <w:t>perineal</w:t>
      </w:r>
      <w:proofErr w:type="spellEnd"/>
      <w:r w:rsidRPr="00937176">
        <w:rPr>
          <w:rFonts w:ascii="Arial" w:hAnsi="Arial" w:cs="Arial"/>
          <w:color w:val="000000"/>
        </w:rPr>
        <w:t xml:space="preserve"> e </w:t>
      </w:r>
      <w:proofErr w:type="gramStart"/>
      <w:r w:rsidRPr="00937176">
        <w:rPr>
          <w:rFonts w:ascii="Arial" w:hAnsi="Arial" w:cs="Arial"/>
          <w:color w:val="000000"/>
        </w:rPr>
        <w:t>genital</w:t>
      </w:r>
      <w:r w:rsidRPr="00937176">
        <w:rPr>
          <w:rFonts w:ascii="Arial" w:hAnsi="Arial" w:cs="Arial"/>
          <w:color w:val="000000"/>
          <w:vertAlign w:val="superscript"/>
        </w:rPr>
        <w:t>1,</w:t>
      </w:r>
      <w:proofErr w:type="gramEnd"/>
      <w:r w:rsidRPr="00937176">
        <w:rPr>
          <w:rFonts w:ascii="Arial" w:hAnsi="Arial" w:cs="Arial"/>
          <w:color w:val="000000"/>
          <w:vertAlign w:val="superscript"/>
        </w:rPr>
        <w:t>2</w:t>
      </w:r>
      <w:r w:rsidRPr="00937176">
        <w:rPr>
          <w:rFonts w:ascii="Arial" w:hAnsi="Arial" w:cs="Arial"/>
          <w:color w:val="000000"/>
        </w:rPr>
        <w:t xml:space="preserve">. Com rápida evolução, é potencialmente letal e raramente acomete </w:t>
      </w:r>
      <w:proofErr w:type="gramStart"/>
      <w:r w:rsidRPr="00937176">
        <w:rPr>
          <w:rFonts w:ascii="Arial" w:hAnsi="Arial" w:cs="Arial"/>
          <w:color w:val="000000"/>
        </w:rPr>
        <w:t>crianças</w:t>
      </w:r>
      <w:r w:rsidRPr="00937176">
        <w:rPr>
          <w:rFonts w:ascii="Arial" w:hAnsi="Arial" w:cs="Arial"/>
          <w:color w:val="000000"/>
          <w:vertAlign w:val="superscript"/>
        </w:rPr>
        <w:t>1,</w:t>
      </w:r>
      <w:proofErr w:type="gramEnd"/>
      <w:r w:rsidRPr="00937176">
        <w:rPr>
          <w:rFonts w:ascii="Arial" w:hAnsi="Arial" w:cs="Arial"/>
          <w:color w:val="000000"/>
          <w:vertAlign w:val="superscript"/>
        </w:rPr>
        <w:t>2</w:t>
      </w:r>
      <w:r w:rsidRPr="00937176">
        <w:rPr>
          <w:rFonts w:ascii="Arial" w:hAnsi="Arial" w:cs="Arial"/>
          <w:color w:val="000000"/>
        </w:rPr>
        <w:t xml:space="preserve">. Na infância, os fatores predisponentes são diabetes </w:t>
      </w:r>
      <w:proofErr w:type="spellStart"/>
      <w:r w:rsidRPr="00937176">
        <w:rPr>
          <w:rFonts w:ascii="Arial" w:hAnsi="Arial" w:cs="Arial"/>
          <w:color w:val="000000"/>
        </w:rPr>
        <w:t>mellitus</w:t>
      </w:r>
      <w:proofErr w:type="spellEnd"/>
      <w:r w:rsidRPr="00937176">
        <w:rPr>
          <w:rFonts w:ascii="Arial" w:hAnsi="Arial" w:cs="Arial"/>
          <w:color w:val="000000"/>
        </w:rPr>
        <w:t xml:space="preserve">, trauma local, intervenção cirúrgica </w:t>
      </w:r>
      <w:proofErr w:type="spellStart"/>
      <w:r w:rsidRPr="00937176">
        <w:rPr>
          <w:rFonts w:ascii="Arial" w:hAnsi="Arial" w:cs="Arial"/>
          <w:color w:val="000000"/>
        </w:rPr>
        <w:t>perirretal</w:t>
      </w:r>
      <w:proofErr w:type="spellEnd"/>
      <w:r w:rsidRPr="00937176">
        <w:rPr>
          <w:rFonts w:ascii="Arial" w:hAnsi="Arial" w:cs="Arial"/>
          <w:color w:val="000000"/>
        </w:rPr>
        <w:t xml:space="preserve">, assadura e distúrbios </w:t>
      </w:r>
      <w:proofErr w:type="gramStart"/>
      <w:r w:rsidRPr="00937176">
        <w:rPr>
          <w:rFonts w:ascii="Arial" w:hAnsi="Arial" w:cs="Arial"/>
          <w:color w:val="000000"/>
        </w:rPr>
        <w:t>imunológicos</w:t>
      </w:r>
      <w:r w:rsidRPr="00937176">
        <w:rPr>
          <w:rFonts w:ascii="Arial" w:hAnsi="Arial" w:cs="Arial"/>
          <w:color w:val="000000"/>
          <w:vertAlign w:val="superscript"/>
        </w:rPr>
        <w:t>1,</w:t>
      </w:r>
      <w:proofErr w:type="gramEnd"/>
      <w:r w:rsidRPr="00937176">
        <w:rPr>
          <w:rFonts w:ascii="Arial" w:hAnsi="Arial" w:cs="Arial"/>
          <w:color w:val="000000"/>
          <w:vertAlign w:val="superscript"/>
        </w:rPr>
        <w:t>3</w:t>
      </w:r>
      <w:r w:rsidRPr="00937176">
        <w:rPr>
          <w:rFonts w:ascii="Arial" w:hAnsi="Arial" w:cs="Arial"/>
          <w:color w:val="000000"/>
        </w:rPr>
        <w:t xml:space="preserve">. Clinicamente, apresenta-se com febre, dor intensa, celulite, drenagem de secreção serosa e úlceras com </w:t>
      </w:r>
      <w:proofErr w:type="gramStart"/>
      <w:r w:rsidRPr="00937176">
        <w:rPr>
          <w:rFonts w:ascii="Arial" w:hAnsi="Arial" w:cs="Arial"/>
          <w:color w:val="000000"/>
        </w:rPr>
        <w:t>necrose</w:t>
      </w:r>
      <w:r w:rsidRPr="00937176">
        <w:rPr>
          <w:rFonts w:ascii="Arial" w:hAnsi="Arial" w:cs="Arial"/>
          <w:color w:val="000000"/>
          <w:vertAlign w:val="superscript"/>
        </w:rPr>
        <w:t>1,</w:t>
      </w:r>
      <w:proofErr w:type="gramEnd"/>
      <w:r w:rsidRPr="00937176">
        <w:rPr>
          <w:rFonts w:ascii="Arial" w:hAnsi="Arial" w:cs="Arial"/>
          <w:color w:val="000000"/>
          <w:vertAlign w:val="superscript"/>
        </w:rPr>
        <w:t>3</w:t>
      </w:r>
      <w:r w:rsidRPr="00937176">
        <w:rPr>
          <w:rFonts w:ascii="Arial" w:hAnsi="Arial" w:cs="Arial"/>
          <w:color w:val="000000"/>
        </w:rPr>
        <w:t xml:space="preserve">. </w:t>
      </w:r>
      <w:r w:rsidRPr="00937176">
        <w:rPr>
          <w:rFonts w:ascii="Arial" w:hAnsi="Arial" w:cs="Arial"/>
          <w:b/>
          <w:bCs/>
          <w:color w:val="000000"/>
        </w:rPr>
        <w:t>Objetivo</w:t>
      </w:r>
      <w:r w:rsidRPr="00937176">
        <w:rPr>
          <w:rFonts w:ascii="Arial" w:hAnsi="Arial" w:cs="Arial"/>
          <w:color w:val="000000"/>
        </w:rPr>
        <w:t xml:space="preserve">: Apresentar relato de gangrena de </w:t>
      </w:r>
      <w:proofErr w:type="spellStart"/>
      <w:r w:rsidRPr="00937176">
        <w:rPr>
          <w:rFonts w:ascii="Arial" w:hAnsi="Arial" w:cs="Arial"/>
          <w:color w:val="000000"/>
        </w:rPr>
        <w:t>Fournier</w:t>
      </w:r>
      <w:proofErr w:type="spellEnd"/>
      <w:r w:rsidRPr="00937176">
        <w:rPr>
          <w:rFonts w:ascii="Arial" w:hAnsi="Arial" w:cs="Arial"/>
          <w:color w:val="000000"/>
        </w:rPr>
        <w:t xml:space="preserve"> na pediatria, destacando diagnóstico, suspeita de imunodeficiência e estratégias adotadas. </w:t>
      </w:r>
      <w:r w:rsidRPr="00937176">
        <w:rPr>
          <w:rFonts w:ascii="Arial" w:hAnsi="Arial" w:cs="Arial"/>
          <w:b/>
          <w:bCs/>
          <w:color w:val="000000"/>
        </w:rPr>
        <w:t xml:space="preserve">Método: </w:t>
      </w:r>
      <w:r w:rsidRPr="00937176">
        <w:rPr>
          <w:rFonts w:ascii="Arial" w:hAnsi="Arial" w:cs="Arial"/>
          <w:color w:val="000000"/>
        </w:rPr>
        <w:t xml:space="preserve">Caso atendido no Complexo de Saúde São João de Deus, Divinópolis, Minas Gerais. Para a revisão de literatura, buscou-se no </w:t>
      </w:r>
      <w:proofErr w:type="spellStart"/>
      <w:proofErr w:type="gramStart"/>
      <w:r w:rsidRPr="00937176">
        <w:rPr>
          <w:rFonts w:ascii="Arial" w:hAnsi="Arial" w:cs="Arial"/>
          <w:color w:val="000000"/>
        </w:rPr>
        <w:t>PubMed</w:t>
      </w:r>
      <w:proofErr w:type="spellEnd"/>
      <w:proofErr w:type="gramEnd"/>
      <w:r w:rsidRPr="00937176">
        <w:rPr>
          <w:rFonts w:ascii="Arial" w:hAnsi="Arial" w:cs="Arial"/>
          <w:color w:val="000000"/>
        </w:rPr>
        <w:t xml:space="preserve"> e Google </w:t>
      </w:r>
      <w:proofErr w:type="spellStart"/>
      <w:r w:rsidRPr="00937176">
        <w:rPr>
          <w:rFonts w:ascii="Arial" w:hAnsi="Arial" w:cs="Arial"/>
          <w:color w:val="000000"/>
        </w:rPr>
        <w:t>Academics</w:t>
      </w:r>
      <w:proofErr w:type="spellEnd"/>
      <w:r w:rsidRPr="00937176">
        <w:rPr>
          <w:rFonts w:ascii="Arial" w:hAnsi="Arial" w:cs="Arial"/>
          <w:color w:val="000000"/>
        </w:rPr>
        <w:t xml:space="preserve">, utilizando os descritores “gangrena de </w:t>
      </w:r>
      <w:proofErr w:type="spellStart"/>
      <w:r w:rsidRPr="00937176">
        <w:rPr>
          <w:rFonts w:ascii="Arial" w:hAnsi="Arial" w:cs="Arial"/>
          <w:color w:val="000000"/>
        </w:rPr>
        <w:t>Fournier</w:t>
      </w:r>
      <w:proofErr w:type="spellEnd"/>
      <w:r w:rsidRPr="00937176">
        <w:rPr>
          <w:rFonts w:ascii="Arial" w:hAnsi="Arial" w:cs="Arial"/>
          <w:color w:val="000000"/>
        </w:rPr>
        <w:t xml:space="preserve">”, “abordagem cirúrgica” e “pediatria” com o operador booleano AND. Selecionados quatro trabalhos.  </w:t>
      </w:r>
      <w:r w:rsidRPr="00937176">
        <w:rPr>
          <w:rFonts w:ascii="Arial" w:hAnsi="Arial" w:cs="Arial"/>
          <w:b/>
          <w:bCs/>
          <w:color w:val="000000"/>
        </w:rPr>
        <w:t xml:space="preserve">Resultados e discussão: </w:t>
      </w:r>
      <w:proofErr w:type="spellStart"/>
      <w:r w:rsidRPr="00937176">
        <w:rPr>
          <w:rFonts w:ascii="Arial" w:hAnsi="Arial" w:cs="Arial"/>
          <w:color w:val="000000"/>
        </w:rPr>
        <w:t>M.H.</w:t>
      </w:r>
      <w:proofErr w:type="spellEnd"/>
      <w:r w:rsidRPr="00937176">
        <w:rPr>
          <w:rFonts w:ascii="Arial" w:hAnsi="Arial" w:cs="Arial"/>
          <w:color w:val="000000"/>
        </w:rPr>
        <w:t xml:space="preserve">, masculino, três meses de idade, celulite na região glútea há uma semana. Iniciou-se com assadura e evoluiu com </w:t>
      </w:r>
      <w:proofErr w:type="spellStart"/>
      <w:r w:rsidRPr="00937176">
        <w:rPr>
          <w:rFonts w:ascii="Arial" w:hAnsi="Arial" w:cs="Arial"/>
          <w:color w:val="000000"/>
        </w:rPr>
        <w:t>hiperemia</w:t>
      </w:r>
      <w:proofErr w:type="spellEnd"/>
      <w:r w:rsidRPr="00937176">
        <w:rPr>
          <w:rFonts w:ascii="Arial" w:hAnsi="Arial" w:cs="Arial"/>
          <w:color w:val="000000"/>
        </w:rPr>
        <w:t xml:space="preserve"> e dor. </w:t>
      </w:r>
      <w:proofErr w:type="gramStart"/>
      <w:r w:rsidRPr="00937176">
        <w:rPr>
          <w:rFonts w:ascii="Arial" w:hAnsi="Arial" w:cs="Arial"/>
          <w:color w:val="000000"/>
        </w:rPr>
        <w:t>Evoluiu</w:t>
      </w:r>
      <w:proofErr w:type="gramEnd"/>
      <w:r w:rsidRPr="00937176">
        <w:rPr>
          <w:rFonts w:ascii="Arial" w:hAnsi="Arial" w:cs="Arial"/>
          <w:color w:val="000000"/>
        </w:rPr>
        <w:t xml:space="preserve"> com febre (38.6ºC), extremidades cianóticas e tremores, iniciando </w:t>
      </w:r>
      <w:proofErr w:type="spellStart"/>
      <w:r w:rsidRPr="00937176">
        <w:rPr>
          <w:rFonts w:ascii="Arial" w:hAnsi="Arial" w:cs="Arial"/>
          <w:color w:val="000000"/>
        </w:rPr>
        <w:t>C</w:t>
      </w:r>
      <w:r w:rsidR="00E4378B">
        <w:rPr>
          <w:rFonts w:ascii="Arial" w:hAnsi="Arial" w:cs="Arial"/>
          <w:color w:val="000000"/>
        </w:rPr>
        <w:t>eftriaxona</w:t>
      </w:r>
      <w:proofErr w:type="spellEnd"/>
      <w:r w:rsidR="00E4378B">
        <w:rPr>
          <w:rFonts w:ascii="Arial" w:hAnsi="Arial" w:cs="Arial"/>
          <w:color w:val="000000"/>
        </w:rPr>
        <w:t xml:space="preserve">. Admitido </w:t>
      </w:r>
      <w:r w:rsidRPr="00937176">
        <w:rPr>
          <w:rFonts w:ascii="Arial" w:hAnsi="Arial" w:cs="Arial"/>
          <w:color w:val="000000"/>
        </w:rPr>
        <w:t xml:space="preserve">com lesões violáceas em nádegas, endurecimento de partes moles e drenagem de secreção sanguinolenta. Iniciado </w:t>
      </w:r>
      <w:proofErr w:type="spellStart"/>
      <w:r w:rsidRPr="00937176">
        <w:rPr>
          <w:rFonts w:ascii="Arial" w:hAnsi="Arial" w:cs="Arial"/>
          <w:color w:val="000000"/>
        </w:rPr>
        <w:t>Cefepima</w:t>
      </w:r>
      <w:proofErr w:type="spellEnd"/>
      <w:r w:rsidRPr="00937176">
        <w:rPr>
          <w:rFonts w:ascii="Arial" w:hAnsi="Arial" w:cs="Arial"/>
          <w:color w:val="000000"/>
        </w:rPr>
        <w:t xml:space="preserve">, </w:t>
      </w:r>
      <w:proofErr w:type="spellStart"/>
      <w:r w:rsidRPr="00937176">
        <w:rPr>
          <w:rFonts w:ascii="Arial" w:hAnsi="Arial" w:cs="Arial"/>
          <w:color w:val="000000"/>
        </w:rPr>
        <w:t>Metronidazol</w:t>
      </w:r>
      <w:proofErr w:type="spellEnd"/>
      <w:r w:rsidRPr="00937176">
        <w:rPr>
          <w:rFonts w:ascii="Arial" w:hAnsi="Arial" w:cs="Arial"/>
          <w:color w:val="000000"/>
        </w:rPr>
        <w:t xml:space="preserve"> e </w:t>
      </w:r>
      <w:proofErr w:type="spellStart"/>
      <w:r w:rsidRPr="00937176">
        <w:rPr>
          <w:rFonts w:ascii="Arial" w:hAnsi="Arial" w:cs="Arial"/>
          <w:color w:val="000000"/>
        </w:rPr>
        <w:t>Vancomicina</w:t>
      </w:r>
      <w:proofErr w:type="spellEnd"/>
      <w:r w:rsidRPr="00937176">
        <w:rPr>
          <w:rFonts w:ascii="Arial" w:hAnsi="Arial" w:cs="Arial"/>
          <w:color w:val="000000"/>
        </w:rPr>
        <w:t xml:space="preserve">, e removido epiderme necrótica. Seguiu-se com </w:t>
      </w:r>
      <w:proofErr w:type="spellStart"/>
      <w:r w:rsidRPr="00937176">
        <w:rPr>
          <w:rFonts w:ascii="Arial" w:hAnsi="Arial" w:cs="Arial"/>
          <w:color w:val="000000"/>
        </w:rPr>
        <w:t>oxigenoterapia</w:t>
      </w:r>
      <w:proofErr w:type="spellEnd"/>
      <w:r w:rsidRPr="00937176">
        <w:rPr>
          <w:rFonts w:ascii="Arial" w:hAnsi="Arial" w:cs="Arial"/>
          <w:color w:val="000000"/>
        </w:rPr>
        <w:t xml:space="preserve"> </w:t>
      </w:r>
      <w:proofErr w:type="spellStart"/>
      <w:r w:rsidRPr="00937176">
        <w:rPr>
          <w:rFonts w:ascii="Arial" w:hAnsi="Arial" w:cs="Arial"/>
          <w:color w:val="000000"/>
        </w:rPr>
        <w:t>hiperbárica</w:t>
      </w:r>
      <w:proofErr w:type="spellEnd"/>
      <w:r w:rsidRPr="00937176">
        <w:rPr>
          <w:rFonts w:ascii="Arial" w:hAnsi="Arial" w:cs="Arial"/>
          <w:color w:val="000000"/>
        </w:rPr>
        <w:t xml:space="preserve"> (OHB) e novo </w:t>
      </w:r>
      <w:proofErr w:type="spellStart"/>
      <w:r w:rsidRPr="00937176">
        <w:rPr>
          <w:rFonts w:ascii="Arial" w:hAnsi="Arial" w:cs="Arial"/>
          <w:color w:val="000000"/>
        </w:rPr>
        <w:t>desbridamento</w:t>
      </w:r>
      <w:proofErr w:type="spellEnd"/>
      <w:r w:rsidRPr="00937176">
        <w:rPr>
          <w:rFonts w:ascii="Arial" w:hAnsi="Arial" w:cs="Arial"/>
          <w:color w:val="000000"/>
        </w:rPr>
        <w:t xml:space="preserve">. No momento, mantém OHB, está em investigação de imunodeficiências e com proposta de </w:t>
      </w:r>
      <w:proofErr w:type="spellStart"/>
      <w:r w:rsidRPr="00937176">
        <w:rPr>
          <w:rFonts w:ascii="Arial" w:hAnsi="Arial" w:cs="Arial"/>
          <w:color w:val="000000"/>
        </w:rPr>
        <w:t>colostomia</w:t>
      </w:r>
      <w:proofErr w:type="spellEnd"/>
      <w:r w:rsidRPr="00937176">
        <w:rPr>
          <w:rFonts w:ascii="Arial" w:hAnsi="Arial" w:cs="Arial"/>
          <w:color w:val="000000"/>
        </w:rPr>
        <w:t xml:space="preserve">. No caso, percebe-se que o </w:t>
      </w:r>
      <w:proofErr w:type="spellStart"/>
      <w:r w:rsidRPr="00937176">
        <w:rPr>
          <w:rFonts w:ascii="Arial" w:hAnsi="Arial" w:cs="Arial"/>
          <w:color w:val="000000"/>
        </w:rPr>
        <w:t>desbridamento</w:t>
      </w:r>
      <w:proofErr w:type="spellEnd"/>
      <w:r w:rsidRPr="00937176">
        <w:rPr>
          <w:rFonts w:ascii="Arial" w:hAnsi="Arial" w:cs="Arial"/>
          <w:color w:val="000000"/>
        </w:rPr>
        <w:t xml:space="preserve"> radical até atingir tecido viável, </w:t>
      </w:r>
      <w:proofErr w:type="gramStart"/>
      <w:r w:rsidRPr="00937176">
        <w:rPr>
          <w:rFonts w:ascii="Arial" w:hAnsi="Arial" w:cs="Arial"/>
          <w:color w:val="000000"/>
        </w:rPr>
        <w:t>associado</w:t>
      </w:r>
      <w:proofErr w:type="gramEnd"/>
      <w:r w:rsidRPr="00937176">
        <w:rPr>
          <w:rFonts w:ascii="Arial" w:hAnsi="Arial" w:cs="Arial"/>
          <w:color w:val="000000"/>
        </w:rPr>
        <w:t xml:space="preserve"> a suporte clínico e </w:t>
      </w:r>
      <w:proofErr w:type="spellStart"/>
      <w:r w:rsidRPr="00937176">
        <w:rPr>
          <w:rFonts w:ascii="Arial" w:hAnsi="Arial" w:cs="Arial"/>
          <w:color w:val="000000"/>
        </w:rPr>
        <w:t>antibioterapia</w:t>
      </w:r>
      <w:proofErr w:type="spellEnd"/>
      <w:r w:rsidRPr="00937176">
        <w:rPr>
          <w:rFonts w:ascii="Arial" w:hAnsi="Arial" w:cs="Arial"/>
          <w:color w:val="000000"/>
        </w:rPr>
        <w:t xml:space="preserve"> é fundamental</w:t>
      </w:r>
      <w:r w:rsidRPr="00937176">
        <w:rPr>
          <w:rFonts w:ascii="Arial" w:hAnsi="Arial" w:cs="Arial"/>
          <w:color w:val="000000"/>
          <w:vertAlign w:val="superscript"/>
        </w:rPr>
        <w:t>3</w:t>
      </w:r>
      <w:r w:rsidRPr="00937176">
        <w:rPr>
          <w:rFonts w:ascii="Arial" w:hAnsi="Arial" w:cs="Arial"/>
          <w:color w:val="000000"/>
        </w:rPr>
        <w:t xml:space="preserve">. Em casos com contaminação fecal da lesão, o desvio intestinal temporário pela </w:t>
      </w:r>
      <w:proofErr w:type="spellStart"/>
      <w:r w:rsidRPr="00937176">
        <w:rPr>
          <w:rFonts w:ascii="Arial" w:hAnsi="Arial" w:cs="Arial"/>
          <w:color w:val="000000"/>
        </w:rPr>
        <w:t>colostomia</w:t>
      </w:r>
      <w:proofErr w:type="spellEnd"/>
      <w:r w:rsidRPr="00937176">
        <w:rPr>
          <w:rFonts w:ascii="Arial" w:hAnsi="Arial" w:cs="Arial"/>
          <w:color w:val="000000"/>
        </w:rPr>
        <w:t xml:space="preserve"> </w:t>
      </w:r>
      <w:r w:rsidR="00E4378B">
        <w:rPr>
          <w:rFonts w:ascii="Arial" w:hAnsi="Arial" w:cs="Arial"/>
          <w:color w:val="000000"/>
        </w:rPr>
        <w:t xml:space="preserve">pode ser indicado, para </w:t>
      </w:r>
      <w:r w:rsidRPr="00937176">
        <w:rPr>
          <w:rFonts w:ascii="Arial" w:hAnsi="Arial" w:cs="Arial"/>
          <w:color w:val="000000"/>
        </w:rPr>
        <w:t>m</w:t>
      </w:r>
      <w:r w:rsidR="00E4378B">
        <w:rPr>
          <w:rFonts w:ascii="Arial" w:hAnsi="Arial" w:cs="Arial"/>
          <w:color w:val="000000"/>
        </w:rPr>
        <w:t>elhor controle da ferida e redução</w:t>
      </w:r>
      <w:r w:rsidRPr="00937176">
        <w:rPr>
          <w:rFonts w:ascii="Arial" w:hAnsi="Arial" w:cs="Arial"/>
          <w:color w:val="000000"/>
        </w:rPr>
        <w:t xml:space="preserve"> </w:t>
      </w:r>
      <w:r w:rsidR="00E4378B">
        <w:rPr>
          <w:rFonts w:ascii="Arial" w:hAnsi="Arial" w:cs="Arial"/>
          <w:color w:val="000000"/>
        </w:rPr>
        <w:t>d</w:t>
      </w:r>
      <w:r w:rsidRPr="00937176">
        <w:rPr>
          <w:rFonts w:ascii="Arial" w:hAnsi="Arial" w:cs="Arial"/>
          <w:color w:val="000000"/>
        </w:rPr>
        <w:t>o risco de infecção secundária</w:t>
      </w:r>
      <w:r w:rsidRPr="00937176">
        <w:rPr>
          <w:rFonts w:ascii="Arial" w:hAnsi="Arial" w:cs="Arial"/>
          <w:color w:val="000000"/>
          <w:vertAlign w:val="superscript"/>
        </w:rPr>
        <w:t>3</w:t>
      </w:r>
      <w:r w:rsidRPr="00937176">
        <w:rPr>
          <w:rFonts w:ascii="Arial" w:hAnsi="Arial" w:cs="Arial"/>
          <w:color w:val="000000"/>
        </w:rPr>
        <w:t xml:space="preserve">. A OHB teve impacto positivo na dor e no aspecto da lesão de </w:t>
      </w:r>
      <w:proofErr w:type="spellStart"/>
      <w:r w:rsidRPr="00937176">
        <w:rPr>
          <w:rFonts w:ascii="Arial" w:hAnsi="Arial" w:cs="Arial"/>
          <w:color w:val="000000"/>
        </w:rPr>
        <w:t>M.H.</w:t>
      </w:r>
      <w:proofErr w:type="spellEnd"/>
      <w:r w:rsidRPr="00937176">
        <w:rPr>
          <w:rFonts w:ascii="Arial" w:hAnsi="Arial" w:cs="Arial"/>
          <w:color w:val="000000"/>
        </w:rPr>
        <w:t xml:space="preserve">, e estudos </w:t>
      </w:r>
      <w:r w:rsidRPr="00937176">
        <w:rPr>
          <w:rFonts w:ascii="Arial" w:hAnsi="Arial" w:cs="Arial"/>
          <w:color w:val="000000"/>
        </w:rPr>
        <w:lastRenderedPageBreak/>
        <w:t>mostram que, quando a técnica é as</w:t>
      </w:r>
      <w:r w:rsidR="00350257">
        <w:rPr>
          <w:rFonts w:ascii="Arial" w:hAnsi="Arial" w:cs="Arial"/>
          <w:color w:val="000000"/>
        </w:rPr>
        <w:t xml:space="preserve">sociada à cirurgia, a </w:t>
      </w:r>
      <w:r w:rsidRPr="00937176">
        <w:rPr>
          <w:rFonts w:ascii="Arial" w:hAnsi="Arial" w:cs="Arial"/>
          <w:color w:val="000000"/>
        </w:rPr>
        <w:t xml:space="preserve">mortalidade </w:t>
      </w:r>
      <w:r w:rsidR="00350257">
        <w:rPr>
          <w:rFonts w:ascii="Arial" w:hAnsi="Arial" w:cs="Arial"/>
          <w:color w:val="000000"/>
        </w:rPr>
        <w:t xml:space="preserve">diminui </w:t>
      </w:r>
      <w:r w:rsidRPr="00937176">
        <w:rPr>
          <w:rFonts w:ascii="Arial" w:hAnsi="Arial" w:cs="Arial"/>
          <w:color w:val="000000"/>
        </w:rPr>
        <w:t>de 37,5% para 11,5%</w:t>
      </w:r>
      <w:r w:rsidRPr="00937176">
        <w:rPr>
          <w:rFonts w:ascii="Arial" w:hAnsi="Arial" w:cs="Arial"/>
          <w:color w:val="000000"/>
          <w:vertAlign w:val="superscript"/>
        </w:rPr>
        <w:t>3</w:t>
      </w:r>
      <w:r w:rsidRPr="00937176">
        <w:rPr>
          <w:rFonts w:ascii="Arial" w:hAnsi="Arial" w:cs="Arial"/>
          <w:color w:val="000000"/>
        </w:rPr>
        <w:t xml:space="preserve">. </w:t>
      </w:r>
      <w:r w:rsidR="00E4378B">
        <w:rPr>
          <w:rFonts w:ascii="Arial" w:hAnsi="Arial" w:cs="Arial"/>
          <w:color w:val="000000"/>
        </w:rPr>
        <w:t>Deve</w:t>
      </w:r>
      <w:r w:rsidRPr="00937176">
        <w:rPr>
          <w:rFonts w:ascii="Arial" w:hAnsi="Arial" w:cs="Arial"/>
          <w:color w:val="000000"/>
        </w:rPr>
        <w:t>-se investigar imunossupressão pela raridade da lesão na infância e pela a maior prevalência em imunossuprimidos</w:t>
      </w:r>
      <w:r w:rsidRPr="00937176">
        <w:rPr>
          <w:rFonts w:ascii="Arial" w:hAnsi="Arial" w:cs="Arial"/>
          <w:color w:val="000000"/>
          <w:vertAlign w:val="superscript"/>
        </w:rPr>
        <w:t>4</w:t>
      </w:r>
      <w:r w:rsidRPr="00937176">
        <w:rPr>
          <w:rFonts w:ascii="Arial" w:hAnsi="Arial" w:cs="Arial"/>
          <w:color w:val="000000"/>
        </w:rPr>
        <w:t xml:space="preserve">. </w:t>
      </w:r>
      <w:r w:rsidRPr="00937176">
        <w:rPr>
          <w:rFonts w:ascii="Arial" w:hAnsi="Arial" w:cs="Arial"/>
          <w:b/>
          <w:bCs/>
          <w:color w:val="000000"/>
        </w:rPr>
        <w:t>Conclusão:</w:t>
      </w:r>
      <w:r w:rsidRPr="0093717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937176">
        <w:rPr>
          <w:rFonts w:ascii="Arial" w:hAnsi="Arial" w:cs="Arial"/>
          <w:color w:val="000000"/>
        </w:rPr>
        <w:t xml:space="preserve">abordagem da gangrena de </w:t>
      </w:r>
      <w:proofErr w:type="spellStart"/>
      <w:r w:rsidRPr="00937176">
        <w:rPr>
          <w:rFonts w:ascii="Arial" w:hAnsi="Arial" w:cs="Arial"/>
          <w:color w:val="000000"/>
        </w:rPr>
        <w:t>Fournier</w:t>
      </w:r>
      <w:proofErr w:type="spellEnd"/>
      <w:r w:rsidRPr="00937176">
        <w:rPr>
          <w:rFonts w:ascii="Arial" w:hAnsi="Arial" w:cs="Arial"/>
          <w:color w:val="000000"/>
        </w:rPr>
        <w:t xml:space="preserve"> é multidisciplinar, com </w:t>
      </w:r>
      <w:proofErr w:type="spellStart"/>
      <w:r w:rsidRPr="00937176">
        <w:rPr>
          <w:rFonts w:ascii="Arial" w:hAnsi="Arial" w:cs="Arial"/>
          <w:color w:val="000000"/>
        </w:rPr>
        <w:t>antibioticoterapia</w:t>
      </w:r>
      <w:proofErr w:type="spellEnd"/>
      <w:r w:rsidR="00350257">
        <w:rPr>
          <w:rFonts w:ascii="Arial" w:hAnsi="Arial" w:cs="Arial"/>
          <w:color w:val="000000"/>
        </w:rPr>
        <w:t xml:space="preserve"> de amplo espectro, suporte clínico </w:t>
      </w:r>
      <w:r w:rsidRPr="00937176">
        <w:rPr>
          <w:rFonts w:ascii="Arial" w:hAnsi="Arial" w:cs="Arial"/>
          <w:color w:val="000000"/>
        </w:rPr>
        <w:t>e manejo cirúrgico. Deve-se investigar imunod</w:t>
      </w:r>
      <w:r w:rsidR="00350257">
        <w:rPr>
          <w:rFonts w:ascii="Arial" w:hAnsi="Arial" w:cs="Arial"/>
          <w:color w:val="000000"/>
        </w:rPr>
        <w:t xml:space="preserve">eficiências em casos atípicos, avaliar a necessidade de </w:t>
      </w:r>
      <w:r w:rsidRPr="00937176">
        <w:rPr>
          <w:rFonts w:ascii="Arial" w:hAnsi="Arial" w:cs="Arial"/>
          <w:color w:val="000000"/>
        </w:rPr>
        <w:t>ostomia</w:t>
      </w:r>
      <w:r w:rsidR="00350257">
        <w:rPr>
          <w:rFonts w:ascii="Arial" w:hAnsi="Arial" w:cs="Arial"/>
          <w:color w:val="000000"/>
        </w:rPr>
        <w:t xml:space="preserve"> e</w:t>
      </w:r>
      <w:r w:rsidRPr="00937176">
        <w:rPr>
          <w:rFonts w:ascii="Arial" w:hAnsi="Arial" w:cs="Arial"/>
          <w:color w:val="000000"/>
        </w:rPr>
        <w:t xml:space="preserve"> reforçar a importância do diagnóstico rápido e preciso para </w:t>
      </w:r>
      <w:proofErr w:type="gramStart"/>
      <w:r w:rsidRPr="00937176">
        <w:rPr>
          <w:rFonts w:ascii="Arial" w:hAnsi="Arial" w:cs="Arial"/>
          <w:color w:val="000000"/>
        </w:rPr>
        <w:t>otimizar</w:t>
      </w:r>
      <w:proofErr w:type="gramEnd"/>
      <w:r w:rsidRPr="00937176">
        <w:rPr>
          <w:rFonts w:ascii="Arial" w:hAnsi="Arial" w:cs="Arial"/>
          <w:color w:val="000000"/>
        </w:rPr>
        <w:t xml:space="preserve"> desfechos clínicos.</w:t>
      </w:r>
    </w:p>
    <w:p w:rsidR="00214906" w:rsidRDefault="00214906" w:rsidP="009371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937176" w:rsidRPr="00937176" w:rsidRDefault="00937176" w:rsidP="009371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37176">
        <w:rPr>
          <w:rFonts w:ascii="Arial" w:hAnsi="Arial" w:cs="Arial"/>
          <w:b/>
          <w:bCs/>
          <w:color w:val="000000"/>
        </w:rPr>
        <w:t>Referências:</w:t>
      </w:r>
      <w:r w:rsidRPr="00937176">
        <w:rPr>
          <w:rFonts w:ascii="Arial" w:hAnsi="Arial" w:cs="Arial"/>
          <w:color w:val="000000"/>
        </w:rPr>
        <w:t> </w:t>
      </w:r>
    </w:p>
    <w:p w:rsidR="00937176" w:rsidRPr="00937176" w:rsidRDefault="00937176" w:rsidP="009371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r w:rsidRPr="00937176">
        <w:rPr>
          <w:rFonts w:ascii="Arial" w:hAnsi="Arial" w:cs="Arial"/>
          <w:color w:val="000000"/>
          <w:shd w:val="clear" w:color="auto" w:fill="FFFFFF"/>
        </w:rPr>
        <w:t xml:space="preserve">1. </w:t>
      </w:r>
      <w:proofErr w:type="gramStart"/>
      <w:r w:rsidRPr="00937176">
        <w:rPr>
          <w:rFonts w:ascii="Arial" w:hAnsi="Arial" w:cs="Arial"/>
          <w:color w:val="000000"/>
          <w:shd w:val="clear" w:color="auto" w:fill="FFFFFF"/>
        </w:rPr>
        <w:t>de</w:t>
      </w:r>
      <w:proofErr w:type="gramEnd"/>
      <w:r w:rsidRPr="00937176">
        <w:rPr>
          <w:rFonts w:ascii="Arial" w:hAnsi="Arial" w:cs="Arial"/>
          <w:color w:val="000000"/>
          <w:shd w:val="clear" w:color="auto" w:fill="FFFFFF"/>
        </w:rPr>
        <w:t xml:space="preserve"> Lacerda TF, Borges JR, Figueiredo CVM,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Ceribelli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FO, Silva F dos S,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Pazini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FA,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Speretta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RB, Batista LR. Gangrena de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fournier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com complicações em lactente do sexo feminino: Um relato de caso /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Fournier’s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gangrene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with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complications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in a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female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infant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: A case report. </w:t>
      </w:r>
      <w:r w:rsidRPr="00214906">
        <w:rPr>
          <w:rFonts w:ascii="Arial" w:hAnsi="Arial" w:cs="Arial"/>
          <w:color w:val="000000"/>
          <w:shd w:val="clear" w:color="auto" w:fill="FFFFFF"/>
        </w:rPr>
        <w:t xml:space="preserve">Braz. J. </w:t>
      </w:r>
      <w:proofErr w:type="spellStart"/>
      <w:r w:rsidRPr="00214906">
        <w:rPr>
          <w:rFonts w:ascii="Arial" w:hAnsi="Arial" w:cs="Arial"/>
          <w:color w:val="000000"/>
          <w:shd w:val="clear" w:color="auto" w:fill="FFFFFF"/>
        </w:rPr>
        <w:t>Hea</w:t>
      </w:r>
      <w:proofErr w:type="spellEnd"/>
      <w:r w:rsidRPr="00214906">
        <w:rPr>
          <w:rFonts w:ascii="Arial" w:hAnsi="Arial" w:cs="Arial"/>
          <w:color w:val="000000"/>
          <w:shd w:val="clear" w:color="auto" w:fill="FFFFFF"/>
        </w:rPr>
        <w:t xml:space="preserve">. Rev. [Internet]. 2020 </w:t>
      </w:r>
      <w:proofErr w:type="spellStart"/>
      <w:r w:rsidRPr="00214906">
        <w:rPr>
          <w:rFonts w:ascii="Arial" w:hAnsi="Arial" w:cs="Arial"/>
          <w:color w:val="000000"/>
          <w:shd w:val="clear" w:color="auto" w:fill="FFFFFF"/>
        </w:rPr>
        <w:t>Oct</w:t>
      </w:r>
      <w:proofErr w:type="spellEnd"/>
      <w:r w:rsidRPr="00214906">
        <w:rPr>
          <w:rFonts w:ascii="Arial" w:hAnsi="Arial" w:cs="Arial"/>
          <w:color w:val="000000"/>
          <w:shd w:val="clear" w:color="auto" w:fill="FFFFFF"/>
        </w:rPr>
        <w:t>. 29 [</w:t>
      </w:r>
      <w:proofErr w:type="spellStart"/>
      <w:r w:rsidRPr="00214906">
        <w:rPr>
          <w:rFonts w:ascii="Arial" w:hAnsi="Arial" w:cs="Arial"/>
          <w:color w:val="000000"/>
          <w:shd w:val="clear" w:color="auto" w:fill="FFFFFF"/>
        </w:rPr>
        <w:t>cited</w:t>
      </w:r>
      <w:proofErr w:type="spellEnd"/>
      <w:r w:rsidRPr="00214906">
        <w:rPr>
          <w:rFonts w:ascii="Arial" w:hAnsi="Arial" w:cs="Arial"/>
          <w:color w:val="000000"/>
          <w:shd w:val="clear" w:color="auto" w:fill="FFFFFF"/>
        </w:rPr>
        <w:t xml:space="preserve"> 2025 </w:t>
      </w:r>
      <w:proofErr w:type="spellStart"/>
      <w:r w:rsidRPr="00214906">
        <w:rPr>
          <w:rFonts w:ascii="Arial" w:hAnsi="Arial" w:cs="Arial"/>
          <w:color w:val="000000"/>
          <w:shd w:val="clear" w:color="auto" w:fill="FFFFFF"/>
        </w:rPr>
        <w:t>Apr</w:t>
      </w:r>
      <w:proofErr w:type="spellEnd"/>
      <w:r w:rsidRPr="00214906">
        <w:rPr>
          <w:rFonts w:ascii="Arial" w:hAnsi="Arial" w:cs="Arial"/>
          <w:color w:val="000000"/>
          <w:shd w:val="clear" w:color="auto" w:fill="FFFFFF"/>
        </w:rPr>
        <w:t>. 14</w:t>
      </w:r>
      <w:proofErr w:type="gramStart"/>
      <w:r w:rsidRPr="00214906">
        <w:rPr>
          <w:rFonts w:ascii="Arial" w:hAnsi="Arial" w:cs="Arial"/>
          <w:color w:val="000000"/>
          <w:shd w:val="clear" w:color="auto" w:fill="FFFFFF"/>
        </w:rPr>
        <w:t>];</w:t>
      </w:r>
      <w:proofErr w:type="gramEnd"/>
      <w:r w:rsidRPr="00214906">
        <w:rPr>
          <w:rFonts w:ascii="Arial" w:hAnsi="Arial" w:cs="Arial"/>
          <w:color w:val="000000"/>
          <w:shd w:val="clear" w:color="auto" w:fill="FFFFFF"/>
        </w:rPr>
        <w:t xml:space="preserve">3(5). </w:t>
      </w:r>
      <w:r w:rsidRPr="00937176">
        <w:rPr>
          <w:rFonts w:ascii="Arial" w:hAnsi="Arial" w:cs="Arial"/>
          <w:color w:val="000000"/>
          <w:shd w:val="clear" w:color="auto" w:fill="FFFFFF"/>
          <w:lang w:val="en-US"/>
        </w:rPr>
        <w:t xml:space="preserve">Available from: </w:t>
      </w:r>
      <w:hyperlink r:id="rId4" w:history="1">
        <w:r w:rsidRPr="00937176">
          <w:rPr>
            <w:rStyle w:val="Hyperlink"/>
            <w:rFonts w:ascii="Arial" w:hAnsi="Arial" w:cs="Arial"/>
            <w:color w:val="1155CC"/>
            <w:shd w:val="clear" w:color="auto" w:fill="FFFFFF"/>
            <w:lang w:val="en-US"/>
          </w:rPr>
          <w:t>https://ojs.brazilianjournals.com.br/ojs/index.php/BJHR/article/view/19065</w:t>
        </w:r>
      </w:hyperlink>
    </w:p>
    <w:p w:rsidR="00937176" w:rsidRPr="00937176" w:rsidRDefault="00937176" w:rsidP="009371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gramStart"/>
      <w:r w:rsidRPr="00937176">
        <w:rPr>
          <w:rFonts w:ascii="Arial" w:hAnsi="Arial" w:cs="Arial"/>
          <w:color w:val="000000"/>
          <w:shd w:val="clear" w:color="auto" w:fill="FFFFFF"/>
        </w:rPr>
        <w:t>2.</w:t>
      </w:r>
      <w:proofErr w:type="gramEnd"/>
      <w:r w:rsidRPr="00937176">
        <w:rPr>
          <w:rFonts w:ascii="Arial" w:hAnsi="Arial" w:cs="Arial"/>
          <w:color w:val="000000"/>
          <w:shd w:val="clear" w:color="auto" w:fill="FFFFFF"/>
        </w:rPr>
        <w:t xml:space="preserve">da Silva SM, de Carvalho CAG, da Silva RA, de Lima SRA, Borges EMM. Estratégias terapêuticas e intervenções na gangrena de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fournier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: uma revisão sistemática. Revista Científica da Faculdade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Quirinópolis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[Internet]. 2021 [citado 14 abr 2025]. </w:t>
      </w:r>
      <w:proofErr w:type="gramStart"/>
      <w:r w:rsidRPr="00937176">
        <w:rPr>
          <w:rFonts w:ascii="Arial" w:hAnsi="Arial" w:cs="Arial"/>
          <w:color w:val="000000"/>
          <w:shd w:val="clear" w:color="auto" w:fill="FFFFFF"/>
        </w:rPr>
        <w:t>v.</w:t>
      </w:r>
      <w:proofErr w:type="gramEnd"/>
      <w:r w:rsidRPr="00937176">
        <w:rPr>
          <w:rFonts w:ascii="Arial" w:hAnsi="Arial" w:cs="Arial"/>
          <w:color w:val="000000"/>
          <w:shd w:val="clear" w:color="auto" w:fill="FFFFFF"/>
        </w:rPr>
        <w:t xml:space="preserve"> 2, n. 11, p. 510-526. Disponível em: </w:t>
      </w:r>
      <w:hyperlink r:id="rId5" w:history="1">
        <w:r w:rsidRPr="00937176">
          <w:rPr>
            <w:rStyle w:val="Hyperlink"/>
            <w:rFonts w:ascii="Arial" w:hAnsi="Arial" w:cs="Arial"/>
            <w:color w:val="1155CC"/>
            <w:shd w:val="clear" w:color="auto" w:fill="FFFFFF"/>
          </w:rPr>
          <w:t>https://recifaqui.faqui.edu.br/index.php/recifaqui/article/view/105</w:t>
        </w:r>
      </w:hyperlink>
      <w:r w:rsidRPr="00937176">
        <w:rPr>
          <w:rFonts w:ascii="Arial" w:hAnsi="Arial" w:cs="Arial"/>
          <w:color w:val="000000"/>
          <w:shd w:val="clear" w:color="auto" w:fill="FFFFFF"/>
        </w:rPr>
        <w:t> </w:t>
      </w:r>
    </w:p>
    <w:p w:rsidR="00937176" w:rsidRPr="00937176" w:rsidRDefault="00937176" w:rsidP="009371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37176">
        <w:rPr>
          <w:rFonts w:ascii="Arial" w:hAnsi="Arial" w:cs="Arial"/>
          <w:color w:val="000000"/>
          <w:shd w:val="clear" w:color="auto" w:fill="FFFFFF"/>
        </w:rPr>
        <w:t xml:space="preserve">3.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Mehl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AA, Nogueira Filho DC, Mantovani LM,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Grippa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MM, Berger R,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Krauss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D, Ribas D. Manejo da gangrena de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Fournier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: experiência de um hospital universitário de Curitiba.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Rev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Col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Bras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Cir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[Internet]. Dez 2010 [citado 14 abr 2025</w:t>
      </w:r>
      <w:proofErr w:type="gramStart"/>
      <w:r w:rsidRPr="00937176">
        <w:rPr>
          <w:rFonts w:ascii="Arial" w:hAnsi="Arial" w:cs="Arial"/>
          <w:color w:val="000000"/>
          <w:shd w:val="clear" w:color="auto" w:fill="FFFFFF"/>
        </w:rPr>
        <w:t>];</w:t>
      </w:r>
      <w:proofErr w:type="gramEnd"/>
      <w:r w:rsidRPr="00937176">
        <w:rPr>
          <w:rFonts w:ascii="Arial" w:hAnsi="Arial" w:cs="Arial"/>
          <w:color w:val="000000"/>
          <w:shd w:val="clear" w:color="auto" w:fill="FFFFFF"/>
        </w:rPr>
        <w:t xml:space="preserve">37(6):435-41. Disponível em: </w:t>
      </w:r>
      <w:hyperlink r:id="rId6" w:history="1">
        <w:r w:rsidRPr="00937176">
          <w:rPr>
            <w:rStyle w:val="Hyperlink"/>
            <w:rFonts w:ascii="Arial" w:hAnsi="Arial" w:cs="Arial"/>
            <w:color w:val="000000"/>
            <w:u w:val="none"/>
            <w:shd w:val="clear" w:color="auto" w:fill="FFFFFF"/>
          </w:rPr>
          <w:t>https://doi.org/10.1590/s0100-69912010000600010</w:t>
        </w:r>
      </w:hyperlink>
    </w:p>
    <w:p w:rsidR="00937176" w:rsidRPr="00937176" w:rsidRDefault="00937176" w:rsidP="0093717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37176">
        <w:rPr>
          <w:rFonts w:ascii="Arial" w:hAnsi="Arial" w:cs="Arial"/>
          <w:color w:val="000000"/>
          <w:shd w:val="clear" w:color="auto" w:fill="FFFFFF"/>
        </w:rPr>
        <w:t xml:space="preserve">4. Abreu TL, Veloso LC, Feijó AM,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Calvão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TF, Melo LS, Garcia BP, Sousa Filho EA, Sousa SL, Silva KR, Costa AD, Santana FN, Rocha DL, Guaraná GD, Braga TD, Mendes ST. SÍNDROME DE FOURNIER: DESAFIOS DIAGNÓSTICOS E TERAPÊUTICOS EM PACIENTES IMUNOCOMPROMETIDOS.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Rev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37176">
        <w:rPr>
          <w:rFonts w:ascii="Arial" w:hAnsi="Arial" w:cs="Arial"/>
          <w:color w:val="000000"/>
          <w:shd w:val="clear" w:color="auto" w:fill="FFFFFF"/>
        </w:rPr>
        <w:t>Ft</w:t>
      </w:r>
      <w:proofErr w:type="spellEnd"/>
      <w:r w:rsidRPr="00937176">
        <w:rPr>
          <w:rFonts w:ascii="Arial" w:hAnsi="Arial" w:cs="Arial"/>
          <w:color w:val="000000"/>
          <w:shd w:val="clear" w:color="auto" w:fill="FFFFFF"/>
        </w:rPr>
        <w:t xml:space="preserve"> [Internet]. 15 jan 2025 [citado 14 abr 2025</w:t>
      </w:r>
      <w:proofErr w:type="gramStart"/>
      <w:r w:rsidRPr="00937176">
        <w:rPr>
          <w:rFonts w:ascii="Arial" w:hAnsi="Arial" w:cs="Arial"/>
          <w:color w:val="000000"/>
          <w:shd w:val="clear" w:color="auto" w:fill="FFFFFF"/>
        </w:rPr>
        <w:t>];</w:t>
      </w:r>
      <w:proofErr w:type="gramEnd"/>
      <w:r w:rsidRPr="00937176">
        <w:rPr>
          <w:rFonts w:ascii="Arial" w:hAnsi="Arial" w:cs="Arial"/>
          <w:color w:val="000000"/>
          <w:shd w:val="clear" w:color="auto" w:fill="FFFFFF"/>
        </w:rPr>
        <w:t xml:space="preserve">29(142):09-10. Disponível em: </w:t>
      </w:r>
      <w:hyperlink r:id="rId7" w:history="1">
        <w:r w:rsidRPr="00937176">
          <w:rPr>
            <w:rStyle w:val="Hyperlink"/>
            <w:rFonts w:ascii="Arial" w:hAnsi="Arial" w:cs="Arial"/>
            <w:color w:val="000000"/>
            <w:u w:val="none"/>
            <w:shd w:val="clear" w:color="auto" w:fill="FFFFFF"/>
          </w:rPr>
          <w:t>https://doi.org/10.69849/revistaft/ch10202501150509</w:t>
        </w:r>
      </w:hyperlink>
    </w:p>
    <w:p w:rsidR="00D5099B" w:rsidRPr="00937176" w:rsidRDefault="00D5099B" w:rsidP="009371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5099B" w:rsidRPr="00937176" w:rsidSect="00D50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176"/>
    <w:rsid w:val="00214906"/>
    <w:rsid w:val="00350257"/>
    <w:rsid w:val="004C790A"/>
    <w:rsid w:val="00937176"/>
    <w:rsid w:val="00BB13F4"/>
    <w:rsid w:val="00D5099B"/>
    <w:rsid w:val="00E4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37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69849/revistaft/ch102025011505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90/s0100-69912010000600010" TargetMode="External"/><Relationship Id="rId5" Type="http://schemas.openxmlformats.org/officeDocument/2006/relationships/hyperlink" Target="https://recifaqui.faqui.edu.br/index.php/recifaqui/article/view/105" TargetMode="External"/><Relationship Id="rId4" Type="http://schemas.openxmlformats.org/officeDocument/2006/relationships/hyperlink" Target="https://ojs.brazilianjournals.com.br/ojs/index.php/BJHR/article/view/190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mclan</dc:creator>
  <cp:lastModifiedBy>mclan</cp:lastModifiedBy>
  <cp:revision>2</cp:revision>
  <dcterms:created xsi:type="dcterms:W3CDTF">2025-04-15T16:33:00Z</dcterms:created>
  <dcterms:modified xsi:type="dcterms:W3CDTF">2025-04-15T17:40:00Z</dcterms:modified>
</cp:coreProperties>
</file>