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7C" w:rsidRDefault="00A33A7C">
      <w:pPr>
        <w:pStyle w:val="Heading2"/>
        <w:spacing w:before="0" w:after="0"/>
        <w:jc w:val="center"/>
      </w:pPr>
    </w:p>
    <w:p w:rsidR="00A33A7C" w:rsidRDefault="004B5BEF">
      <w:pPr>
        <w:pStyle w:val="Heading2"/>
        <w:spacing w:before="0" w:after="0"/>
        <w:jc w:val="center"/>
        <w:rPr>
          <w:shd w:val="clear" w:color="auto" w:fill="00FF00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INDICADORES DE SAÚDE OCUPACIONAL COMO FERRAMENTA DE GESTÃO ESTRATÉGICA DE PESSOAS</w:t>
      </w:r>
    </w:p>
    <w:p w:rsidR="00A33A7C" w:rsidRDefault="00002213" w:rsidP="00002213">
      <w:pPr>
        <w:pStyle w:val="Corpo"/>
        <w:jc w:val="right"/>
      </w:pPr>
      <w:r>
        <w:t>Moema Almeida de Sá,(Colégio Pedro II); André Teixeira Pontes,(UFF RJ)</w:t>
      </w:r>
      <w:bookmarkStart w:id="0" w:name="_GoBack"/>
      <w:bookmarkEnd w:id="0"/>
    </w:p>
    <w:p w:rsidR="00A33A7C" w:rsidRDefault="004B5BEF">
      <w:pPr>
        <w:pStyle w:val="Corpo"/>
      </w:pPr>
      <w:r>
        <w:rPr>
          <w:b/>
          <w:bCs/>
          <w:lang w:val="es-ES_tradnl"/>
        </w:rPr>
        <w:t>Resumo</w:t>
      </w:r>
      <w:r>
        <w:rPr>
          <w:lang w:val="pt-PT"/>
        </w:rPr>
        <w:t>: O presente estudo, teve por objetivo analisar o perfil de morbidade do servidor do Col</w:t>
      </w:r>
      <w:r>
        <w:rPr>
          <w:lang w:val="fr-FR"/>
        </w:rPr>
        <w:t>é</w:t>
      </w:r>
      <w:r>
        <w:rPr>
          <w:lang w:val="pt-PT"/>
        </w:rPr>
        <w:t>gio Pedro II, a fim subsidiar par</w:t>
      </w:r>
      <w:r>
        <w:t>â</w:t>
      </w:r>
      <w:r>
        <w:rPr>
          <w:lang w:val="pt-PT"/>
        </w:rPr>
        <w:t xml:space="preserve">metros para gestão compartilhada das </w:t>
      </w:r>
      <w:r>
        <w:t>á</w:t>
      </w:r>
      <w:r>
        <w:rPr>
          <w:lang w:val="pt-PT"/>
        </w:rPr>
        <w:t>reas de Sa</w:t>
      </w:r>
      <w:r>
        <w:t>ú</w:t>
      </w:r>
      <w:r>
        <w:rPr>
          <w:lang w:val="pt-PT"/>
        </w:rPr>
        <w:t>de Ocupacional e de Gestão de Pessoas. Foi realizado uma pesquisa quantitativa, descritiva e explorat</w:t>
      </w:r>
      <w:r>
        <w:rPr>
          <w:lang w:val="es-ES_tradnl"/>
        </w:rPr>
        <w:t>ó</w:t>
      </w:r>
      <w:r>
        <w:rPr>
          <w:lang w:val="pt-PT"/>
        </w:rPr>
        <w:t xml:space="preserve">rio de levantamento de dados relativos </w:t>
      </w:r>
      <w:r>
        <w:rPr>
          <w:lang w:val="fr-FR"/>
        </w:rPr>
        <w:t>às licen</w:t>
      </w:r>
      <w:r>
        <w:rPr>
          <w:lang w:val="pt-PT"/>
        </w:rPr>
        <w:t>ças para tratamento de sa</w:t>
      </w:r>
      <w:r>
        <w:t>ú</w:t>
      </w:r>
      <w:r>
        <w:rPr>
          <w:lang w:val="pt-PT"/>
        </w:rPr>
        <w:t>de no per</w:t>
      </w:r>
      <w:r>
        <w:t>í</w:t>
      </w:r>
      <w:r>
        <w:rPr>
          <w:lang w:val="pt-PT"/>
        </w:rPr>
        <w:t>odo de 2012 a 2014. Resultados: Foram analisadas 2.537 licenças concedidas a 750 servidores ativos efetivos que geraram 21.018 dias de aus</w:t>
      </w:r>
      <w:r>
        <w:rPr>
          <w:lang w:val="fr-FR"/>
        </w:rPr>
        <w:t>ê</w:t>
      </w:r>
      <w:r>
        <w:t>ncia. A predominâ</w:t>
      </w:r>
      <w:r>
        <w:rPr>
          <w:lang w:val="pt-PT"/>
        </w:rPr>
        <w:t>ncia das licenças para tratamento de sa</w:t>
      </w:r>
      <w:r>
        <w:t>ú</w:t>
      </w:r>
      <w:r>
        <w:rPr>
          <w:lang w:val="pt-PT"/>
        </w:rPr>
        <w:t>de foram atribu</w:t>
      </w:r>
      <w:r>
        <w:t>í</w:t>
      </w:r>
      <w:r>
        <w:rPr>
          <w:lang w:val="pt-PT"/>
        </w:rPr>
        <w:t xml:space="preserve">dos </w:t>
      </w:r>
      <w:r>
        <w:rPr>
          <w:lang w:val="fr-FR"/>
        </w:rPr>
        <w:t>à</w:t>
      </w:r>
      <w:r>
        <w:rPr>
          <w:lang w:val="nl-NL"/>
        </w:rPr>
        <w:t>s doen</w:t>
      </w:r>
      <w:r>
        <w:rPr>
          <w:lang w:val="pt-PT"/>
        </w:rPr>
        <w:t>ças: do sistema respirat</w:t>
      </w:r>
      <w:r>
        <w:rPr>
          <w:lang w:val="es-ES_tradnl"/>
        </w:rPr>
        <w:t>ó</w:t>
      </w:r>
      <w:r>
        <w:rPr>
          <w:lang w:val="pt-PT"/>
        </w:rPr>
        <w:t>rio (14%), doenças do sistema osteomuscular e do tecido conjuntivo (11,6%) e doenças do sistema digestivo (9,6%). Os indicadores de absente</w:t>
      </w:r>
      <w:r>
        <w:t>í</w:t>
      </w:r>
      <w:r>
        <w:rPr>
          <w:lang w:val="nl-NL"/>
        </w:rPr>
        <w:t>smo-doen</w:t>
      </w:r>
      <w:r>
        <w:rPr>
          <w:lang w:val="pt-PT"/>
        </w:rPr>
        <w:t>ça (AD), demonstraram m</w:t>
      </w:r>
      <w:r>
        <w:rPr>
          <w:lang w:val="fr-FR"/>
        </w:rPr>
        <w:t>é</w:t>
      </w:r>
      <w:r>
        <w:rPr>
          <w:lang w:val="pt-PT"/>
        </w:rPr>
        <w:t>dia anual de 20% de servidores afastados e duraçã</w:t>
      </w:r>
      <w:r w:rsidRPr="007F170D">
        <w:t>o m</w:t>
      </w:r>
      <w:r>
        <w:rPr>
          <w:lang w:val="fr-FR"/>
        </w:rPr>
        <w:t>é</w:t>
      </w:r>
      <w:r>
        <w:rPr>
          <w:lang w:val="pt-PT"/>
        </w:rPr>
        <w:t>dia das licenças (DML) de 8 dias por epis</w:t>
      </w:r>
      <w:r>
        <w:rPr>
          <w:lang w:val="es-ES_tradnl"/>
        </w:rPr>
        <w:t>ó</w:t>
      </w:r>
      <w:r>
        <w:rPr>
          <w:lang w:val="it-IT"/>
        </w:rPr>
        <w:t>dio. Conclus</w:t>
      </w:r>
      <w:r>
        <w:rPr>
          <w:lang w:val="pt-PT"/>
        </w:rPr>
        <w:t>ão: A an</w:t>
      </w:r>
      <w:r>
        <w:t>á</w:t>
      </w:r>
      <w:r>
        <w:rPr>
          <w:lang w:val="pt-PT"/>
        </w:rPr>
        <w:t>lise do perfil de morbidade dos servidores do Col</w:t>
      </w:r>
      <w:r>
        <w:rPr>
          <w:lang w:val="fr-FR"/>
        </w:rPr>
        <w:t>é</w:t>
      </w:r>
      <w:r>
        <w:rPr>
          <w:lang w:val="pt-PT"/>
        </w:rPr>
        <w:t>gio Pedro II, expressa a magnitude da necessidade de intervenção por meio de ações de promoçã</w:t>
      </w:r>
      <w:r>
        <w:rPr>
          <w:lang w:val="es-ES_tradnl"/>
        </w:rPr>
        <w:t>o de sa</w:t>
      </w:r>
      <w:r>
        <w:t>ú</w:t>
      </w:r>
      <w:r>
        <w:rPr>
          <w:lang w:val="pt-PT"/>
        </w:rPr>
        <w:t>de e seguranç</w:t>
      </w:r>
      <w:r>
        <w:rPr>
          <w:lang w:val="it-IT"/>
        </w:rPr>
        <w:t>a, e preven</w:t>
      </w:r>
      <w:r>
        <w:rPr>
          <w:lang w:val="pt-PT"/>
        </w:rPr>
        <w:t>ção de riscos ocupacionais ou não, integradas e inseridas nas pol</w:t>
      </w:r>
      <w:r>
        <w:t>í</w:t>
      </w:r>
      <w:r>
        <w:rPr>
          <w:lang w:val="pt-PT"/>
        </w:rPr>
        <w:t>ticas da gestão de pessoas para construção de um novo paradigma de cultura de segurança e qualidade de vida no trabalho</w:t>
      </w:r>
    </w:p>
    <w:p w:rsidR="00A33A7C" w:rsidRDefault="004B5BEF">
      <w:pPr>
        <w:pStyle w:val="Corpo"/>
      </w:pPr>
      <w:r>
        <w:rPr>
          <w:b/>
          <w:bCs/>
          <w:lang w:val="pt-PT"/>
        </w:rPr>
        <w:t>Palavras-chave</w:t>
      </w:r>
      <w:r>
        <w:rPr>
          <w:lang w:val="it-IT"/>
        </w:rPr>
        <w:t>: sa</w:t>
      </w:r>
      <w:r>
        <w:t>ú</w:t>
      </w:r>
      <w:r>
        <w:rPr>
          <w:lang w:val="pt-PT"/>
        </w:rPr>
        <w:t>de do trabalhador, recursos humanos, servidor p</w:t>
      </w:r>
      <w:r>
        <w:t>ú</w:t>
      </w:r>
      <w:r>
        <w:rPr>
          <w:lang w:val="pt-PT"/>
        </w:rPr>
        <w:t>blico.</w:t>
      </w:r>
    </w:p>
    <w:p w:rsidR="00A33A7C" w:rsidRDefault="00A33A7C">
      <w:pPr>
        <w:pStyle w:val="Heading2"/>
        <w:spacing w:before="0" w:after="12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A33A7C" w:rsidRPr="007F170D" w:rsidRDefault="004B5BEF">
      <w:pPr>
        <w:pStyle w:val="Heading2"/>
        <w:spacing w:before="0" w:after="12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170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</w:t>
      </w:r>
      <w:r w:rsidRPr="007F17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Introdução</w:t>
      </w:r>
    </w:p>
    <w:p w:rsidR="00A33A7C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 xml:space="preserve">A adoção do modelo de gestão de pessoas por Resultados e </w:t>
      </w:r>
      <w:r>
        <w:rPr>
          <w:rFonts w:ascii="Times New Roman" w:hAnsi="Times New Roman"/>
          <w:sz w:val="24"/>
          <w:szCs w:val="24"/>
          <w:lang w:val="pt-PT"/>
        </w:rPr>
        <w:t>por Compet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ncias na administração pública federal do Brasil, em consequência da Reforma do Estado iniciada nos anos de 1990, exigiu mudanças profundas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da</w:t>
      </w:r>
      <w:r>
        <w:rPr>
          <w:rFonts w:ascii="Times New Roman" w:hAnsi="Times New Roman"/>
          <w:sz w:val="24"/>
          <w:szCs w:val="24"/>
          <w:lang w:val="pt-PT"/>
        </w:rPr>
        <w:t xml:space="preserve"> cultura organizacional, reestruturação da área de RH, mapeamento de compet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 xml:space="preserve">ncias e processos, e levantamento de características pessoais dos atores envolvidos (AMARAL, 2006). </w:t>
      </w:r>
    </w:p>
    <w:p w:rsidR="00A33A7C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33A7C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7F170D" w:rsidRDefault="007F170D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7F170D" w:rsidRDefault="007F170D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A33A7C" w:rsidRP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Segundo Wright e McMahan (2011), o que diferencia a gestão 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gica de pessoas (GEP) da gestã</w:t>
      </w:r>
      <w:r>
        <w:rPr>
          <w:rFonts w:ascii="Times New Roman" w:hAnsi="Times New Roman"/>
          <w:sz w:val="24"/>
          <w:szCs w:val="24"/>
          <w:lang w:val="es-ES_tradnl"/>
        </w:rPr>
        <w:t>o tradicional s</w:t>
      </w:r>
      <w:r>
        <w:rPr>
          <w:rFonts w:ascii="Times New Roman" w:hAnsi="Times New Roman"/>
          <w:sz w:val="24"/>
          <w:szCs w:val="24"/>
        </w:rPr>
        <w:t>ão dois aspectos de suas políticas: a integração vertical e a integração horizontal. A integração vertical busca o alinhamento das práticas de gestão de pessoas (GP) com os objetivos e 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gia organizacionais, sendo referido pela literatura como o grau de alinhamento 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>gico (strategic fit). A integra</w:t>
      </w:r>
      <w:r>
        <w:rPr>
          <w:rFonts w:ascii="Times New Roman" w:hAnsi="Times New Roman"/>
          <w:sz w:val="24"/>
          <w:szCs w:val="24"/>
        </w:rPr>
        <w:t>ção horizontal, implica na atuação coordenada das diversas funções de gestão de pessoas, tais como recrutamento e seleçã</w:t>
      </w:r>
      <w:r>
        <w:rPr>
          <w:rFonts w:ascii="Times New Roman" w:hAnsi="Times New Roman"/>
          <w:sz w:val="24"/>
          <w:szCs w:val="24"/>
          <w:lang w:val="it-IT"/>
        </w:rPr>
        <w:t>o, capacita</w:t>
      </w:r>
      <w:r>
        <w:rPr>
          <w:rFonts w:ascii="Times New Roman" w:hAnsi="Times New Roman"/>
          <w:sz w:val="24"/>
          <w:szCs w:val="24"/>
        </w:rPr>
        <w:t>çã</w:t>
      </w:r>
      <w:r>
        <w:rPr>
          <w:rFonts w:ascii="Times New Roman" w:hAnsi="Times New Roman"/>
          <w:sz w:val="24"/>
          <w:szCs w:val="24"/>
          <w:lang w:val="it-IT"/>
        </w:rPr>
        <w:t>o, gest</w:t>
      </w:r>
      <w:r>
        <w:rPr>
          <w:rFonts w:ascii="Times New Roman" w:hAnsi="Times New Roman"/>
          <w:sz w:val="24"/>
          <w:szCs w:val="24"/>
        </w:rPr>
        <w:t>ão do desempenho e remuneraçã</w:t>
      </w:r>
      <w:r>
        <w:rPr>
          <w:rFonts w:ascii="Times New Roman" w:hAnsi="Times New Roman"/>
          <w:sz w:val="24"/>
          <w:szCs w:val="24"/>
          <w:lang w:val="it-IT"/>
        </w:rPr>
        <w:t>o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(WRIGHT e MCMAHAN, </w:t>
      </w:r>
      <w:r>
        <w:rPr>
          <w:rFonts w:ascii="Times New Roman" w:hAnsi="Times New Roman"/>
          <w:sz w:val="24"/>
          <w:szCs w:val="24"/>
        </w:rPr>
        <w:t>2011)</w:t>
      </w:r>
      <w:r w:rsidRPr="007F170D">
        <w:rPr>
          <w:rFonts w:ascii="Times New Roman" w:hAnsi="Times New Roman"/>
          <w:sz w:val="24"/>
          <w:szCs w:val="24"/>
          <w:lang w:val="pt-BR"/>
        </w:rPr>
        <w:t>.</w:t>
      </w: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 xml:space="preserve">Sendo assim, tal modelo, </w:t>
      </w:r>
      <w:r>
        <w:rPr>
          <w:rFonts w:ascii="Times New Roman" w:hAnsi="Times New Roman"/>
          <w:sz w:val="24"/>
          <w:szCs w:val="24"/>
        </w:rPr>
        <w:t xml:space="preserve">requer 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/>
          <w:sz w:val="24"/>
          <w:szCs w:val="24"/>
        </w:rPr>
        <w:t>definição de perfis e compet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</w:rPr>
        <w:t>ncias necessários para a organização cumprir seus objetivos e uma política sustentável e integrada por instrumentos de recrutamento,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</w:rPr>
        <w:t>desenvolvimento profissional e pessoal, 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gia de realocação e redistribuição, avaliação de desempenho, estrutura de carreiras, remuneração e incentivos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(SCHIKMANN, </w:t>
      </w:r>
      <w:r>
        <w:rPr>
          <w:rFonts w:ascii="Times New Roman" w:hAnsi="Times New Roman"/>
          <w:sz w:val="24"/>
          <w:szCs w:val="24"/>
        </w:rPr>
        <w:t>2010)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A33A7C" w:rsidRDefault="007F170D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Segundo Marconim </w:t>
      </w:r>
      <w:r w:rsidR="004B5BEF">
        <w:rPr>
          <w:rFonts w:ascii="Times New Roman" w:hAnsi="Times New Roman"/>
          <w:sz w:val="24"/>
          <w:szCs w:val="24"/>
        </w:rPr>
        <w:t>(2005), a gestão estrat</w:t>
      </w:r>
      <w:r w:rsidR="004B5BEF">
        <w:rPr>
          <w:rFonts w:ascii="Times New Roman" w:hAnsi="Times New Roman"/>
          <w:sz w:val="24"/>
          <w:szCs w:val="24"/>
          <w:lang w:val="fr-FR"/>
        </w:rPr>
        <w:t>é</w:t>
      </w:r>
      <w:r w:rsidR="004B5BEF">
        <w:rPr>
          <w:rFonts w:ascii="Times New Roman" w:hAnsi="Times New Roman"/>
          <w:sz w:val="24"/>
          <w:szCs w:val="24"/>
        </w:rPr>
        <w:t>gica de pessoas no setor público pode ser compreendida entã</w:t>
      </w:r>
      <w:r w:rsidR="004B5BEF">
        <w:rPr>
          <w:rFonts w:ascii="Times New Roman" w:hAnsi="Times New Roman"/>
          <w:sz w:val="24"/>
          <w:szCs w:val="24"/>
          <w:lang w:val="es-ES_tradnl"/>
        </w:rPr>
        <w:t>o, como pol</w:t>
      </w:r>
      <w:r w:rsidR="004B5BEF">
        <w:rPr>
          <w:rFonts w:ascii="Times New Roman" w:hAnsi="Times New Roman"/>
          <w:sz w:val="24"/>
          <w:szCs w:val="24"/>
        </w:rPr>
        <w:t xml:space="preserve">íticas e diretrizes de recursos humanos para aumentar a habilidade dos servidores, e consequentemente, do </w:t>
      </w:r>
      <w:r w:rsidR="004B5BEF">
        <w:rPr>
          <w:rFonts w:ascii="Times New Roman" w:hAnsi="Times New Roman"/>
          <w:sz w:val="24"/>
          <w:szCs w:val="24"/>
          <w:lang w:val="es-ES_tradnl"/>
        </w:rPr>
        <w:t>ó</w:t>
      </w:r>
      <w:r w:rsidR="004B5BEF">
        <w:rPr>
          <w:rFonts w:ascii="Times New Roman" w:hAnsi="Times New Roman"/>
          <w:sz w:val="24"/>
          <w:szCs w:val="24"/>
        </w:rPr>
        <w:t>rgão público, a fim de alcançar</w:t>
      </w:r>
      <w:r w:rsidR="004B5BEF"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B5BEF">
        <w:rPr>
          <w:rFonts w:ascii="Times New Roman" w:hAnsi="Times New Roman"/>
          <w:sz w:val="24"/>
          <w:szCs w:val="24"/>
        </w:rPr>
        <w:t xml:space="preserve">seus objetivos organizacionais alinhado aos objetivos individuais dos servidores. </w:t>
      </w:r>
      <w:r w:rsidR="004B5BEF" w:rsidRPr="007F170D">
        <w:rPr>
          <w:rFonts w:ascii="Times New Roman" w:hAnsi="Times New Roman"/>
          <w:sz w:val="24"/>
          <w:szCs w:val="24"/>
          <w:lang w:val="pt-BR"/>
        </w:rPr>
        <w:t>Assume també</w:t>
      </w:r>
      <w:r>
        <w:rPr>
          <w:rFonts w:ascii="Times New Roman" w:hAnsi="Times New Roman"/>
          <w:sz w:val="24"/>
          <w:szCs w:val="24"/>
          <w:lang w:val="pt-BR"/>
        </w:rPr>
        <w:t xml:space="preserve">m, </w:t>
      </w:r>
      <w:r w:rsidR="004B5BEF" w:rsidRPr="007F170D">
        <w:rPr>
          <w:rFonts w:ascii="Times New Roman" w:hAnsi="Times New Roman"/>
          <w:sz w:val="24"/>
          <w:szCs w:val="24"/>
          <w:lang w:val="pt-BR"/>
        </w:rPr>
        <w:t xml:space="preserve">conforme determina a </w:t>
      </w:r>
      <w:r w:rsidR="004B5BEF">
        <w:rPr>
          <w:rFonts w:ascii="Times New Roman" w:hAnsi="Times New Roman"/>
          <w:sz w:val="24"/>
          <w:szCs w:val="24"/>
        </w:rPr>
        <w:t xml:space="preserve">Normativa </w:t>
      </w:r>
      <w:r w:rsidR="004B5BEF" w:rsidRPr="007F170D">
        <w:rPr>
          <w:rFonts w:ascii="Times New Roman" w:hAnsi="Times New Roman"/>
          <w:sz w:val="24"/>
          <w:szCs w:val="24"/>
          <w:lang w:val="pt-BR"/>
        </w:rPr>
        <w:t>N</w:t>
      </w:r>
      <w:r w:rsidR="004B5BEF">
        <w:rPr>
          <w:rFonts w:ascii="Times New Roman" w:hAnsi="Times New Roman"/>
          <w:sz w:val="24"/>
          <w:szCs w:val="24"/>
        </w:rPr>
        <w:t>º 3/2010 do Ministério do Planejamento, Orçamento e Gestão</w:t>
      </w:r>
      <w:r w:rsidR="004B5BEF" w:rsidRPr="007F170D">
        <w:rPr>
          <w:rFonts w:ascii="Times New Roman" w:hAnsi="Times New Roman"/>
          <w:sz w:val="24"/>
          <w:szCs w:val="24"/>
          <w:lang w:val="pt-BR"/>
        </w:rPr>
        <w:t xml:space="preserve">,  </w:t>
      </w:r>
      <w:r w:rsidR="004B5BEF">
        <w:rPr>
          <w:rFonts w:ascii="Times New Roman" w:hAnsi="Times New Roman"/>
          <w:sz w:val="24"/>
          <w:szCs w:val="24"/>
        </w:rPr>
        <w:t>a implantação e cumprimento da nova legislação de saúde e segurança no trabalho</w:t>
      </w:r>
      <w:r w:rsidR="004B5BEF"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4B5BEF">
        <w:rPr>
          <w:rFonts w:ascii="Times New Roman" w:hAnsi="Times New Roman"/>
          <w:sz w:val="24"/>
          <w:szCs w:val="24"/>
        </w:rPr>
        <w:t>( BRASIL, 2010).</w:t>
      </w: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Normativa de Nº 3, de 7 de maio de 2010, estabelece as diretrizes da Norma Operacional de Saúde do Servidor (NOSS), para implementação das ações de vigilância aos ambientes e processos de trabalho e promoção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saúde do servidor, integrantes da Política da Atenção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Saúde e Segurança do Servidor (PASS) e do Subsistema Integrado de Atenção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Saúde do Servidor (SIASS), instituídos pelo Subsistema Integrado de Atenção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>Saú</w:t>
      </w:r>
      <w:r w:rsidR="007F170D">
        <w:rPr>
          <w:rFonts w:ascii="Times New Roman" w:hAnsi="Times New Roman"/>
          <w:sz w:val="24"/>
          <w:szCs w:val="24"/>
        </w:rPr>
        <w:t xml:space="preserve">de do Servidor (SIASS) ( BRASIL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70D">
        <w:rPr>
          <w:rFonts w:ascii="Times New Roman" w:hAnsi="Times New Roman"/>
          <w:sz w:val="24"/>
          <w:szCs w:val="24"/>
          <w:lang w:val="pt-BR"/>
        </w:rPr>
        <w:t>(</w:t>
      </w:r>
      <w:r>
        <w:rPr>
          <w:rFonts w:ascii="Times New Roman" w:hAnsi="Times New Roman"/>
          <w:sz w:val="24"/>
          <w:szCs w:val="24"/>
        </w:rPr>
        <w:t>2009</w:t>
      </w:r>
      <w:r w:rsidRPr="007F170D">
        <w:rPr>
          <w:rFonts w:ascii="Times New Roman" w:hAnsi="Times New Roman"/>
          <w:sz w:val="24"/>
          <w:szCs w:val="24"/>
          <w:lang w:val="pt-BR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7F170D">
        <w:rPr>
          <w:rFonts w:ascii="Times New Roman" w:hAnsi="Times New Roman"/>
          <w:sz w:val="24"/>
          <w:szCs w:val="24"/>
          <w:lang w:val="pt-BR"/>
        </w:rPr>
        <w:t xml:space="preserve">BRASIL 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(</w:t>
      </w:r>
      <w:r>
        <w:rPr>
          <w:rFonts w:ascii="Times New Roman" w:hAnsi="Times New Roman"/>
          <w:sz w:val="24"/>
          <w:szCs w:val="24"/>
        </w:rPr>
        <w:t>2010).</w:t>
      </w:r>
    </w:p>
    <w:p w:rsidR="00A33A7C" w:rsidRP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da nova realidade, é crucial</w:t>
      </w:r>
      <w:r>
        <w:rPr>
          <w:rFonts w:ascii="Times New Roman" w:hAnsi="Times New Roman"/>
          <w:sz w:val="24"/>
          <w:szCs w:val="24"/>
          <w:lang w:val="it-IT"/>
        </w:rPr>
        <w:t xml:space="preserve"> a capacita</w:t>
      </w:r>
      <w:r>
        <w:rPr>
          <w:rFonts w:ascii="Times New Roman" w:hAnsi="Times New Roman"/>
          <w:sz w:val="24"/>
          <w:szCs w:val="24"/>
        </w:rPr>
        <w:t>ção do gestor, com visão baseada em recursos, voltada para o desenvolvimento e construção do capital humano, conforme ressaltam Sadtsafavi e Walewski (2013), e ainda instrumentalizá-los para avaliação de resultados e posicionamento competitivo como afirmam Oliveira e Limongi-Franca (2005).</w:t>
      </w:r>
    </w:p>
    <w:p w:rsidR="007F170D" w:rsidRDefault="007F170D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lastRenderedPageBreak/>
        <w:t xml:space="preserve">Conforme enfatizam Carmeli e Schaubroeck (2005), a </w:t>
      </w:r>
      <w:r>
        <w:rPr>
          <w:rFonts w:ascii="Times New Roman" w:hAnsi="Times New Roman"/>
          <w:sz w:val="24"/>
          <w:szCs w:val="24"/>
        </w:rPr>
        <w:t>gestão de resultados, necessidade d</w:t>
      </w:r>
      <w:r w:rsidRPr="007F170D">
        <w:rPr>
          <w:rFonts w:ascii="Times New Roman" w:hAnsi="Times New Roman"/>
          <w:sz w:val="24"/>
          <w:szCs w:val="24"/>
          <w:lang w:val="pt-BR"/>
        </w:rPr>
        <w:t>a</w:t>
      </w:r>
      <w:r>
        <w:rPr>
          <w:rFonts w:ascii="Times New Roman" w:hAnsi="Times New Roman"/>
          <w:sz w:val="24"/>
          <w:szCs w:val="24"/>
        </w:rPr>
        <w:t xml:space="preserve"> construção de um sistema de indicadores, relevantes para subsidiar o gestor público na tomada de decisão</w:t>
      </w:r>
      <w:r w:rsidRPr="007F170D">
        <w:rPr>
          <w:rFonts w:ascii="Times New Roman" w:hAnsi="Times New Roman"/>
          <w:sz w:val="24"/>
          <w:szCs w:val="24"/>
          <w:lang w:val="pt-BR"/>
        </w:rPr>
        <w:t>.</w:t>
      </w:r>
    </w:p>
    <w:p w:rsidR="00A33A7C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Dentro dessa nova estrutura gerencial e organizacional, o presente estudo teve por objetivo analisar o perfil </w:t>
      </w:r>
      <w:r w:rsidRPr="007F170D">
        <w:rPr>
          <w:rFonts w:ascii="Times New Roman" w:hAnsi="Times New Roman"/>
          <w:sz w:val="24"/>
          <w:szCs w:val="24"/>
          <w:lang w:val="pt-BR"/>
        </w:rPr>
        <w:t>de morbidade</w:t>
      </w:r>
      <w:r>
        <w:rPr>
          <w:rFonts w:ascii="Times New Roman" w:hAnsi="Times New Roman"/>
          <w:sz w:val="24"/>
          <w:szCs w:val="24"/>
          <w:lang w:val="pt-PT"/>
        </w:rPr>
        <w:t xml:space="preserve"> do servidor do Col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gio Pedro II,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e constituir indicadores de gestão a serem utilizados de forma compartilhada com a Gestão de Pessoas com finalidade de de melhoria da qualidade de vida no trabalho. </w:t>
      </w:r>
    </w:p>
    <w:p w:rsidR="00A33A7C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Pesquisar o perfil de morbidade do servidor e os fatores que determinam os riscos ocupacionais, gerando doenças e acidentes e consequentemente licenças para tratamento de saúde, torna-se imprescindível para fomentar debates sobre a condição de trabalho e saúde dos trabalhadores, e elaborar políticas de promoção e prevenção em saúde e segurança (WUNSCH, 2004).</w:t>
      </w:r>
    </w:p>
    <w:p w:rsidR="00A33A7C" w:rsidRDefault="00A33A7C">
      <w:pPr>
        <w:pStyle w:val="Heading2"/>
        <w:spacing w:before="0" w:after="120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2. Referencial Teórico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A revisão de literatura foi desenvolvida de forma a fundamentar o complexo relacionamento da gestão 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gica de pessoas na administraçã</w:t>
      </w:r>
      <w:r w:rsidRPr="007F170D">
        <w:rPr>
          <w:rFonts w:ascii="Times New Roman" w:hAnsi="Times New Roman"/>
          <w:sz w:val="24"/>
          <w:szCs w:val="24"/>
          <w:lang w:val="pt-BR"/>
        </w:rPr>
        <w:t>o pú</w:t>
      </w:r>
      <w:r>
        <w:rPr>
          <w:rFonts w:ascii="Times New Roman" w:hAnsi="Times New Roman"/>
          <w:sz w:val="24"/>
          <w:szCs w:val="24"/>
          <w:lang w:val="pt-PT"/>
        </w:rPr>
        <w:t xml:space="preserve">blica brasileira e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 w:rsidRPr="007F170D">
        <w:rPr>
          <w:rFonts w:ascii="Times New Roman" w:hAnsi="Times New Roman"/>
          <w:sz w:val="24"/>
          <w:szCs w:val="24"/>
          <w:lang w:val="pt-BR"/>
        </w:rPr>
        <w:t>saú</w:t>
      </w:r>
      <w:r>
        <w:rPr>
          <w:rFonts w:ascii="Times New Roman" w:hAnsi="Times New Roman"/>
          <w:sz w:val="24"/>
          <w:szCs w:val="24"/>
          <w:lang w:val="pt-PT"/>
        </w:rPr>
        <w:t>de e segurança dos servidores p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 xml:space="preserve">blicos. </w:t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 xml:space="preserve">2.1 Gestão Estratégica de Pessoas, Saúde e Qualidade de Vida no Trabalho </w:t>
      </w: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pessoas passam a ser compet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</w:rPr>
        <w:t>ncias essenciais de diferenciação 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gica no momento em que fontes de vantagens tradicionais como a tecnologia, deixam de ser consideradas suficientes para garantir uma posição competitiva sustentáve</w:t>
      </w:r>
      <w:r w:rsidRPr="007F170D">
        <w:rPr>
          <w:rFonts w:ascii="Times New Roman" w:hAnsi="Times New Roman"/>
          <w:sz w:val="24"/>
          <w:szCs w:val="24"/>
          <w:lang w:val="pt-BR"/>
        </w:rPr>
        <w:t>l</w:t>
      </w:r>
      <w:r>
        <w:rPr>
          <w:rFonts w:ascii="Times New Roman" w:hAnsi="Times New Roman"/>
          <w:sz w:val="24"/>
          <w:szCs w:val="24"/>
        </w:rPr>
        <w:t xml:space="preserve"> (ARMSTRONG, 2009; DEMO et al 2012). </w:t>
      </w:r>
    </w:p>
    <w:p w:rsid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Segundo Armstrong (2009), a partir daí, as políticas de gestão de pessoas e a cultura organizacional, devem ajustar-se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lang w:val="it-IT"/>
        </w:rPr>
        <w:t>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gia empresarial, devendo priorizar o desenvolvimento e a valorização dos recursos humanos. Tais políticas de GP, definem o posicionamento, as expectativas e os valores da organizaçã</w:t>
      </w:r>
      <w:r>
        <w:rPr>
          <w:rFonts w:ascii="Times New Roman" w:hAnsi="Times New Roman"/>
          <w:sz w:val="24"/>
          <w:szCs w:val="24"/>
          <w:lang w:val="es-ES_tradnl"/>
        </w:rPr>
        <w:t xml:space="preserve">o no tocante </w:t>
      </w:r>
      <w:r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</w:rPr>
        <w:t>s pessoas da organização. Servem ainda, como ponto de refer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</w:rPr>
        <w:t xml:space="preserve">ncia para o desenvolvimento de práticas </w:t>
      </w:r>
    </w:p>
    <w:p w:rsidR="007F170D" w:rsidRDefault="007F170D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organizacionais e para 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tomada de </w:t>
      </w:r>
      <w:r>
        <w:rPr>
          <w:rFonts w:ascii="Times New Roman" w:hAnsi="Times New Roman"/>
          <w:sz w:val="24"/>
          <w:szCs w:val="24"/>
        </w:rPr>
        <w:t>decisões, al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de promover um tratamento equitativo entre os indivíduos (ARMSTRONG, 2009).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Os Recursos Humanos possuem uma contribuição expressiva na formação e no desenvolvimento do capital intang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vel,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lang w:val="pt-PT"/>
        </w:rPr>
        <w:t>medida que trabalha com a mat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 xml:space="preserve">ria-prima capaz de produzir redes de relacionamentos, de adotar uma organização de diferenciais competitivos, de modelos de gestão, remuneração e desenvolvimento diferenciados ( MEARNS et al, 2003). </w:t>
      </w: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avaliação do desempenho 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uma das etapas do ciclo da gestão por compet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</w:rPr>
        <w:t>ncias, que tem por finalidade o pleno atendimento das demandas dos cidadãos e da sociedade, por meio de atividades integradas que visam aprimorar a qualificação profissional daqueles que prestam os serviços públicos</w:t>
      </w:r>
      <w:r w:rsidRPr="007F170D">
        <w:rPr>
          <w:rFonts w:ascii="Times New Roman" w:hAnsi="Times New Roman"/>
          <w:sz w:val="24"/>
          <w:szCs w:val="24"/>
          <w:lang w:val="pt-BR"/>
        </w:rPr>
        <w:t>, mensurados por metas e indicadores de Gestão de Pessoas</w:t>
      </w:r>
      <w:r>
        <w:rPr>
          <w:rFonts w:ascii="Times New Roman" w:hAnsi="Times New Roman"/>
          <w:sz w:val="24"/>
          <w:szCs w:val="24"/>
        </w:rPr>
        <w:t xml:space="preserve"> (MPOG, 2013)</w:t>
      </w:r>
      <w:r w:rsidRPr="007F170D">
        <w:rPr>
          <w:rFonts w:ascii="Times New Roman" w:hAnsi="Times New Roman"/>
          <w:sz w:val="24"/>
          <w:szCs w:val="24"/>
          <w:lang w:val="pt-BR"/>
        </w:rPr>
        <w:t>.</w:t>
      </w: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gerenciamento 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gico das organizaçõ</w:t>
      </w:r>
      <w:r>
        <w:rPr>
          <w:rFonts w:ascii="Times New Roman" w:hAnsi="Times New Roman"/>
          <w:sz w:val="24"/>
          <w:szCs w:val="24"/>
          <w:lang w:val="fr-FR"/>
        </w:rPr>
        <w:t>es p</w:t>
      </w:r>
      <w:r>
        <w:rPr>
          <w:rFonts w:ascii="Times New Roman" w:hAnsi="Times New Roman"/>
          <w:sz w:val="24"/>
          <w:szCs w:val="24"/>
        </w:rPr>
        <w:t>úblicas, deve buscar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todos e ferramentas eficazes para construção de compet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</w:rPr>
        <w:t>ncias, principalmente flexibilidade de recursos estrat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gicos, permitindo-lhes adaptar-se </w:t>
      </w:r>
      <w:r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</w:rPr>
        <w:t>s mudanç</w:t>
      </w:r>
      <w:r>
        <w:rPr>
          <w:rFonts w:ascii="Times New Roman" w:hAnsi="Times New Roman"/>
          <w:sz w:val="24"/>
          <w:szCs w:val="24"/>
          <w:lang w:val="es-ES_tradnl"/>
        </w:rPr>
        <w:t xml:space="preserve">as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din</w:t>
      </w:r>
      <w:proofErr w:type="spellEnd"/>
      <w:r>
        <w:rPr>
          <w:rFonts w:ascii="Times New Roman" w:hAnsi="Times New Roman"/>
          <w:sz w:val="24"/>
          <w:szCs w:val="24"/>
        </w:rPr>
        <w:t xml:space="preserve">âmicas do setor (SZYMANIEC- MLICKA, 2014). </w:t>
      </w: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gerenciamento das ações relativas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saúde do servidor, no tocante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lang w:val="it-IT"/>
        </w:rPr>
        <w:t>assist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es-ES_tradnl"/>
        </w:rPr>
        <w:t xml:space="preserve">ncia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saúde e especialmente,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lang w:val="it-IT"/>
        </w:rPr>
        <w:t>per</w:t>
      </w:r>
      <w:r>
        <w:rPr>
          <w:rFonts w:ascii="Times New Roman" w:hAnsi="Times New Roman"/>
          <w:sz w:val="24"/>
          <w:szCs w:val="24"/>
        </w:rPr>
        <w:t>í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cia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dica, deve estar localizado na á</w:t>
      </w:r>
      <w:r>
        <w:rPr>
          <w:rFonts w:ascii="Times New Roman" w:hAnsi="Times New Roman"/>
          <w:sz w:val="24"/>
          <w:szCs w:val="24"/>
          <w:lang w:val="it-IT"/>
        </w:rPr>
        <w:t>rea da gest</w:t>
      </w:r>
      <w:r>
        <w:rPr>
          <w:rFonts w:ascii="Times New Roman" w:hAnsi="Times New Roman"/>
          <w:sz w:val="24"/>
          <w:szCs w:val="24"/>
        </w:rPr>
        <w:t>ão de pessoas, pela proximidade com a esfera administrativa e pela necessidade de integração com serviço de saúde ocupacional, além da responsabilidade do Estado no seu papel de empregador (CARNEIRO, 2011).</w:t>
      </w: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mudança de paradigma cultural e construção da promoção em saúde e seguranç</w:t>
      </w:r>
      <w:r>
        <w:rPr>
          <w:rFonts w:ascii="Times New Roman" w:hAnsi="Times New Roman"/>
          <w:sz w:val="24"/>
          <w:szCs w:val="24"/>
          <w:lang w:val="es-ES_tradnl"/>
        </w:rPr>
        <w:t xml:space="preserve">a ocupacional, </w:t>
      </w:r>
      <w:r>
        <w:rPr>
          <w:rFonts w:ascii="Times New Roman" w:hAnsi="Times New Roman"/>
          <w:sz w:val="24"/>
          <w:szCs w:val="24"/>
        </w:rPr>
        <w:t>passa a ser de responsabilidade de cada instituição (CARNEIRO, 2006). A Política de Atenção à Saúde e Segura</w:t>
      </w:r>
      <w:r w:rsidRPr="007F170D">
        <w:rPr>
          <w:rFonts w:ascii="Times New Roman" w:hAnsi="Times New Roman"/>
          <w:sz w:val="24"/>
          <w:szCs w:val="24"/>
          <w:lang w:val="pt-BR"/>
        </w:rPr>
        <w:t>n</w:t>
      </w:r>
      <w:r>
        <w:rPr>
          <w:rFonts w:ascii="Times New Roman" w:hAnsi="Times New Roman"/>
          <w:sz w:val="24"/>
          <w:szCs w:val="24"/>
        </w:rPr>
        <w:t xml:space="preserve">ça do Trabalhado do Servidor Público Federal (PASS), propõe a organização de serviços sustentados por conceitos, princípios e diretrizes construídas </w:t>
      </w: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coletivamente, com sistemas de informação, com recursos otimizados, parcerias entre 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rgãos federais articulados em rede para responder </w:t>
      </w:r>
      <w:r>
        <w:rPr>
          <w:rFonts w:ascii="Times New Roman" w:hAnsi="Times New Roman"/>
          <w:sz w:val="24"/>
          <w:szCs w:val="24"/>
          <w:lang w:val="fr-FR"/>
        </w:rPr>
        <w:t>à</w:t>
      </w:r>
      <w:r>
        <w:rPr>
          <w:rFonts w:ascii="Times New Roman" w:hAnsi="Times New Roman"/>
          <w:sz w:val="24"/>
          <w:szCs w:val="24"/>
          <w:lang w:val="es-ES_tradnl"/>
        </w:rPr>
        <w:t>s demandas de per</w:t>
      </w:r>
      <w:r>
        <w:rPr>
          <w:rFonts w:ascii="Times New Roman" w:hAnsi="Times New Roman"/>
          <w:sz w:val="24"/>
          <w:szCs w:val="24"/>
        </w:rPr>
        <w:t>ícia em saúde, promoçã</w:t>
      </w:r>
      <w:r>
        <w:rPr>
          <w:rFonts w:ascii="Times New Roman" w:hAnsi="Times New Roman"/>
          <w:sz w:val="24"/>
          <w:szCs w:val="24"/>
          <w:lang w:val="it-IT"/>
        </w:rPr>
        <w:t>o e vigil</w:t>
      </w:r>
      <w:r>
        <w:rPr>
          <w:rFonts w:ascii="Times New Roman" w:hAnsi="Times New Roman"/>
          <w:sz w:val="24"/>
          <w:szCs w:val="24"/>
        </w:rPr>
        <w:t>ância aos ambientes e processos de trabalho (CARNEIRO, 2011).</w:t>
      </w:r>
    </w:p>
    <w:p w:rsid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>Sendo assim, a construção de</w:t>
      </w:r>
      <w:r>
        <w:rPr>
          <w:rFonts w:ascii="Times New Roman" w:hAnsi="Times New Roman"/>
          <w:sz w:val="24"/>
          <w:szCs w:val="24"/>
        </w:rPr>
        <w:t xml:space="preserve"> um conjunto de indicadores que permita conhecer e medir</w:t>
      </w:r>
      <w:r>
        <w:rPr>
          <w:rFonts w:ascii="Times New Roman" w:hAnsi="Times New Roman"/>
          <w:sz w:val="24"/>
          <w:szCs w:val="24"/>
          <w:lang w:val="it-IT"/>
        </w:rPr>
        <w:t xml:space="preserve"> d</w:t>
      </w:r>
      <w:r>
        <w:rPr>
          <w:rFonts w:ascii="Times New Roman" w:hAnsi="Times New Roman"/>
          <w:sz w:val="24"/>
          <w:szCs w:val="24"/>
        </w:rPr>
        <w:t>esempenho, esclarecer as prioridades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sz w:val="24"/>
          <w:szCs w:val="24"/>
        </w:rPr>
        <w:t>comparar seus resultados, identificar pontos de melhoria e subsidiar açõ</w:t>
      </w:r>
      <w:r>
        <w:rPr>
          <w:rFonts w:ascii="Times New Roman" w:hAnsi="Times New Roman"/>
          <w:sz w:val="24"/>
          <w:szCs w:val="24"/>
          <w:lang w:val="fr-FR"/>
        </w:rPr>
        <w:t>es de transforma</w:t>
      </w:r>
      <w:r>
        <w:rPr>
          <w:rFonts w:ascii="Times New Roman" w:hAnsi="Times New Roman"/>
          <w:sz w:val="24"/>
          <w:szCs w:val="24"/>
        </w:rPr>
        <w:t>ção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fundamentais para desenvolvimento de um ciclo </w:t>
      </w:r>
    </w:p>
    <w:p w:rsidR="007F170D" w:rsidRDefault="007F170D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A33A7C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lastRenderedPageBreak/>
        <w:t xml:space="preserve">virtuoso de melhores práticas voltados para o aperfeiçoamento, retenção e qualidade do capital humano </w:t>
      </w:r>
      <w:r>
        <w:rPr>
          <w:rFonts w:ascii="Times New Roman" w:hAnsi="Times New Roman"/>
          <w:sz w:val="24"/>
          <w:szCs w:val="24"/>
        </w:rPr>
        <w:t>(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POMI, 2002; </w:t>
      </w:r>
      <w:r>
        <w:rPr>
          <w:rFonts w:ascii="Times New Roman" w:hAnsi="Times New Roman"/>
          <w:sz w:val="24"/>
          <w:szCs w:val="24"/>
        </w:rPr>
        <w:t>ASSIS, 2012).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A33A7C" w:rsidRDefault="00A33A7C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 xml:space="preserve">2.2. Ferramentas e Indicadores de Gestão de Pessoas </w:t>
      </w:r>
    </w:p>
    <w:p w:rsidR="00A33A7C" w:rsidRP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>A construção de</w:t>
      </w:r>
      <w:r>
        <w:rPr>
          <w:rFonts w:ascii="Times New Roman" w:hAnsi="Times New Roman"/>
          <w:sz w:val="24"/>
          <w:szCs w:val="24"/>
        </w:rPr>
        <w:t xml:space="preserve"> um conjunto de indicadores que permita conhecer e medir</w:t>
      </w:r>
      <w:r>
        <w:rPr>
          <w:rFonts w:ascii="Times New Roman" w:hAnsi="Times New Roman"/>
          <w:sz w:val="24"/>
          <w:szCs w:val="24"/>
          <w:lang w:val="it-IT"/>
        </w:rPr>
        <w:t xml:space="preserve"> d</w:t>
      </w:r>
      <w:r>
        <w:rPr>
          <w:rFonts w:ascii="Times New Roman" w:hAnsi="Times New Roman"/>
          <w:sz w:val="24"/>
          <w:szCs w:val="24"/>
        </w:rPr>
        <w:t>esempenho, esclarecer as prioridades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, </w:t>
      </w:r>
      <w:r>
        <w:rPr>
          <w:rFonts w:ascii="Times New Roman" w:hAnsi="Times New Roman"/>
          <w:sz w:val="24"/>
          <w:szCs w:val="24"/>
        </w:rPr>
        <w:t>comparar seus resultados, identificar pontos de melhoria e subsidiar açõ</w:t>
      </w:r>
      <w:r>
        <w:rPr>
          <w:rFonts w:ascii="Times New Roman" w:hAnsi="Times New Roman"/>
          <w:sz w:val="24"/>
          <w:szCs w:val="24"/>
          <w:lang w:val="fr-FR"/>
        </w:rPr>
        <w:t>es de transforma</w:t>
      </w:r>
      <w:r>
        <w:rPr>
          <w:rFonts w:ascii="Times New Roman" w:hAnsi="Times New Roman"/>
          <w:sz w:val="24"/>
          <w:szCs w:val="24"/>
        </w:rPr>
        <w:t>ção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fundamentais para desenvolvimento de um ciclo virtuoso de melhores práticas voltados para o aperfeiçoamento, retenção e qualidade do capital humano </w:t>
      </w:r>
      <w:r>
        <w:rPr>
          <w:rFonts w:ascii="Times New Roman" w:hAnsi="Times New Roman"/>
          <w:sz w:val="24"/>
          <w:szCs w:val="24"/>
        </w:rPr>
        <w:t>(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POMI, 2002; </w:t>
      </w:r>
      <w:r>
        <w:rPr>
          <w:rFonts w:ascii="Times New Roman" w:hAnsi="Times New Roman"/>
          <w:sz w:val="24"/>
          <w:szCs w:val="24"/>
        </w:rPr>
        <w:t>ASSIS, 2012).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A escassez de dados consolidados sobre a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es-ES_tradnl"/>
        </w:rPr>
        <w:t>de ocupacional dos servidores p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blicos brasileiros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nas mais diferentes ocupações, dificulta o entendimento do seu perfil de adoecimento, limitando a formulação de pol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ticas p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blicas de promoçã</w:t>
      </w:r>
      <w:r>
        <w:rPr>
          <w:rFonts w:ascii="Times New Roman" w:hAnsi="Times New Roman"/>
          <w:sz w:val="24"/>
          <w:szCs w:val="24"/>
          <w:lang w:val="it-IT"/>
        </w:rPr>
        <w:t>o e preven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 w:rsidRPr="007F170D">
        <w:rPr>
          <w:rFonts w:ascii="Times New Roman" w:hAnsi="Times New Roman"/>
          <w:sz w:val="24"/>
          <w:szCs w:val="24"/>
          <w:lang w:val="pt-BR"/>
        </w:rPr>
        <w:t>saú</w:t>
      </w:r>
      <w:r>
        <w:rPr>
          <w:rFonts w:ascii="Times New Roman" w:hAnsi="Times New Roman"/>
          <w:sz w:val="24"/>
          <w:szCs w:val="24"/>
          <w:lang w:val="pt-PT"/>
        </w:rPr>
        <w:t xml:space="preserve">de e segurança dos agravos ocupacionais (CARNEIRO, 2006). </w:t>
      </w:r>
    </w:p>
    <w:p w:rsidR="00A33A7C" w:rsidRP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A função dos indicadores como instrumento de gerenciamento na administração pública é exatamente confirmar 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a representatividade </w:t>
      </w:r>
      <w:r>
        <w:rPr>
          <w:rFonts w:ascii="Times New Roman" w:hAnsi="Times New Roman"/>
          <w:sz w:val="24"/>
          <w:szCs w:val="24"/>
        </w:rPr>
        <w:t>dos processos/produtos pertinentes à gestão pública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(COSTA, 2013).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Penatti, Zago e Quelhas (2006) asseguram que o absente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smo 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um indicador da relação entre o desenvolvimento sustent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vel e a qualidade de vida, que reflete-se al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m das organizações como um problema social, econ</w:t>
      </w:r>
      <w:r w:rsidRPr="007F170D">
        <w:rPr>
          <w:rFonts w:ascii="Times New Roman" w:hAnsi="Times New Roman"/>
          <w:sz w:val="24"/>
          <w:szCs w:val="24"/>
          <w:lang w:val="pt-BR"/>
        </w:rPr>
        <w:t>ô</w:t>
      </w:r>
      <w:r>
        <w:rPr>
          <w:rFonts w:ascii="Times New Roman" w:hAnsi="Times New Roman"/>
          <w:sz w:val="24"/>
          <w:szCs w:val="24"/>
          <w:lang w:val="pt-PT"/>
        </w:rPr>
        <w:t>mico e de sa</w:t>
      </w:r>
      <w:r w:rsidRPr="007F170D">
        <w:rPr>
          <w:rFonts w:ascii="Times New Roman" w:hAnsi="Times New Roman"/>
          <w:sz w:val="24"/>
          <w:szCs w:val="24"/>
          <w:lang w:val="pt-BR"/>
        </w:rPr>
        <w:t>úde pú</w:t>
      </w:r>
      <w:r>
        <w:rPr>
          <w:rFonts w:ascii="Times New Roman" w:hAnsi="Times New Roman"/>
          <w:sz w:val="24"/>
          <w:szCs w:val="24"/>
          <w:lang w:val="pt-PT"/>
        </w:rPr>
        <w:t xml:space="preserve">blica. </w:t>
      </w:r>
    </w:p>
    <w:p w:rsidR="00A33A7C" w:rsidRP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70D">
        <w:rPr>
          <w:rFonts w:ascii="Times New Roman" w:hAnsi="Times New Roman"/>
          <w:color w:val="000000" w:themeColor="text1"/>
          <w:sz w:val="24"/>
          <w:szCs w:val="24"/>
        </w:rPr>
        <w:t>O absenteísmo por doença  no serviço público aumenta o número de dias perdidos de trabalho, produz insatisfação e sobrecarga dos funcionários presentes, alé</w:t>
      </w:r>
      <w:r w:rsidR="007F170D" w:rsidRPr="007F170D">
        <w:rPr>
          <w:rFonts w:ascii="Times New Roman" w:hAnsi="Times New Roman"/>
          <w:color w:val="000000" w:themeColor="text1"/>
          <w:sz w:val="24"/>
          <w:szCs w:val="24"/>
        </w:rPr>
        <w:t>m de reduzir a</w:t>
      </w:r>
      <w:r w:rsidR="007F170D" w:rsidRPr="007F1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>produção e aumentar o custo operacional gerando impacto nas contas públicas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>(ANDRADE et al, 2008). Este tipo de afastamento do trabalho têm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>preocupado a sociedade de forma geral pelo alto índices de licenças médicas e dias não trabalhados para o setor público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>( SALA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>et al ,20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pt-BR"/>
        </w:rPr>
        <w:t>10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>; ANDRADE, et al 2008)</w:t>
      </w:r>
    </w:p>
    <w:p w:rsidR="007F170D" w:rsidRP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170D">
        <w:rPr>
          <w:rFonts w:ascii="Times New Roman" w:hAnsi="Times New Roman"/>
          <w:color w:val="000000" w:themeColor="text1"/>
          <w:sz w:val="24"/>
          <w:szCs w:val="24"/>
        </w:rPr>
        <w:t>O absenteísmo doença,  motivado por morbidade ocupacional ou não, acarreta um alto í</w:t>
      </w:r>
      <w:proofErr w:type="spellStart"/>
      <w:r w:rsidRPr="007F170D">
        <w:rPr>
          <w:rFonts w:ascii="Times New Roman" w:hAnsi="Times New Roman"/>
          <w:color w:val="000000" w:themeColor="text1"/>
          <w:sz w:val="24"/>
          <w:szCs w:val="24"/>
          <w:lang w:val="fr-FR"/>
        </w:rPr>
        <w:t>ndice</w:t>
      </w:r>
      <w:proofErr w:type="spellEnd"/>
      <w:r w:rsidRPr="007F170D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licen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>ç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as m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fr-FR"/>
        </w:rPr>
        <w:t>é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>dicas e dias não trabalhados, podem ser desencadeados especificamente por síndromes psicol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es-ES_tradnl"/>
        </w:rPr>
        <w:t>ó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 xml:space="preserve">gicas,  associados ou não a fatores psicossociais, ao ambiente de trabalho e </w:t>
      </w:r>
    </w:p>
    <w:p w:rsidR="007F170D" w:rsidRPr="007F170D" w:rsidRDefault="007F170D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33A7C" w:rsidRPr="007F170D" w:rsidRDefault="004B5BEF">
      <w:pPr>
        <w:pStyle w:val="alneacxspmidd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70D">
        <w:rPr>
          <w:rFonts w:ascii="Times New Roman" w:hAnsi="Times New Roman"/>
          <w:color w:val="000000" w:themeColor="text1"/>
          <w:sz w:val="24"/>
          <w:szCs w:val="24"/>
        </w:rPr>
        <w:lastRenderedPageBreak/>
        <w:t>econômico, e gera custos diretos e indiretos para empresas públicas ou privadas e toda a sociedade ( SALA et al, 20</w:t>
      </w:r>
      <w:r w:rsidRPr="007F170D">
        <w:rPr>
          <w:rFonts w:ascii="Times New Roman" w:hAnsi="Times New Roman"/>
          <w:color w:val="000000" w:themeColor="text1"/>
          <w:sz w:val="24"/>
          <w:szCs w:val="24"/>
          <w:lang w:val="pt-BR"/>
        </w:rPr>
        <w:t>10</w:t>
      </w:r>
      <w:r w:rsidRPr="007F170D">
        <w:rPr>
          <w:rFonts w:ascii="Times New Roman" w:hAnsi="Times New Roman"/>
          <w:color w:val="000000" w:themeColor="text1"/>
          <w:sz w:val="24"/>
          <w:szCs w:val="24"/>
        </w:rPr>
        <w:t xml:space="preserve">; ANDRADE et al, 2008).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>A aus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ao serviço decorrente de doenç</w:t>
      </w:r>
      <w:r>
        <w:rPr>
          <w:rFonts w:ascii="Times New Roman" w:hAnsi="Times New Roman"/>
          <w:sz w:val="24"/>
          <w:szCs w:val="24"/>
          <w:lang w:val="es-ES_tradnl"/>
        </w:rPr>
        <w:t>a certificada por licen</w:t>
      </w:r>
      <w:r>
        <w:rPr>
          <w:rFonts w:ascii="Times New Roman" w:hAnsi="Times New Roman"/>
          <w:sz w:val="24"/>
          <w:szCs w:val="24"/>
          <w:lang w:val="pt-PT"/>
        </w:rPr>
        <w:t>ç</w:t>
      </w:r>
      <w:r w:rsidRPr="007F170D">
        <w:rPr>
          <w:rFonts w:ascii="Times New Roman" w:hAnsi="Times New Roman"/>
          <w:sz w:val="24"/>
          <w:szCs w:val="24"/>
          <w:lang w:val="pt-BR"/>
        </w:rPr>
        <w:t>a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 xml:space="preserve">dica, 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usualmente denominada de absente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nl-NL"/>
        </w:rPr>
        <w:t>smo-doen</w:t>
      </w:r>
      <w:r>
        <w:rPr>
          <w:rFonts w:ascii="Times New Roman" w:hAnsi="Times New Roman"/>
          <w:sz w:val="24"/>
          <w:szCs w:val="24"/>
          <w:lang w:val="pt-PT"/>
        </w:rPr>
        <w:t>ça segundo o Permanent Comission and International Association on Occuppational Health: Sub-Commmittee on Absenteeism (1973), considerada um importante indicador da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 Ocupacional, fornecendo informações sobre mobi-mortalidade dos trabalhadores ( HENSING 2009)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3.Metodologia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Trata-se de um estudo transversal, descritivo e explorat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rio, de abordagem quantitativa com o objetivo de analisar o perfil epidemiol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gico dos servidores do Col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gio Pedro II como ferramenta de gestão de pessoas, no qual foram analisadas 2.537 licenças para tratamento de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de, de uma população de 1.881 servidores, no per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odo de 01 de janeiro de 2012 a 31 de dezembro de 2014, gerando o afastamento de 750 servidores por 21.018 dias de suas atividades laborais.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 avaliaçã</w:t>
      </w:r>
      <w:r>
        <w:rPr>
          <w:rFonts w:ascii="Times New Roman" w:hAnsi="Times New Roman"/>
          <w:sz w:val="24"/>
          <w:szCs w:val="24"/>
          <w:lang w:val="es-ES_tradnl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estat</w:t>
      </w:r>
      <w:proofErr w:type="spellEnd"/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stica compreendeu a realização de an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lise descritiva, considerando as caracter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sticas 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cio demogr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ficas e funcionais, com utilização de medidas separtrizes, e coeficiente de assimetria, Qui quadrado de Pearson ao n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vel de signific</w:t>
      </w:r>
      <w:r w:rsidRPr="007F170D">
        <w:rPr>
          <w:rFonts w:ascii="Times New Roman" w:hAnsi="Times New Roman"/>
          <w:sz w:val="24"/>
          <w:szCs w:val="24"/>
          <w:lang w:val="pt-BR"/>
        </w:rPr>
        <w:t>â</w:t>
      </w:r>
      <w:r>
        <w:rPr>
          <w:rFonts w:ascii="Times New Roman" w:hAnsi="Times New Roman"/>
          <w:sz w:val="24"/>
          <w:szCs w:val="24"/>
          <w:lang w:val="pt-PT"/>
        </w:rPr>
        <w:t>ncia de 5% (</w:t>
      </w:r>
      <w:r>
        <w:rPr>
          <w:rFonts w:ascii="Times New Roman" w:hAnsi="Times New Roman"/>
          <w:sz w:val="24"/>
          <w:szCs w:val="24"/>
        </w:rPr>
        <w:t>α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= 0,05), e Odds Ratio (OR), com intervalo de confiança de 95%.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Para an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lise do absente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smo doença, foram calculados e expressos os indicadores recomendados pela Sociedade Internacional de Sa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úde Ocupacional (PERMANENT COMMISSION AND INTERNATIONAL ASSOCIATION ON OCCUPATIONAL HEALTH, 1973, HENSING, 2009). </w:t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4. Resultados e Discussão</w:t>
      </w:r>
    </w:p>
    <w:p w:rsidR="00A33A7C" w:rsidRDefault="004B5BEF">
      <w:pPr>
        <w:pStyle w:val="Padro"/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No per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odo de 2012 a 2014 na população estudada, 750 servidores apresentaram 2.537 licenças para tratamento de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 (LTS), significando uma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dia de 3,4 licenças por servidor e resultando um total de 21.018 dias de afastamento das atividades laborais.</w:t>
      </w:r>
    </w:p>
    <w:p w:rsidR="007F170D" w:rsidRPr="007F170D" w:rsidRDefault="007F170D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7F170D" w:rsidRDefault="007F170D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7F170D" w:rsidRPr="007F170D" w:rsidRDefault="007F170D" w:rsidP="007F170D">
      <w:pPr>
        <w:pStyle w:val="Padro"/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noProof/>
          <w:lang w:val="pt-BR"/>
        </w:rPr>
        <w:lastRenderedPageBreak/>
        <w:drawing>
          <wp:anchor distT="0" distB="0" distL="0" distR="0" simplePos="0" relativeHeight="251665408" behindDoc="0" locked="0" layoutInCell="1" allowOverlap="1" wp14:anchorId="39BC170A" wp14:editId="7FCC9A78">
            <wp:simplePos x="0" y="0"/>
            <wp:positionH relativeFrom="page">
              <wp:posOffset>1371600</wp:posOffset>
            </wp:positionH>
            <wp:positionV relativeFrom="page">
              <wp:posOffset>2438400</wp:posOffset>
            </wp:positionV>
            <wp:extent cx="5353050" cy="7200900"/>
            <wp:effectExtent l="0" t="0" r="0" b="0"/>
            <wp:wrapTopAndBottom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20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170D">
        <w:rPr>
          <w:rFonts w:ascii="Times New Roman" w:hAnsi="Times New Roman"/>
          <w:sz w:val="20"/>
          <w:szCs w:val="20"/>
          <w:lang w:val="pt-BR"/>
        </w:rPr>
        <w:t xml:space="preserve">Tabela 1 – </w:t>
      </w:r>
      <w:r>
        <w:rPr>
          <w:rFonts w:ascii="Times New Roman" w:hAnsi="Times New Roman"/>
          <w:sz w:val="20"/>
          <w:szCs w:val="20"/>
          <w:lang w:val="nl-NL"/>
        </w:rPr>
        <w:t>Preval</w:t>
      </w:r>
      <w:r>
        <w:rPr>
          <w:rFonts w:ascii="Times New Roman" w:hAnsi="Times New Roman"/>
          <w:sz w:val="20"/>
          <w:szCs w:val="20"/>
          <w:lang w:val="fr-FR"/>
        </w:rPr>
        <w:t>ê</w:t>
      </w:r>
      <w:r>
        <w:rPr>
          <w:rFonts w:ascii="Times New Roman" w:hAnsi="Times New Roman"/>
          <w:sz w:val="20"/>
          <w:szCs w:val="20"/>
          <w:lang w:val="es-ES_tradnl"/>
        </w:rPr>
        <w:t>ncia de licen</w:t>
      </w:r>
      <w:r>
        <w:rPr>
          <w:rFonts w:ascii="Times New Roman" w:hAnsi="Times New Roman"/>
          <w:sz w:val="20"/>
          <w:szCs w:val="20"/>
          <w:lang w:val="pt-PT"/>
        </w:rPr>
        <w:t>ças e m</w:t>
      </w:r>
      <w:r>
        <w:rPr>
          <w:rFonts w:ascii="Times New Roman" w:hAnsi="Times New Roman"/>
          <w:sz w:val="20"/>
          <w:szCs w:val="20"/>
          <w:lang w:val="fr-FR"/>
        </w:rPr>
        <w:t>é</w:t>
      </w:r>
      <w:r>
        <w:rPr>
          <w:rFonts w:ascii="Times New Roman" w:hAnsi="Times New Roman"/>
          <w:sz w:val="20"/>
          <w:szCs w:val="20"/>
          <w:lang w:val="pt-PT"/>
        </w:rPr>
        <w:t>dia de tempo dos epis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 w:rsidRPr="007F170D">
        <w:rPr>
          <w:rFonts w:ascii="Times New Roman" w:hAnsi="Times New Roman"/>
          <w:sz w:val="20"/>
          <w:szCs w:val="20"/>
          <w:lang w:val="pt-BR"/>
        </w:rPr>
        <w:t>dios</w:t>
      </w:r>
    </w:p>
    <w:p w:rsidR="007F170D" w:rsidRDefault="007F170D" w:rsidP="007F170D">
      <w:pPr>
        <w:pStyle w:val="Padro"/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                          </w:t>
      </w:r>
    </w:p>
    <w:p w:rsidR="007F170D" w:rsidRPr="007F170D" w:rsidRDefault="007F170D" w:rsidP="007F170D">
      <w:pPr>
        <w:pStyle w:val="Padro"/>
        <w:spacing w:after="120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it-IT"/>
        </w:rPr>
        <w:t>Fonte: autoria pr</w:t>
      </w:r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pria com base em dados de pesquisa</w:t>
      </w:r>
    </w:p>
    <w:p w:rsidR="007F170D" w:rsidRDefault="007F170D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>A distribuiçã</w:t>
      </w:r>
      <w:r>
        <w:rPr>
          <w:rFonts w:ascii="Times New Roman" w:hAnsi="Times New Roman"/>
          <w:sz w:val="24"/>
          <w:szCs w:val="24"/>
          <w:lang w:val="it-IT"/>
        </w:rPr>
        <w:t>o d</w:t>
      </w:r>
      <w:r w:rsidRPr="007F170D">
        <w:rPr>
          <w:rFonts w:ascii="Times New Roman" w:hAnsi="Times New Roman"/>
          <w:sz w:val="24"/>
          <w:szCs w:val="24"/>
          <w:lang w:val="pt-BR"/>
        </w:rPr>
        <w:t>as licenças</w:t>
      </w:r>
      <w:r>
        <w:rPr>
          <w:rFonts w:ascii="Times New Roman" w:hAnsi="Times New Roman"/>
          <w:sz w:val="24"/>
          <w:szCs w:val="24"/>
          <w:lang w:val="pt-PT"/>
        </w:rPr>
        <w:t xml:space="preserve"> segundo as vari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veis 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cio demogr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ficas estudadas revelou que as LTS, foram mais frequentes: nos servidores do sexo feminino (74,7%), da faixa et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ria de 41 a 50 anos (31%), da raça branca (80%), do estado civil casado (50,4%), com grau de escolaridade de especializaçã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o (33,5%). (Tabela 1)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Apesar das mulheres apresentaram preval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na quantidade de licenças (74,7%), o tempo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dio de dias licenças foi maior no sexo masculino, com 10,3 dias de duração (onde 75% destas licenças tiveram a duração de at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 xml:space="preserve">8 dias). (Tabela1)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O predom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nio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licen</w:t>
      </w:r>
      <w:r>
        <w:rPr>
          <w:rFonts w:ascii="Times New Roman" w:hAnsi="Times New Roman"/>
          <w:sz w:val="24"/>
          <w:szCs w:val="24"/>
          <w:lang w:val="pt-PT"/>
        </w:rPr>
        <w:t xml:space="preserve">ças entre servidores do sexo feminino, do estado civil casado e da etnia branca, foram evidenciados em estudos realizados em diversos </w:t>
      </w:r>
      <w:r w:rsidRPr="007F170D">
        <w:rPr>
          <w:rFonts w:ascii="Times New Roman" w:hAnsi="Times New Roman"/>
          <w:sz w:val="24"/>
          <w:szCs w:val="24"/>
          <w:lang w:val="pt-BR"/>
        </w:rPr>
        <w:t>â</w:t>
      </w:r>
      <w:r>
        <w:rPr>
          <w:rFonts w:ascii="Times New Roman" w:hAnsi="Times New Roman"/>
          <w:sz w:val="24"/>
          <w:szCs w:val="24"/>
          <w:lang w:val="pt-PT"/>
        </w:rPr>
        <w:t>mbitos da administraçã</w:t>
      </w:r>
      <w:r w:rsidRPr="007F170D">
        <w:rPr>
          <w:rFonts w:ascii="Times New Roman" w:hAnsi="Times New Roman"/>
          <w:sz w:val="24"/>
          <w:szCs w:val="24"/>
          <w:lang w:val="pt-BR"/>
        </w:rPr>
        <w:t>o pú</w:t>
      </w:r>
      <w:r>
        <w:rPr>
          <w:rFonts w:ascii="Times New Roman" w:hAnsi="Times New Roman"/>
          <w:sz w:val="24"/>
          <w:szCs w:val="24"/>
          <w:lang w:val="pt-PT"/>
        </w:rPr>
        <w:t>blica brasileira (CUNHA, BLANK E BOING, 2009; RIBEIRO, 2010; LE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ÃO, 2012; SILVA, 2010) </w:t>
      </w:r>
    </w:p>
    <w:p w:rsidR="00A33A7C" w:rsidRDefault="004B5BEF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Os servidores com n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vel superior geraram um maior n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mero de aus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ncias, assemelhando- se com a pesquisa de Silva (2010), com servidores p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blicos de uma IFES de Salvador, e com o estudo de Leão (2012), com servidores municipais de Goi</w:t>
      </w:r>
      <w:r w:rsidRPr="007F170D">
        <w:rPr>
          <w:rFonts w:ascii="Times New Roman" w:hAnsi="Times New Roman"/>
          <w:sz w:val="24"/>
          <w:szCs w:val="24"/>
          <w:lang w:val="pt-BR"/>
        </w:rPr>
        <w:t>â</w:t>
      </w:r>
      <w:r>
        <w:rPr>
          <w:rFonts w:ascii="Times New Roman" w:hAnsi="Times New Roman"/>
          <w:sz w:val="24"/>
          <w:szCs w:val="24"/>
          <w:lang w:val="pt-PT"/>
        </w:rPr>
        <w:t>nia .As LTS, foram predominantes na faixa et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ria de 41 a 50 anos, como o aprestando no estudo de Ribeiro (2010) e</w:t>
      </w:r>
      <w:r w:rsidR="007F170D">
        <w:rPr>
          <w:rFonts w:ascii="Times New Roman" w:hAnsi="Times New Roman"/>
          <w:sz w:val="24"/>
          <w:szCs w:val="24"/>
          <w:lang w:val="pt-PT"/>
        </w:rPr>
        <w:t xml:space="preserve"> de Cunha, Blank e Boing (2009)</w:t>
      </w:r>
      <w:r w:rsidR="00701F3B">
        <w:rPr>
          <w:rFonts w:ascii="Times New Roman" w:hAnsi="Times New Roman"/>
          <w:sz w:val="24"/>
          <w:szCs w:val="24"/>
          <w:lang w:val="pt-PT"/>
        </w:rPr>
        <w:t>.</w:t>
      </w:r>
    </w:p>
    <w:p w:rsidR="00701F3B" w:rsidRDefault="00701F3B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A An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lise da LTS entre servidores segundo a população total da comunidade do col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gio Pedro II, demonstrou que os servidores do sexo  feminino apresentam a prevalência de 46,5% de utiizar LTS, com 2,06 (IC 95%  1,60 – 2,50) mais chances em relação ao sexo masculino. Tabela 2 </w:t>
      </w:r>
    </w:p>
    <w:p w:rsidR="00701F3B" w:rsidRDefault="00701F3B" w:rsidP="00701F3B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Os servidores da faixa et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ria de 61 anos ou mais (60,8%), do estado civil vi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vo (50%), com titulação de doutorado apresentar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am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maior preval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ncia de utilizar LTS. </w:t>
      </w:r>
    </w:p>
    <w:p w:rsidR="00F6358E" w:rsidRPr="00F6358E" w:rsidRDefault="00701F3B" w:rsidP="00701F3B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Os servidores com titulação de doutorado possuem 7,39 (IC 95 % 4,53- 2,06) mais chances de entrarem em licença, assim como os docentes com 1,74( IC 95 % 1,44- 2,11) e os servidores com tempo de serviço de 4 a 10 anos com 3, 63 (IC 95 % 2,81--4,08). ( Tabela 2) </w:t>
      </w:r>
    </w:p>
    <w:p w:rsidR="00701F3B" w:rsidRPr="007F170D" w:rsidRDefault="00F6358E" w:rsidP="00701F3B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Araú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jo (2012), aponta o 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rmino do est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gio probat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rio (per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odo de 3 anos em que os servidores efetivos não possuem estabilidade), ), como fator determinante para tal ocorr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ncia</w:t>
      </w:r>
      <w:r w:rsidR="00F64966"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. Resultados semelhantes foram encontrados tamb</w:t>
      </w:r>
      <w:r w:rsidR="00F64966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 w:rsidR="00F64966"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m nos estudos de Leã</w:t>
      </w:r>
      <w:r w:rsidR="00F64966"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o (2012).</w:t>
      </w:r>
    </w:p>
    <w:p w:rsidR="00F6358E" w:rsidRDefault="00F6358E" w:rsidP="00F6358E">
      <w:pPr>
        <w:pStyle w:val="Padro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F6358E" w:rsidRDefault="00F6358E" w:rsidP="00F6358E">
      <w:pPr>
        <w:pStyle w:val="Padro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4B5BEF" w:rsidP="00F64966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Tabela 2- Licenças (LTS), segundo vari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veis s</w:t>
      </w:r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cio-demogr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ficas e funcionais</w:t>
      </w:r>
    </w:p>
    <w:p w:rsidR="00A33A7C" w:rsidRPr="007F170D" w:rsidRDefault="00F6358E">
      <w:pPr>
        <w:pStyle w:val="Padro"/>
        <w:jc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noProof/>
          <w:lang w:val="pt-BR"/>
        </w:rPr>
        <w:lastRenderedPageBreak/>
        <w:drawing>
          <wp:anchor distT="0" distB="0" distL="0" distR="0" simplePos="0" relativeHeight="251667456" behindDoc="0" locked="0" layoutInCell="1" allowOverlap="1" wp14:anchorId="2B9B3D05" wp14:editId="7D80A7E7">
            <wp:simplePos x="0" y="0"/>
            <wp:positionH relativeFrom="page">
              <wp:posOffset>1544955</wp:posOffset>
            </wp:positionH>
            <wp:positionV relativeFrom="page">
              <wp:posOffset>2222500</wp:posOffset>
            </wp:positionV>
            <wp:extent cx="4886960" cy="6842125"/>
            <wp:effectExtent l="0" t="0" r="8890" b="0"/>
            <wp:wrapThrough wrapText="bothSides" distL="0" distR="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6842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8B2EE6" w:rsidP="008B2EE6">
      <w:pPr>
        <w:pStyle w:val="Padro"/>
        <w:tabs>
          <w:tab w:val="left" w:pos="3933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  <w:tab/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701F3B" w:rsidRPr="007F170D" w:rsidRDefault="00701F3B" w:rsidP="00701F3B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7F170D" w:rsidRDefault="007F170D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7F170D" w:rsidRDefault="007F170D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7F170D" w:rsidRDefault="007F170D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8B2EE6" w:rsidRDefault="008B2EE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8B2EE6" w:rsidRDefault="008B2EE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8B2EE6" w:rsidRDefault="008B2EE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8B2EE6" w:rsidRDefault="008B2EE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8B2EE6" w:rsidRDefault="008B2EE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8B2EE6" w:rsidRDefault="008B2EE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A33A7C" w:rsidRPr="007F170D" w:rsidRDefault="004B5BEF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it-IT"/>
        </w:rPr>
        <w:t>Fonte: autoria pr</w:t>
      </w:r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 xml:space="preserve">pria com base em dados de pesquisa </w:t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 w:rsidP="00F64966">
      <w:pPr>
        <w:pStyle w:val="Padro"/>
        <w:pBdr>
          <w:right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4B5BEF" w:rsidP="00F64966">
      <w:pPr>
        <w:pStyle w:val="Padro"/>
        <w:pBdr>
          <w:right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 xml:space="preserve">4.2 PERFIL DE MORBIDADE </w:t>
      </w:r>
    </w:p>
    <w:p w:rsidR="00A33A7C" w:rsidRPr="00F64966" w:rsidRDefault="004B5BEF" w:rsidP="00F64966">
      <w:pPr>
        <w:pStyle w:val="Padro"/>
        <w:pBdr>
          <w:right w:val="nil"/>
        </w:pBd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A maior preval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de Licenças para tratamento de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 (LTS), ocorreu sob um CID relacionado com "fatores que influenciam o estado de de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 e contato com serviç</w:t>
      </w:r>
      <w:r>
        <w:rPr>
          <w:rFonts w:ascii="Times New Roman" w:hAnsi="Times New Roman"/>
          <w:sz w:val="24"/>
          <w:szCs w:val="24"/>
          <w:lang w:val="es-ES_tradnl"/>
        </w:rPr>
        <w:t>os de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 xml:space="preserve">de", ligados a organização do modo de vida, o CID Z (15,3%). Esta categoria de CID 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 xml:space="preserve">utilizada quando na verdade, não existe doença ou trauma e o atestado 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apresentado para justificativa de afastamento do servidor (LE</w:t>
      </w:r>
      <w:r w:rsidRPr="007F170D">
        <w:rPr>
          <w:rFonts w:ascii="Times New Roman" w:hAnsi="Times New Roman"/>
          <w:sz w:val="24"/>
          <w:szCs w:val="24"/>
          <w:lang w:val="pt-BR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O, 2012; SANTOS E MATTOS, 20</w:t>
      </w:r>
      <w:r w:rsidRPr="007F170D">
        <w:rPr>
          <w:rFonts w:ascii="Times New Roman" w:hAnsi="Times New Roman"/>
          <w:sz w:val="24"/>
          <w:szCs w:val="24"/>
          <w:lang w:val="pt-BR"/>
        </w:rPr>
        <w:t>10). (Figura 1</w:t>
      </w:r>
      <w:r w:rsidR="00F64966">
        <w:rPr>
          <w:rFonts w:ascii="Times New Roman" w:hAnsi="Times New Roman"/>
          <w:sz w:val="24"/>
          <w:szCs w:val="24"/>
          <w:lang w:val="pt-BR"/>
        </w:rPr>
        <w:t>)</w:t>
      </w:r>
    </w:p>
    <w:p w:rsidR="00A33A7C" w:rsidRPr="007F170D" w:rsidRDefault="00F64966" w:rsidP="00F64966">
      <w:pPr>
        <w:pStyle w:val="Padro"/>
        <w:pBdr>
          <w:right w:val="nil"/>
        </w:pBdr>
        <w:spacing w:after="12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>
        <w:rPr>
          <w:noProof/>
          <w:lang w:val="pt-BR"/>
        </w:rPr>
        <w:drawing>
          <wp:anchor distT="0" distB="0" distL="0" distR="0" simplePos="0" relativeHeight="251669504" behindDoc="0" locked="0" layoutInCell="1" allowOverlap="1" wp14:anchorId="0D7BEB06" wp14:editId="65F3F85B">
            <wp:simplePos x="0" y="0"/>
            <wp:positionH relativeFrom="page">
              <wp:posOffset>1043940</wp:posOffset>
            </wp:positionH>
            <wp:positionV relativeFrom="page">
              <wp:posOffset>4245610</wp:posOffset>
            </wp:positionV>
            <wp:extent cx="5336540" cy="4532630"/>
            <wp:effectExtent l="0" t="0" r="16510" b="20320"/>
            <wp:wrapTopAndBottom distT="0" distB="0"/>
            <wp:docPr id="1073741828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4B5BEF"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 xml:space="preserve">Figura 1- Porcentagem de </w:t>
      </w:r>
      <w:r w:rsidR="004B5BEF"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 Licen</w:t>
      </w:r>
      <w:r w:rsidR="004B5BEF">
        <w:rPr>
          <w:rFonts w:ascii="Times New Roman" w:hAnsi="Times New Roman"/>
          <w:sz w:val="20"/>
          <w:szCs w:val="20"/>
          <w:shd w:val="clear" w:color="auto" w:fill="FFFFFF"/>
          <w:lang w:val="pt-PT"/>
        </w:rPr>
        <w:t xml:space="preserve">ças (LTS) segundo CID </w:t>
      </w:r>
    </w:p>
    <w:p w:rsidR="00F6358E" w:rsidRPr="007F170D" w:rsidRDefault="00F6358E" w:rsidP="00F64966">
      <w:pPr>
        <w:pStyle w:val="Padro"/>
        <w:pBdr>
          <w:right w:val="nil"/>
        </w:pBd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 w:rsidP="00F64966">
      <w:pPr>
        <w:pStyle w:val="Padro"/>
        <w:pBdr>
          <w:right w:val="nil"/>
        </w:pBd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4B5BEF" w:rsidP="00F64966">
      <w:pPr>
        <w:pStyle w:val="Padro"/>
        <w:pBdr>
          <w:right w:val="nil"/>
        </w:pBdr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CID- Código Internacional de Doença</w:t>
      </w:r>
    </w:p>
    <w:p w:rsidR="00A33A7C" w:rsidRPr="007F170D" w:rsidRDefault="004B5BEF" w:rsidP="00F64966">
      <w:pPr>
        <w:pStyle w:val="Padro"/>
        <w:pBdr>
          <w:right w:val="nil"/>
        </w:pBdr>
        <w:spacing w:after="240" w:line="320" w:lineRule="atLeast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it-IT"/>
        </w:rPr>
        <w:t>Fonte: autoria pr</w:t>
      </w:r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pria com base em dados de pesquisa</w:t>
      </w:r>
    </w:p>
    <w:p w:rsidR="00A33A7C" w:rsidRPr="007F170D" w:rsidRDefault="00A33A7C" w:rsidP="00F64966">
      <w:pPr>
        <w:pStyle w:val="Padro"/>
        <w:pBdr>
          <w:right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 w:rsidP="00F64966">
      <w:pPr>
        <w:pStyle w:val="Padro"/>
        <w:pBdr>
          <w:right w:val="nil"/>
        </w:pBd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F6358E" w:rsidRDefault="00F6358E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6358E" w:rsidRDefault="00F6358E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6358E" w:rsidRPr="00F64966" w:rsidRDefault="00F6358E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Os transtornos respirat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rios (14,8%, CID J), apresentaram a maior preval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das LTS do estudo, seguido de doenças osteomusculares e do tecido conjuntivo (11,6%,CID M), das doenças do sistema digestivo (9,6%,CID K), sendo os servidores do sexo feminino mais afetadas por estas. Os transtornos mentais e comportamentais aparecem como a quarta comorbidade que mais gerou LTS (7% ,CID F), sendo os servidores do sexo masculino mais afetados (10,6%). (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Figura 1). </w:t>
      </w:r>
    </w:p>
    <w:p w:rsidR="00A33A7C" w:rsidRDefault="004B5BEF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Quanto ao tempo de afastamento, as doença que geraram licenças de maior per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odo de afastamento, foram as neoplasias com 29,5 dias em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dia (assimetria tende a zero, o que significa que os dados nã</w:t>
      </w:r>
      <w:r>
        <w:rPr>
          <w:rFonts w:ascii="Times New Roman" w:hAnsi="Times New Roman"/>
          <w:sz w:val="24"/>
          <w:szCs w:val="24"/>
          <w:lang w:val="es-ES_tradnl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est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ão muito dispersos, onde 75% dos servidores tiraram at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56 dias de licença), seguidos dos transtornos mentais com 23,8 dias, e os carcinomas com 22 dias em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dia. (Tabela 3). </w:t>
      </w:r>
    </w:p>
    <w:p w:rsidR="00F64966" w:rsidRPr="007F170D" w:rsidRDefault="00F64966" w:rsidP="00F64966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>As taxas das doenças osteomusculares e do tecido conjuntivo mostraram-se maiores para as mulheres, nos estudos de Cunha, Bla</w:t>
      </w:r>
      <w:r w:rsidRPr="007F170D">
        <w:rPr>
          <w:rFonts w:ascii="Times New Roman" w:hAnsi="Times New Roman"/>
          <w:sz w:val="24"/>
          <w:szCs w:val="24"/>
          <w:lang w:val="pt-BR"/>
        </w:rPr>
        <w:t>n</w:t>
      </w:r>
      <w:r>
        <w:rPr>
          <w:rFonts w:ascii="Times New Roman" w:hAnsi="Times New Roman"/>
          <w:sz w:val="24"/>
          <w:szCs w:val="24"/>
          <w:lang w:val="it-IT"/>
        </w:rPr>
        <w:t>k e Boi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ng (2009); Araujo (2012); Silva (2010). </w:t>
      </w:r>
    </w:p>
    <w:p w:rsidR="00F64966" w:rsidRDefault="00F64966" w:rsidP="00F64966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Estudos realizados por Soegaard (2012), indicou que o sexo feminino pode ser um preditor do desenvolvimento da depressão, enquanto indicadores 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cio-demogr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 xml:space="preserve">ficos, como viver sozinhos e desemprego, podem ser uma conseqüência de ter desenvolvido um transtorno mental. A depressão mostrou uma taxa de retorno significativamente menor para o trabalho e a ansiedade mostrou uma taxa significativamente maior. </w:t>
      </w:r>
    </w:p>
    <w:p w:rsidR="00F64966" w:rsidRDefault="00F64966" w:rsidP="00F64966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64966" w:rsidRPr="007F170D" w:rsidRDefault="00F64966" w:rsidP="00F64966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4.3 INDICADORES DE ABSENTEÍ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SMO DOEN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Ç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A </w:t>
      </w:r>
    </w:p>
    <w:p w:rsidR="00F64966" w:rsidRPr="007F170D" w:rsidRDefault="00F64966" w:rsidP="00F64966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>Le</w:t>
      </w:r>
      <w:r>
        <w:rPr>
          <w:rFonts w:ascii="Times New Roman" w:hAnsi="Times New Roman"/>
          <w:sz w:val="24"/>
          <w:szCs w:val="24"/>
          <w:lang w:val="pt-PT"/>
        </w:rPr>
        <w:t>ão (2012) e Hensing (2009), afirmam, que os indicadores de absente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nl-NL"/>
        </w:rPr>
        <w:t>smo-doen</w:t>
      </w:r>
      <w:r>
        <w:rPr>
          <w:rFonts w:ascii="Times New Roman" w:hAnsi="Times New Roman"/>
          <w:sz w:val="24"/>
          <w:szCs w:val="24"/>
          <w:lang w:val="pt-PT"/>
        </w:rPr>
        <w:t>ça (AD), apresentam c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lculos semelhantes, por</w:t>
      </w:r>
      <w:r>
        <w:rPr>
          <w:rFonts w:ascii="Times New Roman" w:hAnsi="Times New Roman"/>
          <w:sz w:val="24"/>
          <w:szCs w:val="24"/>
          <w:lang w:val="fr-FR"/>
        </w:rPr>
        <w:t>é</w:t>
      </w:r>
      <w:r w:rsidRPr="007F170D">
        <w:rPr>
          <w:rFonts w:ascii="Times New Roman" w:hAnsi="Times New Roman"/>
          <w:sz w:val="24"/>
          <w:szCs w:val="24"/>
          <w:lang w:val="pt-BR"/>
        </w:rPr>
        <w:t>m n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es-ES_tradnl"/>
        </w:rPr>
        <w:t>o h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á </w:t>
      </w:r>
      <w:r>
        <w:rPr>
          <w:rFonts w:ascii="Times New Roman" w:hAnsi="Times New Roman"/>
          <w:sz w:val="24"/>
          <w:szCs w:val="24"/>
          <w:lang w:val="pt-PT"/>
        </w:rPr>
        <w:t xml:space="preserve">uniformidade das nomenclaturas para designar estes 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ndices. Hensing (2009), enfatiza, a import</w:t>
      </w:r>
      <w:r w:rsidRPr="007F170D">
        <w:rPr>
          <w:rFonts w:ascii="Times New Roman" w:hAnsi="Times New Roman"/>
          <w:sz w:val="24"/>
          <w:szCs w:val="24"/>
          <w:lang w:val="pt-BR"/>
        </w:rPr>
        <w:t>â</w:t>
      </w:r>
      <w:r>
        <w:rPr>
          <w:rFonts w:ascii="Times New Roman" w:hAnsi="Times New Roman"/>
          <w:sz w:val="24"/>
          <w:szCs w:val="24"/>
          <w:lang w:val="pt-PT"/>
        </w:rPr>
        <w:t xml:space="preserve">ncia da real compreensão de afastamentos do trabalho por doença, como um processo que contribui para a predição de afastamentos futuros e da gravidade da morbidade que provocou o afastamento </w:t>
      </w:r>
    </w:p>
    <w:p w:rsidR="00F64966" w:rsidRPr="00F64966" w:rsidRDefault="00F64966" w:rsidP="00F64966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F64966" w:rsidRDefault="00F64966" w:rsidP="00F64966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64966" w:rsidRPr="007F170D" w:rsidRDefault="00F64966" w:rsidP="00F64966">
      <w:pPr>
        <w:pStyle w:val="Padro"/>
        <w:spacing w:line="36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F64966" w:rsidRDefault="00F64966" w:rsidP="00F6496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pt-BR"/>
        </w:rPr>
      </w:pPr>
    </w:p>
    <w:p w:rsidR="00F64966" w:rsidRDefault="00F64966" w:rsidP="00F6496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pt-BR"/>
        </w:rPr>
      </w:pPr>
    </w:p>
    <w:p w:rsidR="00F64966" w:rsidRPr="007F170D" w:rsidRDefault="00F64966" w:rsidP="00F64966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 xml:space="preserve">Tabela 3 – 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Distribuiçã</w:t>
      </w:r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o de licen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ças segundo CID e m</w:t>
      </w:r>
      <w:r>
        <w:rPr>
          <w:rFonts w:ascii="Times New Roman" w:hAnsi="Times New Roman"/>
          <w:sz w:val="20"/>
          <w:szCs w:val="20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dia de tempo de duraçã</w:t>
      </w:r>
    </w:p>
    <w:p w:rsidR="00A33A7C" w:rsidRPr="007F170D" w:rsidRDefault="00F64966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FFFFFF"/>
          <w:lang w:val="pt-BR"/>
        </w:rPr>
        <w:drawing>
          <wp:anchor distT="0" distB="0" distL="0" distR="0" simplePos="0" relativeHeight="251671552" behindDoc="0" locked="0" layoutInCell="1" allowOverlap="1" wp14:anchorId="49128A58" wp14:editId="67523519">
            <wp:simplePos x="0" y="0"/>
            <wp:positionH relativeFrom="margin">
              <wp:posOffset>318770</wp:posOffset>
            </wp:positionH>
            <wp:positionV relativeFrom="line">
              <wp:posOffset>149225</wp:posOffset>
            </wp:positionV>
            <wp:extent cx="5143500" cy="721995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219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4B5BEF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\</w:t>
      </w: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</w:p>
    <w:p w:rsidR="00F64966" w:rsidRDefault="00F6496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F64966" w:rsidRDefault="00F6496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F64966" w:rsidRDefault="00F6496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F64966" w:rsidRDefault="00F6496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F64966" w:rsidRDefault="00F6496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F64966" w:rsidRDefault="00F64966">
      <w:pPr>
        <w:pStyle w:val="Padro"/>
        <w:spacing w:line="360" w:lineRule="auto"/>
        <w:jc w:val="center"/>
        <w:rPr>
          <w:rFonts w:ascii="Times New Roman" w:hAnsi="Times New Roman"/>
          <w:sz w:val="20"/>
          <w:szCs w:val="20"/>
          <w:shd w:val="clear" w:color="auto" w:fill="FFFFFF"/>
          <w:lang w:val="it-IT"/>
        </w:rPr>
      </w:pPr>
    </w:p>
    <w:p w:rsidR="00A33A7C" w:rsidRPr="007F170D" w:rsidRDefault="004B5BEF">
      <w:pPr>
        <w:pStyle w:val="Padro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it-IT"/>
        </w:rPr>
        <w:t>Fonte: autoria pr</w:t>
      </w:r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 xml:space="preserve">pria com base em dados de pesquisa </w:t>
      </w:r>
    </w:p>
    <w:p w:rsidR="00A33A7C" w:rsidRDefault="00A33A7C">
      <w:pPr>
        <w:pStyle w:val="Corpo"/>
      </w:pP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lastRenderedPageBreak/>
        <w:t>Esta pesquisa, verificou que preval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absente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smo doença (PAD), foi em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dia de 20%, ou seja,, 20% dos servidores tiveram pelo menos um LTS, no per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odo estudado de 2012 a 2014. A preval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de Licenças (PL), foi em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dia de 45 %, ou seja, para cada 100 servidores, ocorreram mais de 45 licenças de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de. A PAD de 20% e a PL de 45% encontrado neste estudo, aproximam-se dos resultados obtidos por Leão (2012), onde a PAD foi 23% e a PL de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>39,2%. Quanto a sexo, a preval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de LTS foi maior entre mulheres (46,5%). Mesmo apresentando preval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es-ES_tradnl"/>
        </w:rPr>
        <w:t>ncia de licen</w:t>
      </w:r>
      <w:r>
        <w:rPr>
          <w:rFonts w:ascii="Times New Roman" w:hAnsi="Times New Roman"/>
          <w:sz w:val="24"/>
          <w:szCs w:val="24"/>
          <w:lang w:val="pt-PT"/>
        </w:rPr>
        <w:t>ças menor, os homens apresentaram duraçã</w:t>
      </w:r>
      <w:r w:rsidRPr="007F170D">
        <w:rPr>
          <w:rFonts w:ascii="Times New Roman" w:hAnsi="Times New Roman"/>
          <w:sz w:val="24"/>
          <w:szCs w:val="24"/>
          <w:lang w:val="pt-BR"/>
        </w:rPr>
        <w:t>o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>dia de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licen</w:t>
      </w:r>
      <w:r>
        <w:rPr>
          <w:rFonts w:ascii="Times New Roman" w:hAnsi="Times New Roman"/>
          <w:sz w:val="24"/>
          <w:szCs w:val="24"/>
          <w:lang w:val="pt-PT"/>
        </w:rPr>
        <w:t xml:space="preserve">ças maior (DML=10 dias). Estes resultados são semelhantes aos apresentados por Leão (2012), Silva (2010), Cunha, Blank e Boing (2009).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N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o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poss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vel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construir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estrat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gias para obtenção de vantagem competitiva para a organização com base em recursos humanos, sem a plena conscientização e compreensão da responsabilidade que cabe aos gestores (KAMOCHE (2007) apud SYMANIEC-MLICKA (2014). </w:t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after="4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de-DE"/>
        </w:rPr>
        <w:t xml:space="preserve">Tabela 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 xml:space="preserve">4 – 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Indicadores de Absente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smo Doenç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a</w:t>
      </w:r>
      <w:r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FFFFFF"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269029</wp:posOffset>
            </wp:positionV>
            <wp:extent cx="5738404" cy="3013484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df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404" cy="30134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 xml:space="preserve"> </w:t>
      </w:r>
    </w:p>
    <w:p w:rsidR="00A33A7C" w:rsidRPr="007F170D" w:rsidRDefault="004B5BEF">
      <w:pPr>
        <w:pStyle w:val="Padro"/>
        <w:spacing w:after="120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LTS - licen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ças para tratamento de sa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úde; PAD - preval</w:t>
      </w:r>
      <w:r>
        <w:rPr>
          <w:rFonts w:ascii="Times New Roman" w:hAnsi="Times New Roman"/>
          <w:sz w:val="20"/>
          <w:szCs w:val="20"/>
          <w:shd w:val="clear" w:color="auto" w:fill="FFFFFF"/>
          <w:lang w:val="fr-FR"/>
        </w:rPr>
        <w:t>ê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ncia absente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smo doenç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a;</w:t>
      </w:r>
      <w:r w:rsidRPr="007F170D">
        <w:rPr>
          <w:rFonts w:ascii="Arial Unicode MS" w:hAnsi="Arial Unicode MS"/>
          <w:sz w:val="20"/>
          <w:szCs w:val="20"/>
          <w:shd w:val="clear" w:color="auto" w:fill="FFFFFF"/>
          <w:lang w:val="pt-BR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val="it-IT"/>
        </w:rPr>
        <w:t>PL - preval</w:t>
      </w:r>
      <w:r>
        <w:rPr>
          <w:rFonts w:ascii="Times New Roman" w:hAnsi="Times New Roman"/>
          <w:sz w:val="20"/>
          <w:szCs w:val="20"/>
          <w:shd w:val="clear" w:color="auto" w:fill="FFFFFF"/>
          <w:lang w:val="fr-FR"/>
        </w:rPr>
        <w:t>ê</w:t>
      </w:r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ncia de licen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ças; Tg - taxa de gravidade; DAD - duração do absente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smo doenç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a; DML- dura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çã</w:t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>o m</w:t>
      </w:r>
      <w:r>
        <w:rPr>
          <w:rFonts w:ascii="Times New Roman" w:hAnsi="Times New Roman"/>
          <w:sz w:val="20"/>
          <w:szCs w:val="20"/>
          <w:shd w:val="clear" w:color="auto" w:fill="FFFFFF"/>
          <w:lang w:val="fr-FR"/>
        </w:rPr>
        <w:t>é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dia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 xml:space="preserve"> de licen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>ças.</w:t>
      </w:r>
      <w:r w:rsidRPr="007F170D">
        <w:rPr>
          <w:rFonts w:ascii="Arial Unicode MS" w:hAnsi="Arial Unicode MS"/>
          <w:sz w:val="20"/>
          <w:szCs w:val="20"/>
          <w:shd w:val="clear" w:color="auto" w:fill="FFFFFF"/>
          <w:lang w:val="pt-BR"/>
        </w:rPr>
        <w:br/>
      </w:r>
      <w:r w:rsidRPr="007F170D">
        <w:rPr>
          <w:rFonts w:ascii="Times New Roman" w:hAnsi="Times New Roman"/>
          <w:sz w:val="20"/>
          <w:szCs w:val="20"/>
          <w:shd w:val="clear" w:color="auto" w:fill="FFFFFF"/>
          <w:lang w:val="pt-BR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shd w:val="clear" w:color="auto" w:fill="FFFFFF"/>
          <w:lang w:val="it-IT"/>
        </w:rPr>
        <w:t>Fonte: autoria pr</w:t>
      </w:r>
      <w:r>
        <w:rPr>
          <w:rFonts w:ascii="Times New Roman" w:hAnsi="Times New Roman"/>
          <w:sz w:val="20"/>
          <w:szCs w:val="20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0"/>
          <w:szCs w:val="20"/>
          <w:shd w:val="clear" w:color="auto" w:fill="FFFFFF"/>
          <w:lang w:val="pt-PT"/>
        </w:rPr>
        <w:t xml:space="preserve">pria com base em dados de pesquisa </w:t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pt-BR"/>
        </w:rPr>
      </w:pP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F170D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lastRenderedPageBreak/>
        <w:t>5. CONCLUSÃ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O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A crescente import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â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ncia do setor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blico para o desenvolvimento socioecon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ô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mico do pa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 reflete-se no maior interesse dos pesquisadores que buscam respostas sobre m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todos, ferramentas e soluções eficazes para um gerenciamento estrat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gico e sustent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vel das organi- zaçõ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es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blicas (SZYMANIEC-MLICKA, 2014).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O presente estudo realizou um levantamento do perfil epidemiol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gico dos servidores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blicos federais ativos efetivos do Col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gio Pedro II o per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odo de 2012 a 2014, a fim de identificar as morbidades que geraram afastamentos dos servidores de suas atividades laborais, para subsidiar ações de prevençã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o e promo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çã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o de sa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de e segurança e qualidade de vida de vida no trabalho da Seção de Atençã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o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Saú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de e Segurança do servidor (SASS) e da Pr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-reitoria de Gestão de Pessoas do col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gio Pedro II, levando em consideração a Pol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tica de Atençã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o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Saú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de do Servidor ( PASS).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É importante destacar a impossibilidade da associação de doenças ocupacionais ou mesmo mapeamento dos acidentes de trabalho, neste estudo, visto que este tipo de registro não era realizado no per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odo da pesquisa. A determinação de nexo causal, relacionando um acidente ou doença informada, começou a ser realizada no ano de 2016, com a implantação do Sistema SIASS e regularização de processos de trabalho pela equipe de sa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de e segurança (SASS), do Col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gio Pedro II.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Estes resultados acompanham diversos estudos realizados sobre perfil de sa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de ou de absente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smo nacionais e internacionais, com algumas diferenças pontuais em funções da 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rea e atividades ocupacionais em questã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o (LEÃ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O,2012; SILVA, 2010; ARA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ÚJO,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2012; ANDRADE et al 2008; SOEGRAARD, 2012).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O perfil ocupacional delineado aponta para a necessidade de ações e intervençõ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es de sa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de e segurança, reformulação de processos e pol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tica de recursos humanos, voltados para prevenção e qualidade de vida de todos os envolvidos. </w:t>
      </w:r>
    </w:p>
    <w:p w:rsidR="004B5BEF" w:rsidRDefault="004B5BEF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Na era do Conhecimento e dos talentos, da inovação e tecnologia, da velocidade de informações, da transpar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ncia de açõ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es, é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necess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rio perceber que o ser humano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a base da sociedade e de todos os movimentos que envolvem sua evolução. Sendo assim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responsabili- dade da organização por meio da Gestão de Pessoas, buscar o equil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brio do cuidado do seu </w:t>
      </w:r>
    </w:p>
    <w:p w:rsidR="004B5BEF" w:rsidRDefault="004B5BEF">
      <w:pPr>
        <w:pStyle w:val="Padro"/>
        <w:spacing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pt-PT"/>
        </w:rPr>
      </w:pP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lastRenderedPageBreak/>
        <w:t>capital intelectual com custos e investimentos para manutençã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o da saú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de, segurança e bem estar ,como forma de vantagem competitiva e obtenção de posicionamento sustent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vel e de responsabilidade social em um momento de grave crise socioecon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ô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mica, e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tica da atualidade mundial. </w:t>
      </w:r>
    </w:p>
    <w:p w:rsidR="00A33A7C" w:rsidRPr="007F170D" w:rsidRDefault="004B5BEF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>S</w:t>
      </w:r>
      <w:r>
        <w:rPr>
          <w:rFonts w:ascii="Times New Roman" w:hAnsi="Times New Roman"/>
          <w:sz w:val="24"/>
          <w:szCs w:val="24"/>
          <w:lang w:val="pt-PT"/>
        </w:rPr>
        <w:t>ão necess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rias mais pesquisas nesse sentido, para continuidade e melhor compreensã</w:t>
      </w:r>
      <w:r w:rsidRPr="007F170D">
        <w:rPr>
          <w:rFonts w:ascii="Times New Roman" w:hAnsi="Times New Roman"/>
          <w:sz w:val="24"/>
          <w:szCs w:val="24"/>
          <w:lang w:val="pt-BR"/>
        </w:rPr>
        <w:t>o da saú</w:t>
      </w:r>
      <w:r>
        <w:rPr>
          <w:rFonts w:ascii="Times New Roman" w:hAnsi="Times New Roman"/>
          <w:sz w:val="24"/>
          <w:szCs w:val="24"/>
          <w:lang w:val="pt-PT"/>
        </w:rPr>
        <w:t>de do servidor e efetivação da construção da qualidade de vida e bem estar no trabalho de forma pr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tica e aplic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vel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sz w:val="24"/>
          <w:szCs w:val="24"/>
          <w:lang w:val="pt-PT"/>
        </w:rPr>
        <w:t>realidade da Gestão de Pessoas do Col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 xml:space="preserve">gio Pedro II. </w:t>
      </w:r>
    </w:p>
    <w:p w:rsidR="00A33A7C" w:rsidRPr="007F170D" w:rsidRDefault="00A33A7C">
      <w:pPr>
        <w:pStyle w:val="Padro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Default="004B5BEF">
      <w:pPr>
        <w:pStyle w:val="Corpo"/>
        <w:tabs>
          <w:tab w:val="left" w:pos="1785"/>
        </w:tabs>
        <w:rPr>
          <w:b/>
          <w:bCs/>
        </w:rPr>
      </w:pPr>
      <w:r>
        <w:rPr>
          <w:b/>
          <w:bCs/>
          <w:lang w:val="de-DE"/>
        </w:rPr>
        <w:t>REFER</w:t>
      </w:r>
      <w:r>
        <w:rPr>
          <w:b/>
          <w:bCs/>
        </w:rPr>
        <w:t>ÊNCIAS</w:t>
      </w: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AMARAL, R. M.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Gest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ão de Pessoas por Compet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ê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ncias em Organizaçõ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es P</w:t>
      </w:r>
      <w:r w:rsidRPr="007F170D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blicas. 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In: Semin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rio Nacional de Bibliotecas Universit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rias. Universidade Federal de São Carlos (UFS- Car) - São Paulo: 2006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ANDRADE, et al; 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Preval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ê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ncia de absente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smo entre trabalhadores do serviç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o pú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blico</w:t>
      </w:r>
      <w:r>
        <w:rPr>
          <w:rFonts w:ascii="Times New Roman" w:hAnsi="Times New Roman"/>
          <w:sz w:val="24"/>
          <w:szCs w:val="24"/>
          <w:lang w:val="it-IT"/>
        </w:rPr>
        <w:t>. Scientia 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 xml:space="preserve">dica (Porto Alegre) out./dez 2008; 18(4): 166- 171.revistaseletronicas.pucrs.br/ojs/index.php/scientiamedica/article/.../3515.. </w:t>
      </w:r>
      <w:r w:rsidRPr="00E3176D">
        <w:rPr>
          <w:rFonts w:ascii="Times New Roman" w:hAnsi="Times New Roman"/>
          <w:sz w:val="24"/>
          <w:szCs w:val="24"/>
          <w:u w:val="single"/>
          <w:lang w:val="pt-PT"/>
        </w:rPr>
        <w:t>http://revistaseletronicas.pucrs.br/scientiamedica/ojs/index.php/scientiamedica/issue/view/295</w:t>
      </w:r>
      <w:r>
        <w:rPr>
          <w:rFonts w:ascii="Times New Roman" w:hAnsi="Times New Roman"/>
          <w:sz w:val="24"/>
          <w:szCs w:val="24"/>
          <w:lang w:val="pt-PT"/>
        </w:rPr>
        <w:t xml:space="preserve">.Acesso em 25 de outubro de 2015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ARAUJO, J. P.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Afastamento do Trabalho</w:t>
      </w:r>
      <w:r>
        <w:rPr>
          <w:rFonts w:ascii="Times New Roman" w:hAnsi="Times New Roman"/>
          <w:sz w:val="24"/>
          <w:szCs w:val="24"/>
          <w:lang w:val="de-DE"/>
        </w:rPr>
        <w:t>: Absente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it-IT"/>
        </w:rPr>
        <w:t>smo e Presente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smo em uma Instituição Federal de Ensino Superior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 xml:space="preserve">. </w:t>
      </w:r>
      <w:r w:rsidRPr="007F170D">
        <w:rPr>
          <w:rFonts w:ascii="Times New Roman" w:hAnsi="Times New Roman"/>
          <w:sz w:val="24"/>
          <w:szCs w:val="24"/>
          <w:lang w:val="pt-BR"/>
        </w:rPr>
        <w:t>Disserta</w:t>
      </w:r>
      <w:r>
        <w:rPr>
          <w:rFonts w:ascii="Times New Roman" w:hAnsi="Times New Roman"/>
          <w:sz w:val="24"/>
          <w:szCs w:val="24"/>
          <w:lang w:val="pt-PT"/>
        </w:rPr>
        <w:t>ção de Mestrado em Ci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ncias da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 w:rsidR="00E3176D">
        <w:rPr>
          <w:rFonts w:ascii="Times New Roman" w:hAnsi="Times New Roman"/>
          <w:sz w:val="24"/>
          <w:szCs w:val="24"/>
          <w:lang w:val="pt-PT"/>
        </w:rPr>
        <w:t>de da Universidade de</w:t>
      </w:r>
      <w:r>
        <w:rPr>
          <w:rFonts w:ascii="Times New Roman" w:hAnsi="Times New Roman"/>
          <w:sz w:val="24"/>
          <w:szCs w:val="24"/>
          <w:lang w:val="pt-PT"/>
        </w:rPr>
        <w:t>Bras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lia.Bras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lia.2012.</w:t>
      </w:r>
      <w:r w:rsidRPr="00E3176D">
        <w:rPr>
          <w:rFonts w:ascii="Times New Roman" w:hAnsi="Times New Roman"/>
          <w:sz w:val="24"/>
          <w:szCs w:val="24"/>
          <w:u w:val="single"/>
          <w:lang w:val="pt-PT"/>
        </w:rPr>
        <w:t>http://repositorio.unb.br/bitstream/10482/11239/1/2012_JanePereiraAraujo .pdf</w:t>
      </w:r>
      <w:r>
        <w:rPr>
          <w:rFonts w:ascii="Times New Roman" w:hAnsi="Times New Roman"/>
          <w:sz w:val="24"/>
          <w:szCs w:val="24"/>
          <w:lang w:val="pt-PT"/>
        </w:rPr>
        <w:t xml:space="preserve"> Acesso em 23 de setembro de 2015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ARMSTRONG, M. 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Armstrong’s handbook of human resource management practice.</w:t>
      </w:r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11a. ed. London: Kogan Page, 2009.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 xml:space="preserve">ASSIS, M.T.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Indicadores de Gestão de Recursos Humanos</w:t>
      </w:r>
      <w:r>
        <w:rPr>
          <w:rFonts w:ascii="Times New Roman" w:hAnsi="Times New Roman"/>
          <w:sz w:val="24"/>
          <w:szCs w:val="24"/>
          <w:lang w:val="pt-PT"/>
        </w:rPr>
        <w:t xml:space="preserve">. 2a Ed. Rio de Janeiro: Qualitymark, 2012.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lastRenderedPageBreak/>
        <w:t xml:space="preserve">BRASIL.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Decreto No 6.833, de 29 De Abril De 2009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. Institui o Subsistema Integrado de Atençã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o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Saú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de do Servidor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blico Federal - SIASS e o Comitê Gestor de Atençã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o 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Saú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de do Servidor. Presid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ncia da Rep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blica. Casa Civil. DOU de 30.4.2009.Bras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lia, DF. http:// </w:t>
      </w: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E3176D">
        <w:rPr>
          <w:rFonts w:ascii="Times New Roman" w:hAnsi="Times New Roman"/>
          <w:sz w:val="24"/>
          <w:szCs w:val="24"/>
          <w:u w:val="single"/>
          <w:shd w:val="clear" w:color="auto" w:fill="FFFFFF"/>
          <w:lang w:val="pt-PT"/>
        </w:rPr>
        <w:t>www.planalto.gov.br/ccivil_03/_ato2007-2010/2009/decreto/d6833.htm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. Acesso em 31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BRASIL.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Portaria Normativa No 3, de 7 de Maio 2010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. Estabelece orientaçõ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es b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sicas so- bre a Norma Operacional de Sa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de do Servidor - NOSS aos 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rg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ãos e entidades do Sistema de Pessoal Civil da Administração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blica Federal - SIPEC. Minist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rio do Planejamento, Orç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a- mento e Gest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ão. Secretaria de Recursos Humanos.D.O.U.10/5/2010.Bras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lia, DF. </w:t>
      </w:r>
      <w:r w:rsidRPr="00E3176D">
        <w:rPr>
          <w:rFonts w:ascii="Times New Roman" w:hAnsi="Times New Roman"/>
          <w:sz w:val="24"/>
          <w:szCs w:val="24"/>
          <w:u w:val="single"/>
          <w:shd w:val="clear" w:color="auto" w:fill="FFFFFF"/>
          <w:lang w:val="pt-PT"/>
        </w:rPr>
        <w:t>www.ouvidoriadoservidor.gov.br/.../ManterLegislacao.do?method...74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. </w:t>
      </w:r>
      <w:proofErr w:type="spellStart"/>
      <w:proofErr w:type="gramStart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>Acesso</w:t>
      </w:r>
      <w:proofErr w:type="spellEnd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>em</w:t>
      </w:r>
      <w:proofErr w:type="spellEnd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 31 de </w:t>
      </w:r>
      <w:proofErr w:type="spellStart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>outubro</w:t>
      </w:r>
      <w:proofErr w:type="spellEnd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 de 2015.</w:t>
      </w:r>
      <w:proofErr w:type="gramEnd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33A7C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CARMELLI, A.; SCHAUBROECK, J. </w:t>
      </w:r>
      <w:r>
        <w:rPr>
          <w:rFonts w:ascii="Times New Roman" w:hAnsi="Times New Roman"/>
          <w:b/>
          <w:bCs/>
          <w:sz w:val="24"/>
          <w:szCs w:val="24"/>
        </w:rPr>
        <w:t xml:space="preserve">How leveraging human resource capital with its competitive distinctiveness enhances the performance of commercial and public organizations. </w:t>
      </w:r>
      <w:proofErr w:type="gramStart"/>
      <w:r w:rsidRPr="007F170D">
        <w:rPr>
          <w:rFonts w:ascii="Times New Roman" w:hAnsi="Times New Roman"/>
          <w:sz w:val="24"/>
          <w:szCs w:val="24"/>
        </w:rPr>
        <w:t>Human Resource Management, v. 44, n. 4, p. 391-412, 2005.</w:t>
      </w:r>
      <w:proofErr w:type="gramEnd"/>
      <w:r w:rsidRPr="007F170D">
        <w:rPr>
          <w:rFonts w:ascii="Times New Roman" w:hAnsi="Times New Roman"/>
          <w:sz w:val="24"/>
          <w:szCs w:val="24"/>
        </w:rPr>
        <w:t xml:space="preserve"> </w:t>
      </w:r>
      <w:r w:rsidRPr="00E3176D">
        <w:rPr>
          <w:rFonts w:ascii="Times New Roman" w:hAnsi="Times New Roman"/>
          <w:sz w:val="24"/>
          <w:szCs w:val="24"/>
          <w:u w:val="single"/>
        </w:rPr>
        <w:t>http://onlinelibrary- wiley.com.ez24.periodicos.capes.gov.br/doi/10.1002/hrm.20081/epdf</w:t>
      </w:r>
      <w:r w:rsidRPr="007F17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 xml:space="preserve">Acesso em: 22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CARNEIRO, S.A. M.. 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Saú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de do trabalhador p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blico</w:t>
      </w:r>
      <w:r>
        <w:rPr>
          <w:rFonts w:ascii="Times New Roman" w:hAnsi="Times New Roman"/>
          <w:sz w:val="24"/>
          <w:szCs w:val="24"/>
          <w:lang w:val="it-IT"/>
        </w:rPr>
        <w:t>: quest</w:t>
      </w:r>
      <w:r>
        <w:rPr>
          <w:rFonts w:ascii="Times New Roman" w:hAnsi="Times New Roman"/>
          <w:sz w:val="24"/>
          <w:szCs w:val="24"/>
          <w:lang w:val="pt-PT"/>
        </w:rPr>
        <w:t>ão para a gestão de pessoas- a experi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da Prefeitura de São Paulo. Revista de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 publica, Bras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lia, v. 57, n.1, jan/mar 2006, p. 23-49</w:t>
      </w:r>
      <w:r w:rsidRPr="00E3176D">
        <w:rPr>
          <w:rFonts w:ascii="Times New Roman" w:hAnsi="Times New Roman"/>
          <w:sz w:val="24"/>
          <w:szCs w:val="24"/>
          <w:u w:val="single"/>
          <w:lang w:val="pt-PT"/>
        </w:rPr>
        <w:t>. http://seer.enap.gov.br/index.php/RSP/article/view/188</w:t>
      </w:r>
      <w:r>
        <w:rPr>
          <w:rFonts w:ascii="Times New Roman" w:hAnsi="Times New Roman"/>
          <w:sz w:val="24"/>
          <w:szCs w:val="24"/>
          <w:lang w:val="pt-PT"/>
        </w:rPr>
        <w:t xml:space="preserve"> Acesso em: 30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CARNEIRO, S. A. M. </w:t>
      </w:r>
      <w:r w:rsidRPr="007F170D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>Saú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de do Servidor: uma questão para a gestão de pessoas.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IV CONGRESSO DE GEST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O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BLICA-CONSAD. 22 a 27 de maio de 2011. Bras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lia.DF. </w:t>
      </w:r>
      <w:r w:rsidRPr="00E3176D">
        <w:rPr>
          <w:rFonts w:ascii="Times New Roman" w:hAnsi="Times New Roman"/>
          <w:sz w:val="24"/>
          <w:szCs w:val="24"/>
          <w:u w:val="single"/>
          <w:shd w:val="clear" w:color="auto" w:fill="FFFFFF"/>
          <w:lang w:val="pt-PT"/>
        </w:rPr>
        <w:t>http://banco.consad.org.br/bitstream/123456789/757/1/C4_TP_SA</w:t>
      </w:r>
      <w:r w:rsidRPr="00E3176D">
        <w:rPr>
          <w:rFonts w:ascii="Times New Roman" w:hAnsi="Times New Roman"/>
          <w:sz w:val="24"/>
          <w:szCs w:val="24"/>
          <w:u w:val="single"/>
          <w:shd w:val="clear" w:color="auto" w:fill="FFFFFF"/>
          <w:lang w:val="pt-BR"/>
        </w:rPr>
        <w:t>ÚDE%20DO%20SERVI- DOR%20UMA%20QUESTÃ</w:t>
      </w:r>
      <w:r w:rsidRPr="00E3176D">
        <w:rPr>
          <w:rFonts w:ascii="Times New Roman" w:hAnsi="Times New Roman"/>
          <w:sz w:val="24"/>
          <w:szCs w:val="24"/>
          <w:u w:val="single"/>
          <w:shd w:val="clear" w:color="auto" w:fill="FFFFFF"/>
          <w:lang w:val="pt-PT"/>
        </w:rPr>
        <w:t>O%20PARA%20A%20GEST</w:t>
      </w:r>
      <w:r w:rsidRPr="00E3176D">
        <w:rPr>
          <w:rFonts w:ascii="Times New Roman" w:hAnsi="Times New Roman"/>
          <w:sz w:val="24"/>
          <w:szCs w:val="24"/>
          <w:u w:val="single"/>
          <w:shd w:val="clear" w:color="auto" w:fill="FFFFFF"/>
          <w:lang w:val="pt-BR"/>
        </w:rPr>
        <w:t>ÃO.pdf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</w:t>
      </w:r>
      <w:r w:rsidR="00E3176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. </w:t>
      </w:r>
      <w:r w:rsidR="00E3176D">
        <w:rPr>
          <w:rFonts w:ascii="Times New Roman" w:hAnsi="Times New Roman"/>
          <w:sz w:val="24"/>
          <w:szCs w:val="24"/>
          <w:lang w:val="pt-PT"/>
        </w:rPr>
        <w:t>Acesso em 25 de outubro de 2015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COSTA, Ronaldo R. S.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Gest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ão para Resultados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: Como gerar indicadores de Gestão de Pes- </w:t>
      </w: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lastRenderedPageBreak/>
        <w:t>soas, utilizando Ferramentas B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sicas de TI. IV Congresso de Gestão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blica. CONSAD. Bra- </w:t>
      </w:r>
    </w:p>
    <w:p w:rsidR="004B5BEF" w:rsidRPr="004B5BEF" w:rsidRDefault="004B5BEF">
      <w:pPr>
        <w:pStyle w:val="Padro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  <w:lang w:val="pt-BR"/>
        </w:rPr>
      </w:pP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sí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lia/DF . 16,17 e 18 de abril de 2013. Painel 44/166.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fldChar w:fldCharType="begin"/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instrText xml:space="preserve"> HYPERLINK "</w:instrText>
      </w:r>
      <w:r w:rsidRPr="004B5BEF">
        <w:rPr>
          <w:rFonts w:ascii="Times New Roman" w:hAnsi="Times New Roman"/>
          <w:sz w:val="24"/>
          <w:szCs w:val="24"/>
          <w:shd w:val="clear" w:color="auto" w:fill="FFFFFF"/>
          <w:lang w:val="pt-PT"/>
        </w:rPr>
        <w:instrText>http://consadnacional.org.br/wp-content/uploads/2013/05/166-GEST</w:instrText>
      </w:r>
      <w:r w:rsidRPr="004B5BEF">
        <w:rPr>
          <w:rFonts w:ascii="Times New Roman" w:hAnsi="Times New Roman"/>
          <w:sz w:val="24"/>
          <w:szCs w:val="24"/>
          <w:shd w:val="clear" w:color="auto" w:fill="FFFFFF"/>
          <w:lang w:val="pt-BR"/>
        </w:rPr>
        <w:instrText>Ã</w:instrText>
      </w:r>
      <w:r>
        <w:rPr>
          <w:rFonts w:ascii="Times New Roman" w:hAnsi="Times New Roman"/>
          <w:sz w:val="24"/>
          <w:szCs w:val="24"/>
          <w:shd w:val="clear" w:color="auto" w:fill="FFFFFF"/>
          <w:lang w:val="pt-BR"/>
        </w:rPr>
        <w:instrText>O-PARA-RESULTADOS-COMO-GERA</w:instrTex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instrText xml:space="preserve">" </w:instrTex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fldChar w:fldCharType="separate"/>
      </w:r>
      <w:r w:rsidRPr="00055FC4"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pt-PT"/>
        </w:rPr>
        <w:t>http://consadnacional.org.br/wp-content/uploads/2013/05/166-GEST</w:t>
      </w:r>
      <w:r w:rsidRPr="00055FC4"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pt-BR"/>
        </w:rPr>
        <w:t>ÃO-PARA-RESULTADOS-COMO-GERA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fldChar w:fldCharType="end"/>
      </w:r>
      <w:r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</w:t>
      </w:r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  <w:lang w:val="pt-BR"/>
        </w:rPr>
        <w:t>INDICADORES-DE-GESTÃ</w:t>
      </w:r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  <w:lang w:val="es-ES_tradnl"/>
        </w:rPr>
        <w:t>O-DE-PESSOAS-UTILIZANDO-FERRAMENTAS</w:t>
      </w:r>
    </w:p>
    <w:p w:rsidR="00A33A7C" w:rsidRPr="004B5BEF" w:rsidRDefault="004B5BEF">
      <w:pPr>
        <w:pStyle w:val="Padro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</w:pPr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  <w:lang w:val="es-ES_tradnl"/>
        </w:rPr>
        <w:t>B</w:t>
      </w:r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  <w:lang w:val="pt-BR"/>
        </w:rPr>
        <w:t>ÁSICAS-DE-TI.pd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 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Acesso em 27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4B5BEF" w:rsidRDefault="004B5BEF">
      <w:pPr>
        <w:pStyle w:val="Padr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CUNHA, Jane B.; BLANK, Vera L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it-IT"/>
        </w:rPr>
        <w:t xml:space="preserve">cia G.: BOING, Antonio Fernando. 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Tend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ê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ncia temporal de afastamento do trabalho em servidores p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blicos (1995-2005)</w:t>
      </w:r>
      <w:r>
        <w:rPr>
          <w:rFonts w:ascii="Times New Roman" w:hAnsi="Times New Roman"/>
          <w:sz w:val="24"/>
          <w:szCs w:val="24"/>
          <w:lang w:val="pt-PT"/>
        </w:rPr>
        <w:t xml:space="preserve">. </w:t>
      </w:r>
      <w:r w:rsidRPr="004B5BEF">
        <w:rPr>
          <w:rFonts w:ascii="Times New Roman" w:hAnsi="Times New Roman"/>
          <w:sz w:val="24"/>
          <w:szCs w:val="24"/>
          <w:lang w:val="pt-PT"/>
        </w:rPr>
        <w:t>Rev.</w:t>
      </w:r>
      <w:r>
        <w:rPr>
          <w:rFonts w:ascii="Times New Roman" w:hAnsi="Times New Roman"/>
          <w:sz w:val="24"/>
          <w:szCs w:val="24"/>
          <w:lang w:val="pt-PT"/>
        </w:rPr>
        <w:t xml:space="preserve">bras. epidemiol. </w:t>
      </w:r>
      <w:r w:rsidRPr="004B5BEF">
        <w:rPr>
          <w:rFonts w:ascii="Times New Roman" w:hAnsi="Times New Roman"/>
          <w:sz w:val="24"/>
          <w:szCs w:val="24"/>
        </w:rPr>
        <w:t>[</w:t>
      </w:r>
      <w:proofErr w:type="gramStart"/>
      <w:r w:rsidRPr="004B5BEF">
        <w:rPr>
          <w:rFonts w:ascii="Times New Roman" w:hAnsi="Times New Roman"/>
          <w:sz w:val="24"/>
          <w:szCs w:val="24"/>
        </w:rPr>
        <w:t>online</w:t>
      </w:r>
      <w:proofErr w:type="gramEnd"/>
      <w:r w:rsidRPr="004B5BEF">
        <w:rPr>
          <w:rFonts w:ascii="Times New Roman" w:hAnsi="Times New Roman"/>
          <w:sz w:val="24"/>
          <w:szCs w:val="24"/>
        </w:rPr>
        <w:t>].2009,vol.12,n.2,pp.226-236</w:t>
      </w:r>
      <w:r w:rsidRPr="004B5BEF">
        <w:rPr>
          <w:rFonts w:ascii="Times New Roman" w:hAnsi="Times New Roman"/>
          <w:sz w:val="24"/>
          <w:szCs w:val="24"/>
          <w:u w:val="single"/>
        </w:rPr>
        <w:t>..http://www.scielo.br/scielo.php?pid=S1415- 790X2009000200012&amp;script=</w:t>
      </w:r>
      <w:proofErr w:type="spellStart"/>
      <w:r w:rsidRPr="004B5BEF">
        <w:rPr>
          <w:rFonts w:ascii="Times New Roman" w:hAnsi="Times New Roman"/>
          <w:sz w:val="24"/>
          <w:szCs w:val="24"/>
          <w:u w:val="single"/>
        </w:rPr>
        <w:t>sci_abstract&amp;tlng</w:t>
      </w:r>
      <w:proofErr w:type="spellEnd"/>
      <w:r w:rsidRPr="004B5BEF">
        <w:rPr>
          <w:rFonts w:ascii="Times New Roman" w:hAnsi="Times New Roman"/>
          <w:sz w:val="24"/>
          <w:szCs w:val="24"/>
          <w:u w:val="single"/>
        </w:rPr>
        <w:t>=pt</w:t>
      </w:r>
      <w:r w:rsidRPr="004B5B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 xml:space="preserve">Acesso em 24 de outubro de 2015. </w:t>
      </w:r>
    </w:p>
    <w:p w:rsidR="00A33A7C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DEMO, et al, P.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Gest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ão de pessoas</w:t>
      </w:r>
      <w:r w:rsidRPr="007F170D">
        <w:rPr>
          <w:rFonts w:ascii="Times New Roman" w:hAnsi="Times New Roman"/>
          <w:i/>
          <w:iCs/>
          <w:sz w:val="24"/>
          <w:szCs w:val="24"/>
          <w:shd w:val="clear" w:color="auto" w:fill="FFFFFF"/>
          <w:lang w:val="pt-BR"/>
        </w:rPr>
        <w:t xml:space="preserve">. 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In: DEMO, G. (Org.). Polí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ticas de gestão de pessoas em organizações: estado da arte, produção nacional, agenda de pesquisa, medidas e estudos rela- cionais. São Paulo: Atlas, 2012. p. 3-48.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FISCHER, A. L.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Um Resgate conceitual e hist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rico dos modelos de gestão de pessoas</w:t>
      </w:r>
      <w:r>
        <w:rPr>
          <w:rFonts w:ascii="Times New Roman" w:hAnsi="Times New Roman"/>
          <w:sz w:val="24"/>
          <w:szCs w:val="24"/>
          <w:lang w:val="pt-PT"/>
        </w:rPr>
        <w:t>. 2002.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https://static.portaleducacao.com.br/arquivos/artigos/1256926937_hist</w:t>
      </w:r>
      <w:r w:rsidRPr="004B5BEF">
        <w:rPr>
          <w:rFonts w:ascii="Times New Roman" w:hAnsi="Times New Roman"/>
          <w:sz w:val="24"/>
          <w:szCs w:val="24"/>
          <w:u w:val="single"/>
          <w:lang w:val="es-ES_tradnl"/>
        </w:rPr>
        <w:t>ó</w:t>
      </w:r>
      <w:r w:rsidRPr="004B5BEF">
        <w:rPr>
          <w:rFonts w:ascii="Times New Roman" w:hAnsi="Times New Roman"/>
          <w:sz w:val="24"/>
          <w:szCs w:val="24"/>
          <w:u w:val="single"/>
          <w:lang w:val="it-IT"/>
        </w:rPr>
        <w:t>rico%20dos%20mo delos%20de%20gest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ão%20de%20pessoas.pdf</w:t>
      </w:r>
      <w:r>
        <w:rPr>
          <w:rFonts w:ascii="Times New Roman" w:hAnsi="Times New Roman"/>
          <w:sz w:val="24"/>
          <w:szCs w:val="24"/>
          <w:lang w:val="pt-PT"/>
        </w:rPr>
        <w:t xml:space="preserve">. Acesso em 25 de setembro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>GUIMAR</w:t>
      </w:r>
      <w:r w:rsidRPr="007F170D">
        <w:rPr>
          <w:rFonts w:ascii="Times New Roman" w:hAnsi="Times New Roman"/>
          <w:sz w:val="24"/>
          <w:szCs w:val="24"/>
          <w:lang w:val="pt-BR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 xml:space="preserve">ES, R. S..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O Absente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smo entre os Servidores Civis de um Hospital Militar. </w:t>
      </w:r>
      <w:r w:rsidRPr="007F170D">
        <w:rPr>
          <w:rFonts w:ascii="Times New Roman" w:hAnsi="Times New Roman"/>
          <w:sz w:val="24"/>
          <w:szCs w:val="24"/>
          <w:lang w:val="pt-BR"/>
        </w:rPr>
        <w:t>Disserta</w:t>
      </w:r>
      <w:r>
        <w:rPr>
          <w:rFonts w:ascii="Times New Roman" w:hAnsi="Times New Roman"/>
          <w:sz w:val="24"/>
          <w:szCs w:val="24"/>
          <w:lang w:val="pt-PT"/>
        </w:rPr>
        <w:t>ção para t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tulo Mestre em Ci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 xml:space="preserve">ncias na </w:t>
      </w:r>
      <w:r w:rsidRPr="007F170D">
        <w:rPr>
          <w:rFonts w:ascii="Times New Roman" w:hAnsi="Times New Roman"/>
          <w:sz w:val="24"/>
          <w:szCs w:val="24"/>
          <w:lang w:val="pt-BR"/>
        </w:rPr>
        <w:t>área de Saú</w:t>
      </w:r>
      <w:r>
        <w:rPr>
          <w:rFonts w:ascii="Times New Roman" w:hAnsi="Times New Roman"/>
          <w:sz w:val="24"/>
          <w:szCs w:val="24"/>
          <w:lang w:val="fr-FR"/>
        </w:rPr>
        <w:t>de P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 xml:space="preserve">blica. Rio de Janeiro. 2005. 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https://www.arca.fiocruz.br/bitstream/icict/4689/2/727.pdf</w:t>
      </w:r>
      <w:r>
        <w:rPr>
          <w:rFonts w:ascii="Times New Roman" w:hAnsi="Times New Roman"/>
          <w:sz w:val="24"/>
          <w:szCs w:val="24"/>
          <w:lang w:val="pt-PT"/>
        </w:rPr>
        <w:t xml:space="preserve"> Acesso em 30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B5BEF" w:rsidRPr="004B5BEF" w:rsidRDefault="004B5BEF" w:rsidP="004B5BEF">
      <w:pPr>
        <w:pStyle w:val="Padr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HENSING, Gunnel.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The measurements of sickness absence –a theoretical perspective.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B5BEF">
        <w:rPr>
          <w:rFonts w:ascii="Times New Roman" w:hAnsi="Times New Roman"/>
          <w:sz w:val="24"/>
          <w:szCs w:val="24"/>
        </w:rPr>
        <w:t>Norsk</w:t>
      </w:r>
      <w:proofErr w:type="spellEnd"/>
      <w:r w:rsidRPr="004B5B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BEF">
        <w:rPr>
          <w:rFonts w:ascii="Times New Roman" w:hAnsi="Times New Roman"/>
          <w:sz w:val="24"/>
          <w:szCs w:val="24"/>
        </w:rPr>
        <w:t>Epidemiologi</w:t>
      </w:r>
      <w:proofErr w:type="spellEnd"/>
      <w:r w:rsidRPr="004B5BEF">
        <w:rPr>
          <w:rFonts w:ascii="Times New Roman" w:hAnsi="Times New Roman"/>
          <w:sz w:val="24"/>
          <w:szCs w:val="24"/>
        </w:rPr>
        <w:t xml:space="preserve"> 2009</w:t>
      </w:r>
      <w:proofErr w:type="gramStart"/>
      <w:r w:rsidRPr="004B5BEF">
        <w:rPr>
          <w:rFonts w:ascii="Times New Roman" w:hAnsi="Times New Roman"/>
          <w:sz w:val="24"/>
          <w:szCs w:val="24"/>
        </w:rPr>
        <w:t>;19</w:t>
      </w:r>
      <w:proofErr w:type="gramEnd"/>
      <w:r w:rsidRPr="004B5BEF">
        <w:rPr>
          <w:rFonts w:ascii="Times New Roman" w:hAnsi="Times New Roman"/>
          <w:sz w:val="24"/>
          <w:szCs w:val="24"/>
        </w:rPr>
        <w:t>(2);147- 151.</w:t>
      </w:r>
    </w:p>
    <w:p w:rsidR="004B5BEF" w:rsidRDefault="004B5BEF" w:rsidP="004B5BEF">
      <w:pPr>
        <w:pStyle w:val="Padro"/>
        <w:spacing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Pr="00055FC4">
          <w:rPr>
            <w:rStyle w:val="Hyperlink"/>
            <w:rFonts w:ascii="Times New Roman" w:hAnsi="Times New Roman"/>
            <w:sz w:val="24"/>
            <w:szCs w:val="24"/>
          </w:rPr>
          <w:t>http://www.ntnu.no/ojs/index.php/norepid/article/view/584/550</w:t>
        </w:r>
      </w:hyperlink>
      <w:r w:rsidRPr="004B5BEF">
        <w:rPr>
          <w:rFonts w:ascii="Times New Roman" w:hAnsi="Times New Roman"/>
          <w:sz w:val="24"/>
          <w:szCs w:val="24"/>
        </w:rPr>
        <w:t>.</w:t>
      </w:r>
    </w:p>
    <w:p w:rsidR="00A33A7C" w:rsidRPr="004B5BEF" w:rsidRDefault="004B5BEF" w:rsidP="004B5BEF">
      <w:pPr>
        <w:pStyle w:val="Padro"/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 w:rsidRPr="004B5BEF">
        <w:rPr>
          <w:rFonts w:ascii="Times New Roman" w:hAnsi="Times New Roman"/>
          <w:sz w:val="24"/>
          <w:szCs w:val="24"/>
        </w:rPr>
        <w:t xml:space="preserve"> </w:t>
      </w:r>
      <w:r w:rsidRPr="004B5BEF">
        <w:rPr>
          <w:rFonts w:ascii="Times New Roman" w:hAnsi="Times New Roman"/>
          <w:sz w:val="24"/>
          <w:szCs w:val="24"/>
          <w:lang w:val="pt-BR"/>
        </w:rPr>
        <w:t xml:space="preserve">Acesso em 13 de outubro de 2015. </w:t>
      </w:r>
    </w:p>
    <w:p w:rsidR="00A33A7C" w:rsidRPr="004B5BEF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KIDGER et al. </w:t>
      </w:r>
      <w:r>
        <w:rPr>
          <w:rFonts w:ascii="Times New Roman" w:hAnsi="Times New Roman"/>
          <w:b/>
          <w:bCs/>
          <w:sz w:val="24"/>
          <w:szCs w:val="24"/>
        </w:rPr>
        <w:t xml:space="preserve">Teachers' wellbeing and depressive symptoms, and associated risk factors: </w:t>
      </w:r>
      <w:r>
        <w:rPr>
          <w:rFonts w:ascii="Times New Roman" w:hAnsi="Times New Roman"/>
          <w:sz w:val="24"/>
          <w:szCs w:val="24"/>
        </w:rPr>
        <w:t xml:space="preserve">A large cross sectional study in English secondary </w:t>
      </w:r>
      <w:proofErr w:type="gramStart"/>
      <w:r>
        <w:rPr>
          <w:rFonts w:ascii="Times New Roman" w:hAnsi="Times New Roman"/>
          <w:sz w:val="24"/>
          <w:szCs w:val="24"/>
        </w:rPr>
        <w:t>schools .</w:t>
      </w:r>
      <w:proofErr w:type="gramEnd"/>
      <w:r>
        <w:rPr>
          <w:rFonts w:ascii="Times New Roman" w:hAnsi="Times New Roman"/>
          <w:sz w:val="24"/>
          <w:szCs w:val="24"/>
        </w:rPr>
        <w:t xml:space="preserve"> Journal of Affective </w:t>
      </w:r>
      <w:r>
        <w:rPr>
          <w:rFonts w:ascii="Times New Roman" w:hAnsi="Times New Roman"/>
          <w:sz w:val="24"/>
          <w:szCs w:val="24"/>
        </w:rPr>
        <w:lastRenderedPageBreak/>
        <w:t>Disorders 192 (2016) 76–</w:t>
      </w:r>
      <w:proofErr w:type="gramStart"/>
      <w:r w:rsidRPr="007F170D">
        <w:rPr>
          <w:rFonts w:ascii="Times New Roman" w:hAnsi="Times New Roman"/>
          <w:sz w:val="24"/>
          <w:szCs w:val="24"/>
        </w:rPr>
        <w:t>82 .</w:t>
      </w:r>
      <w:proofErr w:type="gramEnd"/>
      <w:r w:rsidRPr="007F170D">
        <w:rPr>
          <w:rFonts w:ascii="Times New Roman" w:hAnsi="Times New Roman"/>
          <w:sz w:val="24"/>
          <w:szCs w:val="24"/>
        </w:rPr>
        <w:t xml:space="preserve"> </w:t>
      </w:r>
      <w:r w:rsidRPr="004B5BEF">
        <w:rPr>
          <w:rFonts w:ascii="Times New Roman" w:hAnsi="Times New Roman"/>
          <w:sz w:val="24"/>
          <w:szCs w:val="24"/>
          <w:u w:val="single"/>
        </w:rPr>
        <w:t>http://www.jad-journal.com/article/S0165-</w:t>
      </w:r>
      <w:proofErr w:type="gramStart"/>
      <w:r w:rsidRPr="004B5BEF">
        <w:rPr>
          <w:rFonts w:ascii="Times New Roman" w:hAnsi="Times New Roman"/>
          <w:sz w:val="24"/>
          <w:szCs w:val="24"/>
          <w:u w:val="single"/>
        </w:rPr>
        <w:t>0327(</w:t>
      </w:r>
      <w:proofErr w:type="gramEnd"/>
      <w:r w:rsidRPr="004B5BEF">
        <w:rPr>
          <w:rFonts w:ascii="Times New Roman" w:hAnsi="Times New Roman"/>
          <w:sz w:val="24"/>
          <w:szCs w:val="24"/>
          <w:u w:val="single"/>
        </w:rPr>
        <w:t>15)30762-X/pdf</w:t>
      </w:r>
      <w:r w:rsidRPr="007F17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pt-PT"/>
        </w:rPr>
        <w:t xml:space="preserve">Acesso em outubro de 2016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>LE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ÃO, A.L.M.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Absente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smo-Doen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ça entre Servidores P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blicos Municipais de Goi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 xml:space="preserve">ânia. </w:t>
      </w:r>
      <w:r w:rsidRPr="007F170D">
        <w:rPr>
          <w:rFonts w:ascii="Times New Roman" w:hAnsi="Times New Roman"/>
          <w:sz w:val="24"/>
          <w:szCs w:val="24"/>
          <w:lang w:val="pt-BR"/>
        </w:rPr>
        <w:t>Disserta</w:t>
      </w:r>
      <w:r>
        <w:rPr>
          <w:rFonts w:ascii="Times New Roman" w:hAnsi="Times New Roman"/>
          <w:sz w:val="24"/>
          <w:szCs w:val="24"/>
          <w:lang w:val="pt-PT"/>
        </w:rPr>
        <w:t>ção de Mestrado em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 Coletiva da Universidade Federal de Goi</w:t>
      </w:r>
      <w:r w:rsidRPr="007F170D">
        <w:rPr>
          <w:rFonts w:ascii="Times New Roman" w:hAnsi="Times New Roman"/>
          <w:sz w:val="24"/>
          <w:szCs w:val="24"/>
          <w:lang w:val="pt-BR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s para obtenção do t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tulo de Mestre em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 Coletiva. Goin</w:t>
      </w:r>
      <w:r w:rsidRPr="007F170D">
        <w:rPr>
          <w:rFonts w:ascii="Times New Roman" w:hAnsi="Times New Roman"/>
          <w:sz w:val="24"/>
          <w:szCs w:val="24"/>
          <w:lang w:val="pt-BR"/>
        </w:rPr>
        <w:t>â</w:t>
      </w:r>
      <w:r>
        <w:rPr>
          <w:rFonts w:ascii="Times New Roman" w:hAnsi="Times New Roman"/>
          <w:sz w:val="24"/>
          <w:szCs w:val="24"/>
          <w:lang w:val="pt-PT"/>
        </w:rPr>
        <w:t xml:space="preserve">nia. 2012. 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https://repositorio.bc.ufg.br/tede/handle/tede/</w:t>
      </w:r>
      <w:r>
        <w:rPr>
          <w:rFonts w:ascii="Times New Roman" w:hAnsi="Times New Roman"/>
          <w:sz w:val="24"/>
          <w:szCs w:val="24"/>
          <w:lang w:val="pt-PT"/>
        </w:rPr>
        <w:t xml:space="preserve">4260 Acesso em 27 de outubro de 2015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>LIMONGI-FRAN</w:t>
      </w:r>
      <w:r w:rsidRPr="007F170D">
        <w:rPr>
          <w:rFonts w:ascii="Times New Roman" w:hAnsi="Times New Roman"/>
          <w:sz w:val="24"/>
          <w:szCs w:val="24"/>
          <w:lang w:val="pt-BR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 xml:space="preserve">A, A. C.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Estrat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gia de recursos humanos e gestão da qualidade de vida no trabalho: </w:t>
      </w:r>
      <w:r>
        <w:rPr>
          <w:rFonts w:ascii="Times New Roman" w:hAnsi="Times New Roman"/>
          <w:sz w:val="24"/>
          <w:szCs w:val="24"/>
          <w:lang w:val="pt-PT"/>
        </w:rPr>
        <w:t>o stress e a expansão do conceito de qualidade de vida. Revista de Administraçã</w:t>
      </w:r>
      <w:r>
        <w:rPr>
          <w:rFonts w:ascii="Times New Roman" w:hAnsi="Times New Roman"/>
          <w:sz w:val="24"/>
          <w:szCs w:val="24"/>
          <w:lang w:val="it-IT"/>
        </w:rPr>
        <w:t>o, S</w:t>
      </w:r>
      <w:r>
        <w:rPr>
          <w:rFonts w:ascii="Times New Roman" w:hAnsi="Times New Roman"/>
          <w:sz w:val="24"/>
          <w:szCs w:val="24"/>
          <w:lang w:val="pt-PT"/>
        </w:rPr>
        <w:t xml:space="preserve">ãoPaulo.v.33,n.2,p.40-51,abril/junho,1998. 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http://www.rausp.usp.br/busca/artigo.asp?num_artigo=144</w:t>
      </w:r>
      <w:r>
        <w:rPr>
          <w:rFonts w:ascii="Times New Roman" w:hAnsi="Times New Roman"/>
          <w:sz w:val="24"/>
          <w:szCs w:val="24"/>
          <w:lang w:val="pt-PT"/>
        </w:rPr>
        <w:t xml:space="preserve">. Acesso em: 14 de setembro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MARCONI, N. </w:t>
      </w:r>
      <w:r w:rsidRPr="007F170D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>Polí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ticas integradas de Recursos Humanos para o setor p</w:t>
      </w:r>
      <w:r w:rsidRPr="007F170D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blico. 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ão Paulo: Ediçõ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es Fundap, 2005.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pt-BR"/>
        </w:rPr>
      </w:pPr>
    </w:p>
    <w:p w:rsidR="00A33A7C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 xml:space="preserve">MPOG, Ministério do Planejamento, Orçamento e Gestão.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Manual de Orientação para a Gestão do Desempenho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sz w:val="24"/>
          <w:szCs w:val="24"/>
          <w:lang w:val="pt-PT"/>
        </w:rPr>
        <w:t>Secretaria de Gestão P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 xml:space="preserve">blica </w:t>
      </w:r>
      <w:r w:rsidRPr="007F170D">
        <w:rPr>
          <w:rFonts w:ascii="Times New Roman" w:hAnsi="Times New Roman"/>
          <w:sz w:val="24"/>
          <w:szCs w:val="24"/>
          <w:lang w:val="pt-BR"/>
        </w:rPr>
        <w:t xml:space="preserve">2013. </w:t>
      </w:r>
      <w:r>
        <w:rPr>
          <w:rStyle w:val="Hyperlink0"/>
        </w:rPr>
        <w:fldChar w:fldCharType="begin"/>
      </w:r>
      <w:r w:rsidRPr="007F170D">
        <w:rPr>
          <w:rStyle w:val="Hyperlink0"/>
          <w:rFonts w:ascii="Times New Roman" w:eastAsia="Times New Roman" w:hAnsi="Times New Roman" w:cs="Times New Roman"/>
          <w:sz w:val="24"/>
          <w:szCs w:val="24"/>
          <w:lang w:val="pt-BR"/>
        </w:rPr>
        <w:instrText xml:space="preserve"> HYPERLINK "http://www.planejamento.gov.br/assuntos/gestao-publica/arquivos-e-publicacoes/manual_orientacao_para_gestao_desempenho.pdf+&amp;cd=1&amp;hl=pt-BR&amp;ct=clnk&amp;gl=br"</w:instrText>
      </w:r>
      <w:r>
        <w:rPr>
          <w:rStyle w:val="Hyperlink0"/>
        </w:rPr>
        <w:fldChar w:fldCharType="separate"/>
      </w:r>
      <w:r w:rsidRPr="007F170D">
        <w:rPr>
          <w:rStyle w:val="Hyperlink0"/>
          <w:rFonts w:ascii="Times New Roman" w:hAnsi="Times New Roman"/>
          <w:sz w:val="24"/>
          <w:szCs w:val="24"/>
        </w:rPr>
        <w:t>http://www.planejamento.gov.br/assuntos/gestao-publica/arquivos-e-publicacoes/manual_orientacao_para_gestao_desempenho.pdf+&amp;cd=1&amp;hl=pt-BR&amp;ct=clnk&amp;gl=br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Acesso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15 de </w:t>
      </w:r>
      <w:proofErr w:type="spellStart"/>
      <w:r>
        <w:rPr>
          <w:rFonts w:ascii="Times New Roman" w:hAnsi="Times New Roman"/>
          <w:sz w:val="24"/>
          <w:szCs w:val="24"/>
        </w:rPr>
        <w:t>setembro</w:t>
      </w:r>
      <w:proofErr w:type="spellEnd"/>
      <w:r>
        <w:rPr>
          <w:rFonts w:ascii="Times New Roman" w:hAnsi="Times New Roman"/>
          <w:sz w:val="24"/>
          <w:szCs w:val="24"/>
        </w:rPr>
        <w:t xml:space="preserve"> e 2015.</w:t>
      </w:r>
      <w:proofErr w:type="gramEnd"/>
    </w:p>
    <w:p w:rsidR="00A33A7C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MEARNS</w:t>
      </w:r>
      <w:proofErr w:type="gramStart"/>
      <w:r>
        <w:rPr>
          <w:rFonts w:ascii="Times New Roman" w:hAnsi="Times New Roman"/>
          <w:sz w:val="24"/>
          <w:szCs w:val="24"/>
        </w:rPr>
        <w:t>,K</w:t>
      </w:r>
      <w:proofErr w:type="gramEnd"/>
      <w:r>
        <w:rPr>
          <w:rFonts w:ascii="Times New Roman" w:hAnsi="Times New Roman"/>
          <w:sz w:val="24"/>
          <w:szCs w:val="24"/>
        </w:rPr>
        <w:t xml:space="preserve"> et al. </w:t>
      </w:r>
      <w:r>
        <w:rPr>
          <w:rFonts w:ascii="Times New Roman" w:hAnsi="Times New Roman"/>
          <w:b/>
          <w:bCs/>
          <w:sz w:val="24"/>
          <w:szCs w:val="24"/>
        </w:rPr>
        <w:t xml:space="preserve">Safety climate, safety management practice and safety performance in offshore environments. </w:t>
      </w:r>
      <w:r>
        <w:rPr>
          <w:rFonts w:ascii="Times New Roman" w:hAnsi="Times New Roman"/>
          <w:sz w:val="24"/>
          <w:szCs w:val="24"/>
          <w:lang w:val="pt-PT"/>
        </w:rPr>
        <w:t>SafetyScience 41 (2003).641 680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.http://www.abdn.ac.uk/iprc/documents/Safety_climate_safety%20management_practice.pdf</w:t>
      </w:r>
      <w:r>
        <w:rPr>
          <w:rFonts w:ascii="Times New Roman" w:hAnsi="Times New Roman"/>
          <w:sz w:val="24"/>
          <w:szCs w:val="24"/>
          <w:lang w:val="pt-PT"/>
        </w:rPr>
        <w:t xml:space="preserve">. Acesso em 23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 xml:space="preserve">NOGUEIRA RP.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O trabalho em sa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de hoje: novas formas de organizaçã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o. </w:t>
      </w:r>
      <w:r>
        <w:rPr>
          <w:rFonts w:ascii="Times New Roman" w:hAnsi="Times New Roman"/>
          <w:sz w:val="24"/>
          <w:szCs w:val="24"/>
          <w:lang w:val="pt-PT"/>
        </w:rPr>
        <w:t>In: Negri B, FariaR, Viana ALd'A, organizadores. Recursos humanos em Sa</w:t>
      </w:r>
      <w:r w:rsidRPr="007F170D">
        <w:rPr>
          <w:rFonts w:ascii="Times New Roman" w:hAnsi="Times New Roman"/>
          <w:sz w:val="24"/>
          <w:szCs w:val="24"/>
          <w:lang w:val="pt-BR"/>
        </w:rPr>
        <w:t>úde- polí</w:t>
      </w:r>
      <w:r>
        <w:rPr>
          <w:rFonts w:ascii="Times New Roman" w:hAnsi="Times New Roman"/>
          <w:sz w:val="24"/>
          <w:szCs w:val="24"/>
          <w:lang w:val="pt-PT"/>
        </w:rPr>
        <w:t xml:space="preserve">tica, desenvolvimento e mercado de trabalho. Campinas: Nepp/Unicamp; 2002.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E3176D" w:rsidRDefault="00E3176D">
      <w:pPr>
        <w:pStyle w:val="Padro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OLIVEIRA, Patr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í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cia M.; LIMONGI-FRAN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Ç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A, Ana Cristina.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Avaliaçã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o da gest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ão de pro- gramas de qualidade de vida no trabalho. 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RAE-eletrô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nica, v.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4, n. 1, Art.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 9, jan./jul. 2005. </w:t>
      </w:r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  <w:lang w:val="pt-PT"/>
        </w:rPr>
        <w:t>http://www.scielo.br/pdf/raeel/v4n1/v4n1a05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. Acesso em: 27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PENATTI, I. F; ZAGO, J. S.; QUELHAS, O. 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ABSENTEÍ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SMO: </w:t>
      </w:r>
      <w:r>
        <w:rPr>
          <w:rFonts w:ascii="Times New Roman" w:hAnsi="Times New Roman"/>
          <w:sz w:val="24"/>
          <w:szCs w:val="24"/>
          <w:lang w:val="pt-PT"/>
        </w:rPr>
        <w:t>As conseqüências na gestão de pessoas. 2006 III SEGeT</w:t>
      </w:r>
      <w:r w:rsidRPr="007F170D">
        <w:rPr>
          <w:rFonts w:ascii="Times New Roman" w:hAnsi="Times New Roman"/>
          <w:sz w:val="24"/>
          <w:szCs w:val="24"/>
          <w:lang w:val="pt-BR"/>
        </w:rPr>
        <w:t>– Simp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ósio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Excel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em Gestão e Tecnologia.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http://www.aedb.br/seget/arquivos/artigos06/898_Seget_Izidro%20Penatti.pdf</w:t>
      </w:r>
      <w:r>
        <w:rPr>
          <w:rFonts w:ascii="Times New Roman" w:hAnsi="Times New Roman"/>
          <w:sz w:val="24"/>
          <w:szCs w:val="24"/>
          <w:lang w:val="pt-PT"/>
        </w:rPr>
        <w:t xml:space="preserve">. Acesso em 27de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 xml:space="preserve">PECI, et al.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Governanç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 xml:space="preserve">a e New Public Management: </w:t>
      </w:r>
      <w:r>
        <w:rPr>
          <w:rFonts w:ascii="Times New Roman" w:hAnsi="Times New Roman"/>
          <w:sz w:val="24"/>
          <w:szCs w:val="24"/>
          <w:lang w:val="pt-PT"/>
        </w:rPr>
        <w:t>Converg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 xml:space="preserve">ncias e Contradições no Contexto Brasileiro. Revista O&amp;S, v,15, n. 46, Julho/Setembro, 2008. 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http://www.scielo.br/pdf/osoc/v15n46/02.pdf</w:t>
      </w:r>
      <w:r>
        <w:rPr>
          <w:rFonts w:ascii="Times New Roman" w:hAnsi="Times New Roman"/>
          <w:sz w:val="24"/>
          <w:szCs w:val="24"/>
          <w:lang w:val="pt-PT"/>
        </w:rPr>
        <w:t xml:space="preserve">. Acesso em: 15 de setembro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PERMANENT COMMISSION AND INTERNATIONAL ASSOCIATION ON OCCUPATIONAL HEALTH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de-DE"/>
        </w:rPr>
        <w:t>SUB-COMMITTEE ON ABSENTEEISM</w:t>
      </w:r>
      <w:r>
        <w:rPr>
          <w:rFonts w:ascii="Times New Roman" w:hAnsi="Times New Roman"/>
          <w:b/>
          <w:bCs/>
          <w:sz w:val="24"/>
          <w:szCs w:val="24"/>
        </w:rPr>
        <w:t xml:space="preserve">. Draft recommendations. </w:t>
      </w:r>
      <w:r w:rsidRPr="007F170D">
        <w:rPr>
          <w:rFonts w:ascii="Times New Roman" w:hAnsi="Times New Roman"/>
          <w:sz w:val="24"/>
          <w:szCs w:val="24"/>
        </w:rPr>
        <w:t xml:space="preserve">Brit J </w:t>
      </w:r>
      <w:proofErr w:type="spellStart"/>
      <w:r w:rsidRPr="007F170D">
        <w:rPr>
          <w:rFonts w:ascii="Times New Roman" w:hAnsi="Times New Roman"/>
          <w:sz w:val="24"/>
          <w:szCs w:val="24"/>
        </w:rPr>
        <w:t>Ind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Med. 1973; 30(4):402-3. </w:t>
      </w:r>
      <w:proofErr w:type="gramStart"/>
      <w:r w:rsidRPr="004B5BEF">
        <w:rPr>
          <w:rFonts w:ascii="Times New Roman" w:hAnsi="Times New Roman"/>
          <w:sz w:val="24"/>
          <w:szCs w:val="24"/>
          <w:u w:val="single"/>
        </w:rPr>
        <w:t>http://www.ncbi.nlm.nih.gov.ez24.periodicos.capes.gov.br/pmc/articles/PMC1069484/pdf/brjind med00096-0090.pdf</w:t>
      </w:r>
      <w:r w:rsidRPr="007F170D">
        <w:rPr>
          <w:rFonts w:ascii="Times New Roman" w:hAnsi="Times New Roman"/>
          <w:sz w:val="24"/>
          <w:szCs w:val="24"/>
        </w:rPr>
        <w:t>.</w:t>
      </w:r>
      <w:proofErr w:type="gramEnd"/>
      <w:r w:rsidRPr="007F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0D">
        <w:rPr>
          <w:rFonts w:ascii="Times New Roman" w:hAnsi="Times New Roman"/>
          <w:sz w:val="24"/>
          <w:szCs w:val="24"/>
        </w:rPr>
        <w:t>Acesso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0D">
        <w:rPr>
          <w:rFonts w:ascii="Times New Roman" w:hAnsi="Times New Roman"/>
          <w:sz w:val="24"/>
          <w:szCs w:val="24"/>
        </w:rPr>
        <w:t>em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: 27 de </w:t>
      </w:r>
      <w:proofErr w:type="spellStart"/>
      <w:r w:rsidRPr="007F170D">
        <w:rPr>
          <w:rFonts w:ascii="Times New Roman" w:hAnsi="Times New Roman"/>
          <w:sz w:val="24"/>
          <w:szCs w:val="24"/>
        </w:rPr>
        <w:t>outubro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de 2015. </w:t>
      </w:r>
    </w:p>
    <w:p w:rsidR="00A33A7C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A7C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 xml:space="preserve">POMI, R. M..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Indicadores de desempenho em gestão do Capital Humano. </w:t>
      </w:r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In: G. Boog &amp; M. Boog (Coord.). Manual de Gest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ão de Pessoas e Equipes: estrat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gias e tend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ê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ncias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, 2002 (Vol. I, Cap. 15, pp. 261-281). S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ão Paulo: Gente. </w:t>
      </w:r>
    </w:p>
    <w:p w:rsidR="00A33A7C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RIBEIRO, C. A. N.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Perfil do Absente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smo por Lombalgia nos Servidores P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blicos Municipais da Cidade de Goi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ânia</w:t>
      </w:r>
      <w:r w:rsidRPr="007F170D">
        <w:rPr>
          <w:rFonts w:ascii="Times New Roman" w:hAnsi="Times New Roman"/>
          <w:sz w:val="24"/>
          <w:szCs w:val="24"/>
          <w:lang w:val="pt-BR"/>
        </w:rPr>
        <w:t>. Disserta</w:t>
      </w:r>
      <w:r>
        <w:rPr>
          <w:rFonts w:ascii="Times New Roman" w:hAnsi="Times New Roman"/>
          <w:sz w:val="24"/>
          <w:szCs w:val="24"/>
          <w:lang w:val="pt-PT"/>
        </w:rPr>
        <w:t>ção para a obtenção do T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tulo de Mestre em Ci</w:t>
      </w:r>
      <w:r>
        <w:rPr>
          <w:rFonts w:ascii="Times New Roman" w:hAnsi="Times New Roman"/>
          <w:sz w:val="24"/>
          <w:szCs w:val="24"/>
          <w:lang w:val="fr-FR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ncias da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de da Universidade de Bras</w:t>
      </w:r>
      <w:r w:rsidRPr="007F170D">
        <w:rPr>
          <w:rFonts w:ascii="Times New Roman" w:hAnsi="Times New Roman"/>
          <w:sz w:val="24"/>
          <w:szCs w:val="24"/>
          <w:lang w:val="pt-BR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lia. Brasilia. 2010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.http://repositorio.unb.br/bitstream/10482/8342/1/2010_CristinaAparecidaNevesRibeiro.pdf</w:t>
      </w:r>
      <w:r>
        <w:rPr>
          <w:rFonts w:ascii="Times New Roman" w:hAnsi="Times New Roman"/>
          <w:sz w:val="24"/>
          <w:szCs w:val="24"/>
          <w:lang w:val="pt-PT"/>
        </w:rPr>
        <w:t xml:space="preserve">. Acesso em: 30 de outubro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B5BEF" w:rsidRDefault="004B5BEF">
      <w:pPr>
        <w:pStyle w:val="Padro"/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>SADATSAFAVI e WALEWSKI.</w:t>
      </w:r>
      <w:proofErr w:type="gramEnd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Corporate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sustainability</w:t>
      </w:r>
      <w:proofErr w:type="gram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:the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enviroment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desing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and human resource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managment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healtcare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settings. </w:t>
      </w:r>
      <w:proofErr w:type="gramStart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>Herd.,</w:t>
      </w:r>
      <w:proofErr w:type="gramEnd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 2013. Winter, 6(2):98-118. </w:t>
      </w:r>
    </w:p>
    <w:p w:rsidR="00E3176D" w:rsidRDefault="00E3176D">
      <w:pPr>
        <w:pStyle w:val="Padro"/>
        <w:spacing w:line="36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https://www.ncbi.nlm.nih.gov/pubmed/?term=Sadatsafavi%20H%5BAuthor%5D&amp;cauthor=true&amp;cauthor_uid=23532699</w:t>
      </w:r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Acesso em 25 de novembro de 2016.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SCHIKMANN, Rosane.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Gest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ão estrat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gica de pessoas: bases para a concepção do curso de especialização em gestão de pessoas no serviç</w:t>
      </w:r>
      <w:r w:rsidRPr="007F170D"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BR"/>
        </w:rPr>
        <w:t>o pú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blico. 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In: PANTOJA,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Maria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 xml:space="preserve"> Julia; CAM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Õ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ES, Marizaura R. de Souza e BERGUE, Sandro Trescastro. (Orgs.) Gestão de Pessoas: bases te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ricas e experi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ê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ncias no setor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úblico. (ENAP) - Brasí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lia: 2010.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a-DK"/>
        </w:rPr>
        <w:t xml:space="preserve">SALA, A.; et al 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Licen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>ç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as m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pt-PT"/>
        </w:rPr>
        <w:t xml:space="preserve">dicas entre trabalhadores da Secretaria de Estado de São Paulo no ano de 2004.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Caderno de Sa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de P</w:t>
      </w:r>
      <w:r w:rsidRPr="007F170D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ú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blica (Rio de Janeiro) out 2009; 25 (10): 2168-2178</w:t>
      </w:r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  <w:lang w:val="pt-PT"/>
        </w:rPr>
        <w:t>.http://www.scielo.br/scielo.php? script=sci_arttext&amp;pid=S0102-311X2009001000008&amp;lng=pt&amp;nrm=iso&amp;tlng=pt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. Acesso em 21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 xml:space="preserve">SANTOS, J.P.; MATTOS, A.P.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Absente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í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smo- doen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ça na prefeitura municipal de Porto Alegre, Rio Grande do Sul, Brasil</w:t>
      </w:r>
      <w:r>
        <w:rPr>
          <w:rFonts w:ascii="Times New Roman" w:hAnsi="Times New Roman"/>
          <w:sz w:val="24"/>
          <w:szCs w:val="24"/>
          <w:lang w:val="pt-PT"/>
        </w:rPr>
        <w:t>. Revista Brasileira Sa</w:t>
      </w:r>
      <w:r w:rsidRPr="007F170D">
        <w:rPr>
          <w:rFonts w:ascii="Times New Roman" w:hAnsi="Times New Roman"/>
          <w:sz w:val="24"/>
          <w:szCs w:val="24"/>
          <w:lang w:val="pt-BR"/>
        </w:rPr>
        <w:t>ú</w:t>
      </w:r>
      <w:r>
        <w:rPr>
          <w:rFonts w:ascii="Times New Roman" w:hAnsi="Times New Roman"/>
          <w:sz w:val="24"/>
          <w:szCs w:val="24"/>
          <w:lang w:val="es-ES_tradnl"/>
        </w:rPr>
        <w:t>de ocupacional (S</w:t>
      </w:r>
      <w:r>
        <w:rPr>
          <w:rFonts w:ascii="Times New Roman" w:hAnsi="Times New Roman"/>
          <w:sz w:val="24"/>
          <w:szCs w:val="24"/>
          <w:lang w:val="pt-PT"/>
        </w:rPr>
        <w:t>ão Paulo)</w:t>
      </w:r>
      <w:r w:rsidRPr="007F170D">
        <w:rPr>
          <w:rFonts w:ascii="Times New Roman" w:hAnsi="Times New Roman"/>
          <w:color w:val="BD6427"/>
          <w:sz w:val="24"/>
          <w:szCs w:val="24"/>
          <w:lang w:val="pt-BR"/>
        </w:rPr>
        <w:t xml:space="preserve"> </w:t>
      </w:r>
      <w:r w:rsidRPr="007F170D">
        <w:rPr>
          <w:rFonts w:ascii="Times New Roman" w:hAnsi="Times New Roman"/>
          <w:sz w:val="24"/>
          <w:szCs w:val="24"/>
          <w:lang w:val="pt-BR"/>
        </w:rPr>
        <w:t>2010</w:t>
      </w:r>
      <w:r w:rsidRPr="007F170D">
        <w:rPr>
          <w:rFonts w:ascii="Times New Roman" w:hAnsi="Times New Roman"/>
          <w:color w:val="BD6427"/>
          <w:sz w:val="24"/>
          <w:szCs w:val="24"/>
          <w:lang w:val="pt-BR"/>
        </w:rPr>
        <w:t xml:space="preserve">; </w:t>
      </w:r>
      <w:r>
        <w:rPr>
          <w:rFonts w:ascii="Times New Roman" w:hAnsi="Times New Roman"/>
          <w:sz w:val="24"/>
          <w:szCs w:val="24"/>
          <w:lang w:val="pt-PT"/>
        </w:rPr>
        <w:t>35 (121):148-156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>.http://www.scielo.br/scielo.php?script=sci_arttext&amp;pid=S0303- 76572012000100018</w:t>
      </w:r>
      <w:r>
        <w:rPr>
          <w:rFonts w:ascii="Times New Roman" w:hAnsi="Times New Roman"/>
          <w:sz w:val="24"/>
          <w:szCs w:val="24"/>
          <w:lang w:val="pt-PT"/>
        </w:rPr>
        <w:t xml:space="preserve">. Acesso em 28 de outubro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Pr="007F170D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F170D">
        <w:rPr>
          <w:rFonts w:ascii="Times New Roman" w:hAnsi="Times New Roman"/>
          <w:sz w:val="24"/>
          <w:szCs w:val="24"/>
          <w:lang w:val="pt-BR"/>
        </w:rPr>
        <w:t xml:space="preserve">SILVA, D. O..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Fatores associados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ocorr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ê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ncia e dura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ção dos afastamentos para tratamento de sa</w:t>
      </w:r>
      <w:r w:rsidRPr="007F170D">
        <w:rPr>
          <w:rFonts w:ascii="Times New Roman" w:hAnsi="Times New Roman"/>
          <w:b/>
          <w:bCs/>
          <w:sz w:val="24"/>
          <w:szCs w:val="24"/>
          <w:lang w:val="pt-BR"/>
        </w:rPr>
        <w:t>ú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de em trabalhadores de uma Instituição Federal de Ensino Superior na Bahia. </w:t>
      </w:r>
      <w:proofErr w:type="gramStart"/>
      <w:r>
        <w:rPr>
          <w:rFonts w:ascii="Times New Roman" w:hAnsi="Times New Roman"/>
          <w:sz w:val="24"/>
          <w:szCs w:val="24"/>
        </w:rPr>
        <w:t xml:space="preserve">2010. </w:t>
      </w:r>
      <w:proofErr w:type="spellStart"/>
      <w:r>
        <w:rPr>
          <w:rFonts w:ascii="Times New Roman" w:hAnsi="Times New Roman"/>
          <w:sz w:val="24"/>
          <w:szCs w:val="24"/>
        </w:rPr>
        <w:t>Disserta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ção de Mestrado em Sa</w:t>
      </w:r>
      <w:r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  <w:lang w:val="it-IT"/>
        </w:rPr>
        <w:t>de Comunit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ria, Instituto Federal daBahia.</w:t>
      </w:r>
      <w:proofErr w:type="gramEnd"/>
      <w:r>
        <w:rPr>
          <w:rFonts w:ascii="Times New Roman" w:hAnsi="Times New Roman"/>
          <w:sz w:val="24"/>
          <w:szCs w:val="24"/>
          <w:lang w:val="pt-PT"/>
        </w:rPr>
        <w:t xml:space="preserve"> Salvador. </w:t>
      </w:r>
      <w:r w:rsidRPr="00E3176D">
        <w:rPr>
          <w:rFonts w:ascii="Times New Roman" w:hAnsi="Times New Roman"/>
          <w:sz w:val="24"/>
          <w:szCs w:val="24"/>
          <w:u w:val="single"/>
          <w:lang w:val="pt-PT"/>
        </w:rPr>
        <w:t>http://www.repositorio.ufba.br:8080/ri/bitstream/ri/10324/1/77777777777777.pdf</w:t>
      </w:r>
      <w:r>
        <w:rPr>
          <w:rFonts w:ascii="Times New Roman" w:hAnsi="Times New Roman"/>
          <w:sz w:val="24"/>
          <w:szCs w:val="24"/>
          <w:lang w:val="pt-PT"/>
        </w:rPr>
        <w:t xml:space="preserve">. Acesso em 16 de dezembro de 2015. </w:t>
      </w:r>
    </w:p>
    <w:p w:rsidR="00A33A7C" w:rsidRPr="007F170D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>SOEGAARD, H. J</w:t>
      </w:r>
      <w:proofErr w:type="gramStart"/>
      <w:r>
        <w:rPr>
          <w:rFonts w:ascii="Times New Roman" w:hAnsi="Times New Roman"/>
          <w:sz w:val="24"/>
          <w:szCs w:val="24"/>
          <w:lang w:val="es-ES_tradnl"/>
        </w:rPr>
        <w:t>..</w:t>
      </w:r>
      <w:proofErr w:type="gram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Undetected Common Mental Disorders in Long-Term Sickness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Absence </w:t>
      </w:r>
      <w:r w:rsidRPr="007F170D">
        <w:rPr>
          <w:rFonts w:ascii="Times New Roman" w:hAnsi="Times New Roman"/>
          <w:sz w:val="24"/>
          <w:szCs w:val="24"/>
        </w:rPr>
        <w:t>.</w:t>
      </w:r>
      <w:proofErr w:type="gramEnd"/>
      <w:r w:rsidRPr="007F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0D">
        <w:rPr>
          <w:rFonts w:ascii="Times New Roman" w:hAnsi="Times New Roman"/>
          <w:sz w:val="24"/>
          <w:szCs w:val="24"/>
        </w:rPr>
        <w:t>Int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J Family Med. 2012; 2012: </w:t>
      </w:r>
      <w:proofErr w:type="gramStart"/>
      <w:r w:rsidRPr="007F170D">
        <w:rPr>
          <w:rFonts w:ascii="Times New Roman" w:hAnsi="Times New Roman"/>
          <w:sz w:val="24"/>
          <w:szCs w:val="24"/>
        </w:rPr>
        <w:t>474989 .</w:t>
      </w:r>
      <w:proofErr w:type="gramEnd"/>
      <w:r w:rsidRPr="007F170D">
        <w:rPr>
          <w:rFonts w:ascii="Times New Roman" w:hAnsi="Times New Roman"/>
          <w:sz w:val="24"/>
          <w:szCs w:val="24"/>
        </w:rPr>
        <w:t xml:space="preserve"> </w:t>
      </w:r>
      <w:r w:rsidRPr="004B5BEF">
        <w:rPr>
          <w:rFonts w:ascii="Times New Roman" w:hAnsi="Times New Roman"/>
          <w:sz w:val="24"/>
          <w:szCs w:val="24"/>
          <w:u w:val="single"/>
        </w:rPr>
        <w:t>http://www.ncbi.nlm.nih.gov/pmc/articles/PMC3361179</w:t>
      </w:r>
      <w:r w:rsidRPr="007F170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7F170D">
        <w:rPr>
          <w:rFonts w:ascii="Times New Roman" w:hAnsi="Times New Roman"/>
          <w:sz w:val="24"/>
          <w:szCs w:val="24"/>
        </w:rPr>
        <w:t>Acesso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0D">
        <w:rPr>
          <w:rFonts w:ascii="Times New Roman" w:hAnsi="Times New Roman"/>
          <w:sz w:val="24"/>
          <w:szCs w:val="24"/>
        </w:rPr>
        <w:t>em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28 de </w:t>
      </w:r>
      <w:proofErr w:type="spellStart"/>
      <w:r w:rsidRPr="007F170D">
        <w:rPr>
          <w:rFonts w:ascii="Times New Roman" w:hAnsi="Times New Roman"/>
          <w:sz w:val="24"/>
          <w:szCs w:val="24"/>
        </w:rPr>
        <w:t>setembro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de 2015.</w:t>
      </w:r>
      <w:proofErr w:type="gramEnd"/>
      <w:r w:rsidRPr="007F170D">
        <w:rPr>
          <w:rFonts w:ascii="Times New Roman" w:hAnsi="Times New Roman"/>
          <w:sz w:val="24"/>
          <w:szCs w:val="24"/>
        </w:rPr>
        <w:t xml:space="preserve"> </w:t>
      </w:r>
    </w:p>
    <w:p w:rsidR="00A33A7C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3A7C" w:rsidRPr="004B5BEF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SZYMANIEC-MLICKA, Karolina.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Resource-based view in strategic management of public organizations </w:t>
      </w:r>
      <w:r>
        <w:rPr>
          <w:rFonts w:ascii="Times New Roman" w:hAnsi="Times New Roman"/>
          <w:sz w:val="24"/>
          <w:szCs w:val="24"/>
        </w:rPr>
        <w:t>– a review of the literature.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Management 2014.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B5BEF">
        <w:rPr>
          <w:rFonts w:ascii="Times New Roman" w:hAnsi="Times New Roman"/>
          <w:sz w:val="24"/>
          <w:szCs w:val="24"/>
          <w:lang w:val="pt-BR"/>
        </w:rPr>
        <w:t>Vol.18,</w:t>
      </w:r>
      <w:r w:rsidRPr="004B5BEF">
        <w:rPr>
          <w:rFonts w:ascii="Arial Unicode MS" w:hAnsi="Arial Unicode MS"/>
          <w:sz w:val="24"/>
          <w:szCs w:val="24"/>
          <w:lang w:val="pt-BR"/>
        </w:rPr>
        <w:br/>
      </w:r>
      <w:r w:rsidRPr="004B5BEF">
        <w:rPr>
          <w:rFonts w:ascii="Times New Roman" w:hAnsi="Times New Roman"/>
          <w:sz w:val="24"/>
          <w:szCs w:val="24"/>
          <w:lang w:val="pt-BR"/>
        </w:rPr>
        <w:lastRenderedPageBreak/>
        <w:t xml:space="preserve">No2. </w:t>
      </w:r>
      <w:r w:rsidRPr="004B5BEF">
        <w:rPr>
          <w:rFonts w:ascii="Times New Roman" w:hAnsi="Times New Roman"/>
          <w:sz w:val="24"/>
          <w:szCs w:val="24"/>
          <w:u w:val="single"/>
          <w:lang w:val="pt-BR"/>
        </w:rPr>
        <w:t>https://www.degruyter.com/view/j/manment.2014.18.issue-2/manment-2014- 0039/manment-2014-0039.xml</w:t>
      </w:r>
      <w:r w:rsidRPr="004B5BEF">
        <w:rPr>
          <w:rFonts w:ascii="Times New Roman" w:hAnsi="Times New Roman"/>
          <w:sz w:val="24"/>
          <w:szCs w:val="24"/>
          <w:lang w:val="pt-BR"/>
        </w:rPr>
        <w:t xml:space="preserve"> .Acesso em 16 de </w:t>
      </w:r>
      <w:r>
        <w:rPr>
          <w:rFonts w:ascii="Times New Roman" w:hAnsi="Times New Roman"/>
          <w:sz w:val="24"/>
          <w:szCs w:val="24"/>
          <w:lang w:val="pt-BR"/>
        </w:rPr>
        <w:t>jameiro</w:t>
      </w:r>
      <w:r w:rsidRPr="004B5BEF">
        <w:rPr>
          <w:rFonts w:ascii="Times New Roman" w:hAnsi="Times New Roman"/>
          <w:sz w:val="24"/>
          <w:szCs w:val="24"/>
          <w:lang w:val="pt-BR"/>
        </w:rPr>
        <w:t xml:space="preserve"> de 2016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A33A7C" w:rsidRPr="004B5BEF" w:rsidRDefault="00A33A7C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33A7C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WUNSH F.V.  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Perfil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s-ES_tradnl"/>
        </w:rPr>
        <w:t>Epidemioló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gico dos Trabalhadores. </w:t>
      </w:r>
      <w:r>
        <w:rPr>
          <w:rFonts w:ascii="Times New Roman" w:hAnsi="Times New Roman"/>
          <w:sz w:val="24"/>
          <w:szCs w:val="24"/>
          <w:lang w:val="pt-PT"/>
        </w:rPr>
        <w:t xml:space="preserve">Rev. Bras. Med. Trab., Vol. 2 ,No 2,p.103-117,abr-jun.Belo Horizonte. 2004. </w:t>
      </w:r>
      <w:r w:rsidRPr="004B5BEF">
        <w:rPr>
          <w:rFonts w:ascii="Times New Roman" w:hAnsi="Times New Roman"/>
          <w:sz w:val="24"/>
          <w:szCs w:val="24"/>
          <w:u w:val="single"/>
          <w:lang w:val="pt-PT"/>
        </w:rPr>
        <w:t xml:space="preserve">http://www.ebah.com.br/content/ABAAAASusAB/perfil-epidemiologico-dos-trabalhadores. </w:t>
      </w:r>
      <w:proofErr w:type="spellStart"/>
      <w:r w:rsidRPr="007F170D">
        <w:rPr>
          <w:rFonts w:ascii="Times New Roman" w:hAnsi="Times New Roman"/>
          <w:sz w:val="24"/>
          <w:szCs w:val="24"/>
        </w:rPr>
        <w:t>Acesso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70D">
        <w:rPr>
          <w:rFonts w:ascii="Times New Roman" w:hAnsi="Times New Roman"/>
          <w:sz w:val="24"/>
          <w:szCs w:val="24"/>
        </w:rPr>
        <w:t>em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: 29 de </w:t>
      </w:r>
      <w:proofErr w:type="spellStart"/>
      <w:r w:rsidRPr="007F170D">
        <w:rPr>
          <w:rFonts w:ascii="Times New Roman" w:hAnsi="Times New Roman"/>
          <w:sz w:val="24"/>
          <w:szCs w:val="24"/>
        </w:rPr>
        <w:t>outubro</w:t>
      </w:r>
      <w:proofErr w:type="spellEnd"/>
      <w:r w:rsidRPr="007F170D">
        <w:rPr>
          <w:rFonts w:ascii="Times New Roman" w:hAnsi="Times New Roman"/>
          <w:sz w:val="24"/>
          <w:szCs w:val="24"/>
        </w:rPr>
        <w:t xml:space="preserve"> de 2015. </w:t>
      </w:r>
    </w:p>
    <w:p w:rsidR="00A33A7C" w:rsidRPr="007F170D" w:rsidRDefault="00A33A7C">
      <w:pPr>
        <w:pStyle w:val="Heading2"/>
        <w:spacing w:before="0" w:after="0"/>
        <w:rPr>
          <w:lang w:val="en-US"/>
        </w:rPr>
      </w:pPr>
    </w:p>
    <w:p w:rsidR="00A33A7C" w:rsidRDefault="004B5BEF">
      <w:pPr>
        <w:pStyle w:val="Padr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WRIGHT, Patrick M.; MCMAHAN, Gary C.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Exploring human capital: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putting human back into strategic human resource management. Human Resource Management Journal,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Vol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21, no 2, 2011, pages 93–</w:t>
      </w:r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104. </w:t>
      </w:r>
      <w:proofErr w:type="gramStart"/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http</w:t>
      </w:r>
      <w:proofErr w:type="gramEnd"/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://onlinelibrary.wiley.com/doi/10.1111/j. 1748-8583.2010.00165.x/</w:t>
      </w:r>
      <w:proofErr w:type="spellStart"/>
      <w:r w:rsidRPr="004B5BEF">
        <w:rPr>
          <w:rFonts w:ascii="Times New Roman" w:hAnsi="Times New Roman"/>
          <w:sz w:val="24"/>
          <w:szCs w:val="24"/>
          <w:u w:val="single"/>
          <w:shd w:val="clear" w:color="auto" w:fill="FFFFFF"/>
        </w:rPr>
        <w:t>epdf</w:t>
      </w:r>
      <w:proofErr w:type="spellEnd"/>
      <w:r w:rsidRPr="007F170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 xml:space="preserve">Acesso em: 29 de outubro de 2015. </w:t>
      </w:r>
    </w:p>
    <w:sectPr w:rsidR="00A33A7C">
      <w:headerReference w:type="default" r:id="rId13"/>
      <w:pgSz w:w="11900" w:h="16840"/>
      <w:pgMar w:top="680" w:right="1418" w:bottom="680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A6" w:rsidRDefault="00DC2DA6">
      <w:r>
        <w:separator/>
      </w:r>
    </w:p>
  </w:endnote>
  <w:endnote w:type="continuationSeparator" w:id="0">
    <w:p w:rsidR="00DC2DA6" w:rsidRDefault="00DC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A6" w:rsidRDefault="00DC2DA6">
      <w:r>
        <w:separator/>
      </w:r>
    </w:p>
  </w:footnote>
  <w:footnote w:type="continuationSeparator" w:id="0">
    <w:p w:rsidR="00DC2DA6" w:rsidRDefault="00DC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BEF" w:rsidRDefault="004B5BEF">
    <w:pPr>
      <w:pStyle w:val="Corpo"/>
      <w:jc w:val="right"/>
      <w:rPr>
        <w:rFonts w:ascii="Arial Narrow" w:hAnsi="Arial Narrow"/>
        <w:sz w:val="20"/>
        <w:szCs w:val="20"/>
      </w:rPr>
    </w:pPr>
    <w:r>
      <w:rPr>
        <w:rFonts w:ascii="Arial" w:hAnsi="Arial"/>
        <w:noProof/>
        <w:color w:val="808080"/>
        <w:sz w:val="14"/>
        <w:szCs w:val="14"/>
        <w:u w:color="808080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-91757</wp:posOffset>
          </wp:positionH>
          <wp:positionV relativeFrom="page">
            <wp:posOffset>0</wp:posOffset>
          </wp:positionV>
          <wp:extent cx="7743825" cy="2011680"/>
          <wp:effectExtent l="0" t="0" r="0" b="0"/>
          <wp:wrapNone/>
          <wp:docPr id="1073741825" name="officeArt object" descr="fundo-bran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ndo-branco.png" descr="fundo-branc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Unicode MS" w:hAnsi="Arial Unicode MS"/>
        <w:sz w:val="18"/>
        <w:szCs w:val="18"/>
      </w:rPr>
      <w:br/>
    </w:r>
  </w:p>
  <w:p w:rsidR="004B5BEF" w:rsidRDefault="004B5BEF">
    <w:pPr>
      <w:pStyle w:val="Corpo"/>
      <w:jc w:val="right"/>
      <w:rPr>
        <w:sz w:val="14"/>
        <w:szCs w:val="14"/>
      </w:rPr>
    </w:pPr>
  </w:p>
  <w:p w:rsidR="004B5BEF" w:rsidRDefault="004B5BEF">
    <w:pPr>
      <w:pStyle w:val="Corp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3A7C"/>
    <w:rsid w:val="00002213"/>
    <w:rsid w:val="004B5BEF"/>
    <w:rsid w:val="00701F3B"/>
    <w:rsid w:val="007F170D"/>
    <w:rsid w:val="0088336E"/>
    <w:rsid w:val="008B2EE6"/>
    <w:rsid w:val="00A33A7C"/>
    <w:rsid w:val="00AB7FA6"/>
    <w:rsid w:val="00DC2DA6"/>
    <w:rsid w:val="00E3176D"/>
    <w:rsid w:val="00F6358E"/>
    <w:rsid w:val="00F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Corpo"/>
    <w:pPr>
      <w:keepNext/>
      <w:spacing w:before="240" w:after="60" w:line="360" w:lineRule="auto"/>
      <w:jc w:val="both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pPr>
      <w:spacing w:after="120"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alneacxspmiddle">
    <w:name w:val="alneacxspmiddle"/>
    <w:pPr>
      <w:spacing w:before="100" w:after="100"/>
    </w:pPr>
    <w:rPr>
      <w:rFonts w:ascii="Tahoma" w:hAnsi="Tahoma" w:cs="Arial Unicode MS"/>
      <w:color w:val="000000"/>
      <w:sz w:val="17"/>
      <w:szCs w:val="17"/>
      <w:u w:color="000000"/>
      <w:lang w:val="pt-PT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4B5BE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BE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5BE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BE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Corpo"/>
    <w:pPr>
      <w:keepNext/>
      <w:spacing w:before="240" w:after="60" w:line="360" w:lineRule="auto"/>
      <w:jc w:val="both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o">
    <w:name w:val="Corpo"/>
    <w:pPr>
      <w:spacing w:after="120"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alneacxspmiddle">
    <w:name w:val="alneacxspmiddle"/>
    <w:pPr>
      <w:spacing w:before="100" w:after="100"/>
    </w:pPr>
    <w:rPr>
      <w:rFonts w:ascii="Tahoma" w:hAnsi="Tahoma" w:cs="Arial Unicode MS"/>
      <w:color w:val="000000"/>
      <w:sz w:val="17"/>
      <w:szCs w:val="17"/>
      <w:u w:color="000000"/>
      <w:lang w:val="pt-PT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4B5BE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BE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5BE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BE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tnu.no/ojs/index.php/norepid/article/view/584/5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roundedCorners val="0"/>
  <c:style val="2"/>
  <c:chart>
    <c:autoTitleDeleted val="1"/>
    <c:view3D>
      <c:rotX val="80"/>
      <c:hPercent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1658790152420858E-2"/>
          <c:y val="7.8018722022313754E-3"/>
          <c:w val="0.73593799999999998"/>
          <c:h val="0.98750000000000004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Nª de </c:v>
                </c:pt>
              </c:strCache>
            </c:strRef>
          </c:tx>
          <c:spPr>
            <a:solidFill>
              <a:srgbClr val="FF0000"/>
            </a:solidFill>
            <a:ln w="12700" cap="flat">
              <a:noFill/>
              <a:miter lim="400000"/>
            </a:ln>
            <a:effectLst/>
            <a:sp3d prstMaterial="matte"/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rgbClr val="9BBB59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rgbClr val="8064A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4"/>
            <c:bubble3D val="0"/>
            <c:spPr>
              <a:solidFill>
                <a:srgbClr val="4BACC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5"/>
            <c:bubble3D val="0"/>
            <c:spPr>
              <a:solidFill>
                <a:srgbClr val="F7964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6"/>
            <c:bubble3D val="0"/>
            <c:spPr>
              <a:solidFill>
                <a:srgbClr val="FF222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7"/>
            <c:bubble3D val="0"/>
            <c:spPr>
              <a:solidFill>
                <a:srgbClr val="C0504D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8"/>
            <c:bubble3D val="0"/>
            <c:spPr>
              <a:solidFill>
                <a:srgbClr val="9BBB59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9"/>
            <c:bubble3D val="0"/>
            <c:spPr>
              <a:solidFill>
                <a:srgbClr val="8064A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0"/>
            <c:bubble3D val="0"/>
            <c:spPr>
              <a:solidFill>
                <a:srgbClr val="4BACC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1"/>
            <c:bubble3D val="0"/>
            <c:spPr>
              <a:solidFill>
                <a:srgbClr val="F7964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2"/>
            <c:bubble3D val="0"/>
            <c:spPr>
              <a:solidFill>
                <a:srgbClr val="FF4444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3"/>
            <c:bubble3D val="0"/>
            <c:spPr>
              <a:solidFill>
                <a:srgbClr val="C0504D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4"/>
            <c:bubble3D val="0"/>
            <c:spPr>
              <a:solidFill>
                <a:srgbClr val="9BBB59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5"/>
            <c:bubble3D val="0"/>
            <c:spPr>
              <a:solidFill>
                <a:srgbClr val="8064A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6"/>
            <c:bubble3D val="0"/>
            <c:spPr>
              <a:solidFill>
                <a:srgbClr val="4BACC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7"/>
            <c:bubble3D val="0"/>
            <c:spPr>
              <a:solidFill>
                <a:srgbClr val="F7964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8"/>
            <c:bubble3D val="0"/>
            <c:spPr>
              <a:solidFill>
                <a:srgbClr val="008F00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9"/>
            <c:bubble3D val="0"/>
            <c:spPr>
              <a:solidFill>
                <a:srgbClr val="011993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Lbls>
            <c:dLbl>
              <c:idx val="16"/>
              <c:numFmt formatCode="0%" sourceLinked="0"/>
              <c:spPr/>
              <c:txPr>
                <a:bodyPr/>
                <a:lstStyle/>
                <a:p>
                  <a:pPr>
                    <a:defRPr sz="7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7"/>
              <c:numFmt formatCode="0%" sourceLinked="0"/>
              <c:spPr/>
              <c:txPr>
                <a:bodyPr/>
                <a:lstStyle/>
                <a:p>
                  <a:pPr>
                    <a:defRPr sz="7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8"/>
              <c:numFmt formatCode="0%" sourceLinked="0"/>
              <c:spPr/>
              <c:txPr>
                <a:bodyPr/>
                <a:lstStyle/>
                <a:p>
                  <a:pPr>
                    <a:defRPr sz="7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9"/>
              <c:numFmt formatCode="0%" sourceLinked="0"/>
              <c:spPr/>
              <c:txPr>
                <a:bodyPr/>
                <a:lstStyle/>
                <a:p>
                  <a:pPr>
                    <a:defRPr sz="8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1000" b="1" i="0" u="none" strike="noStrike">
                    <a:solidFill>
                      <a:srgbClr val="000000"/>
                    </a:solidFill>
                    <a:latin typeface="Calibri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Sheet1!$B$1:$U$1</c:f>
              <c:strCache>
                <c:ptCount val="20"/>
                <c:pt idx="0">
                  <c:v>Z</c:v>
                </c:pt>
                <c:pt idx="1">
                  <c:v>J</c:v>
                </c:pt>
                <c:pt idx="2">
                  <c:v>M</c:v>
                </c:pt>
                <c:pt idx="3">
                  <c:v>K</c:v>
                </c:pt>
                <c:pt idx="4">
                  <c:v>F</c:v>
                </c:pt>
                <c:pt idx="5">
                  <c:v>S</c:v>
                </c:pt>
                <c:pt idx="6">
                  <c:v>I</c:v>
                </c:pt>
                <c:pt idx="7">
                  <c:v>A</c:v>
                </c:pt>
                <c:pt idx="8">
                  <c:v>R</c:v>
                </c:pt>
                <c:pt idx="9">
                  <c:v>H</c:v>
                </c:pt>
                <c:pt idx="10">
                  <c:v>N</c:v>
                </c:pt>
                <c:pt idx="11">
                  <c:v>L</c:v>
                </c:pt>
                <c:pt idx="12">
                  <c:v>O</c:v>
                </c:pt>
                <c:pt idx="13">
                  <c:v>B</c:v>
                </c:pt>
                <c:pt idx="14">
                  <c:v>G</c:v>
                </c:pt>
                <c:pt idx="15">
                  <c:v>C</c:v>
                </c:pt>
                <c:pt idx="16">
                  <c:v>E</c:v>
                </c:pt>
                <c:pt idx="17">
                  <c:v>D</c:v>
                </c:pt>
                <c:pt idx="18">
                  <c:v>T</c:v>
                </c:pt>
                <c:pt idx="19">
                  <c:v>W</c:v>
                </c:pt>
              </c:strCache>
            </c:strRef>
          </c:cat>
          <c:val>
            <c:numRef>
              <c:f>Sheet1!$B$2:$U$2</c:f>
              <c:numCache>
                <c:formatCode>General</c:formatCode>
                <c:ptCount val="20"/>
                <c:pt idx="0">
                  <c:v>0.153</c:v>
                </c:pt>
                <c:pt idx="1">
                  <c:v>0.14799999999999999</c:v>
                </c:pt>
                <c:pt idx="2">
                  <c:v>0.11600000000000001</c:v>
                </c:pt>
                <c:pt idx="3">
                  <c:v>9.6000000000000002E-2</c:v>
                </c:pt>
                <c:pt idx="4">
                  <c:v>7.0000000000000007E-2</c:v>
                </c:pt>
                <c:pt idx="5">
                  <c:v>6.7000000000000004E-2</c:v>
                </c:pt>
                <c:pt idx="6">
                  <c:v>5.1999999999999998E-2</c:v>
                </c:pt>
                <c:pt idx="7">
                  <c:v>5.1999999999999998E-2</c:v>
                </c:pt>
                <c:pt idx="8">
                  <c:v>4.4999999999999998E-2</c:v>
                </c:pt>
                <c:pt idx="9">
                  <c:v>4.1000000000000002E-2</c:v>
                </c:pt>
                <c:pt idx="10">
                  <c:v>3.5000000000000003E-2</c:v>
                </c:pt>
                <c:pt idx="11">
                  <c:v>2.1999999999999999E-2</c:v>
                </c:pt>
                <c:pt idx="12">
                  <c:v>2.1999999999999999E-2</c:v>
                </c:pt>
                <c:pt idx="13">
                  <c:v>0.02</c:v>
                </c:pt>
                <c:pt idx="14">
                  <c:v>1.7999999999999999E-2</c:v>
                </c:pt>
                <c:pt idx="15">
                  <c:v>1.4999999999999999E-2</c:v>
                </c:pt>
                <c:pt idx="16">
                  <c:v>8.9999999999999993E-3</c:v>
                </c:pt>
                <c:pt idx="17">
                  <c:v>8.0000000000000002E-3</c:v>
                </c:pt>
                <c:pt idx="18">
                  <c:v>7.0000000000000001E-3</c:v>
                </c:pt>
                <c:pt idx="19">
                  <c:v>4.0000000000000001E-3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2"/>
                <c:pt idx="1">
                  <c:v>Casos</c:v>
                </c:pt>
              </c:strCache>
            </c:strRef>
          </c:tx>
          <c:spPr>
            <a:solidFill>
              <a:srgbClr val="FF0000"/>
            </a:solidFill>
            <a:ln w="12700" cap="flat">
              <a:noFill/>
              <a:miter lim="400000"/>
            </a:ln>
            <a:effectLst/>
            <a:sp3d prstMaterial="matte"/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C0504D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rgbClr val="9BBB59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rgbClr val="8064A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4"/>
            <c:bubble3D val="0"/>
            <c:spPr>
              <a:solidFill>
                <a:srgbClr val="4BACC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5"/>
            <c:bubble3D val="0"/>
            <c:spPr>
              <a:solidFill>
                <a:srgbClr val="F7964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6"/>
            <c:bubble3D val="0"/>
            <c:spPr>
              <a:solidFill>
                <a:srgbClr val="FF222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7"/>
            <c:bubble3D val="0"/>
            <c:spPr>
              <a:solidFill>
                <a:srgbClr val="C0504D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8"/>
            <c:bubble3D val="0"/>
            <c:spPr>
              <a:solidFill>
                <a:srgbClr val="9BBB59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9"/>
            <c:bubble3D val="0"/>
            <c:spPr>
              <a:solidFill>
                <a:srgbClr val="8064A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0"/>
            <c:bubble3D val="0"/>
            <c:spPr>
              <a:solidFill>
                <a:srgbClr val="4BACC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1"/>
            <c:bubble3D val="0"/>
            <c:spPr>
              <a:solidFill>
                <a:srgbClr val="F7964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2"/>
            <c:bubble3D val="0"/>
            <c:spPr>
              <a:solidFill>
                <a:srgbClr val="FF4444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3"/>
            <c:bubble3D val="0"/>
            <c:spPr>
              <a:solidFill>
                <a:srgbClr val="C0504D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4"/>
            <c:bubble3D val="0"/>
            <c:spPr>
              <a:solidFill>
                <a:srgbClr val="9BBB59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5"/>
            <c:bubble3D val="0"/>
            <c:spPr>
              <a:solidFill>
                <a:srgbClr val="8064A2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6"/>
            <c:bubble3D val="0"/>
            <c:spPr>
              <a:solidFill>
                <a:srgbClr val="4BACC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7"/>
            <c:bubble3D val="0"/>
            <c:spPr>
              <a:solidFill>
                <a:srgbClr val="F79646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8"/>
            <c:bubble3D val="0"/>
            <c:spPr>
              <a:solidFill>
                <a:srgbClr val="008F00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Pt>
            <c:idx val="19"/>
            <c:bubble3D val="0"/>
            <c:spPr>
              <a:solidFill>
                <a:srgbClr val="011993"/>
              </a:solidFill>
              <a:ln w="12700" cap="flat">
                <a:noFill/>
                <a:miter lim="400000"/>
              </a:ln>
              <a:effectLst/>
              <a:sp3d prstMaterial="matte"/>
            </c:spPr>
          </c:dPt>
          <c:dLbls>
            <c:dLbl>
              <c:idx val="16"/>
              <c:numFmt formatCode="0%" sourceLinked="0"/>
              <c:spPr/>
              <c:txPr>
                <a:bodyPr/>
                <a:lstStyle/>
                <a:p>
                  <a:pPr>
                    <a:defRPr sz="7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7"/>
              <c:numFmt formatCode="0%" sourceLinked="0"/>
              <c:spPr/>
              <c:txPr>
                <a:bodyPr/>
                <a:lstStyle/>
                <a:p>
                  <a:pPr>
                    <a:defRPr sz="7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8"/>
              <c:numFmt formatCode="0%" sourceLinked="0"/>
              <c:spPr/>
              <c:txPr>
                <a:bodyPr/>
                <a:lstStyle/>
                <a:p>
                  <a:pPr>
                    <a:defRPr sz="7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pt-BR"/>
                </a:p>
              </c:txPr>
              <c:dLblPos val="outEnd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9"/>
              <c:numFmt formatCode="0%" sourceLinked="0"/>
              <c:spPr/>
              <c:txPr>
                <a:bodyPr/>
                <a:lstStyle/>
                <a:p>
                  <a:pPr>
                    <a:defRPr sz="800" b="1" i="0" u="none" strike="noStrike">
                      <a:solidFill>
                        <a:srgbClr val="000000"/>
                      </a:solidFill>
                      <a:latin typeface="Calibri"/>
                    </a:defRPr>
                  </a:pPr>
                  <a:endParaRPr lang="pt-BR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1000" b="1" i="0" u="none" strike="noStrike">
                    <a:solidFill>
                      <a:srgbClr val="000000"/>
                    </a:solidFill>
                    <a:latin typeface="Calibri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Sheet1!$B$1:$U$1</c:f>
              <c:strCache>
                <c:ptCount val="20"/>
                <c:pt idx="0">
                  <c:v>Z</c:v>
                </c:pt>
                <c:pt idx="1">
                  <c:v>J</c:v>
                </c:pt>
                <c:pt idx="2">
                  <c:v>M</c:v>
                </c:pt>
                <c:pt idx="3">
                  <c:v>K</c:v>
                </c:pt>
                <c:pt idx="4">
                  <c:v>F</c:v>
                </c:pt>
                <c:pt idx="5">
                  <c:v>S</c:v>
                </c:pt>
                <c:pt idx="6">
                  <c:v>I</c:v>
                </c:pt>
                <c:pt idx="7">
                  <c:v>A</c:v>
                </c:pt>
                <c:pt idx="8">
                  <c:v>R</c:v>
                </c:pt>
                <c:pt idx="9">
                  <c:v>H</c:v>
                </c:pt>
                <c:pt idx="10">
                  <c:v>N</c:v>
                </c:pt>
                <c:pt idx="11">
                  <c:v>L</c:v>
                </c:pt>
                <c:pt idx="12">
                  <c:v>O</c:v>
                </c:pt>
                <c:pt idx="13">
                  <c:v>B</c:v>
                </c:pt>
                <c:pt idx="14">
                  <c:v>G</c:v>
                </c:pt>
                <c:pt idx="15">
                  <c:v>C</c:v>
                </c:pt>
                <c:pt idx="16">
                  <c:v>E</c:v>
                </c:pt>
                <c:pt idx="17">
                  <c:v>D</c:v>
                </c:pt>
                <c:pt idx="18">
                  <c:v>T</c:v>
                </c:pt>
                <c:pt idx="19">
                  <c:v>W</c:v>
                </c:pt>
              </c:strCache>
            </c:strRef>
          </c:cat>
          <c:val>
            <c:numRef>
              <c:f>Sheet1!$B$3:$U$3</c:f>
              <c:numCache>
                <c:formatCode>General</c:formatCode>
                <c:ptCount val="20"/>
                <c:pt idx="0">
                  <c:v>0.153</c:v>
                </c:pt>
                <c:pt idx="1">
                  <c:v>0.14799999999999999</c:v>
                </c:pt>
                <c:pt idx="2">
                  <c:v>0.11600000000000001</c:v>
                </c:pt>
                <c:pt idx="3">
                  <c:v>9.6000000000000002E-2</c:v>
                </c:pt>
                <c:pt idx="4">
                  <c:v>7.0000000000000007E-2</c:v>
                </c:pt>
                <c:pt idx="5">
                  <c:v>6.7000000000000004E-2</c:v>
                </c:pt>
                <c:pt idx="6">
                  <c:v>5.1999999999999998E-2</c:v>
                </c:pt>
                <c:pt idx="7">
                  <c:v>5.1999999999999998E-2</c:v>
                </c:pt>
                <c:pt idx="8">
                  <c:v>4.4999999999999998E-2</c:v>
                </c:pt>
                <c:pt idx="9">
                  <c:v>4.1000000000000002E-2</c:v>
                </c:pt>
                <c:pt idx="10">
                  <c:v>3.5000000000000003E-2</c:v>
                </c:pt>
                <c:pt idx="11">
                  <c:v>2.1999999999999999E-2</c:v>
                </c:pt>
                <c:pt idx="12">
                  <c:v>2.1999999999999999E-2</c:v>
                </c:pt>
                <c:pt idx="13">
                  <c:v>0.02</c:v>
                </c:pt>
                <c:pt idx="14">
                  <c:v>1.7999999999999999E-2</c:v>
                </c:pt>
                <c:pt idx="15">
                  <c:v>1.4999999999999999E-2</c:v>
                </c:pt>
                <c:pt idx="16">
                  <c:v>8.9999999999999993E-3</c:v>
                </c:pt>
                <c:pt idx="17">
                  <c:v>8.0000000000000002E-3</c:v>
                </c:pt>
                <c:pt idx="18">
                  <c:v>7.0000000000000001E-3</c:v>
                </c:pt>
                <c:pt idx="19">
                  <c:v>4.0000000000000001E-3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84293943266610949"/>
          <c:y val="0.17608275989877842"/>
          <c:w val="9.7564799999999993E-2"/>
          <c:h val="0.6175559999999999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1000" b="0" i="0" u="none" strike="noStrike">
              <a:solidFill>
                <a:srgbClr val="000000"/>
              </a:solidFill>
              <a:latin typeface="Calibri"/>
            </a:defRPr>
          </a:pPr>
          <a:endParaRPr lang="pt-BR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000000">
          <a:alpha val="99000"/>
        </a:srgbClr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5107</Words>
  <Characters>27584</Characters>
  <Application>Microsoft Office Word</Application>
  <DocSecurity>0</DocSecurity>
  <Lines>229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2018-02-14T02:16:00Z</dcterms:created>
  <dcterms:modified xsi:type="dcterms:W3CDTF">2018-02-14T02:16:00Z</dcterms:modified>
</cp:coreProperties>
</file>