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7018CA" w14:textId="77777777" w:rsidR="005B73B2" w:rsidRDefault="005B73B2">
      <w:pPr>
        <w:spacing w:after="0" w:line="360" w:lineRule="auto"/>
        <w:jc w:val="center"/>
        <w:rPr>
          <w:rFonts w:ascii="Arial" w:hAnsi="Arial" w:cs="Arial"/>
          <w:b/>
          <w:sz w:val="28"/>
        </w:rPr>
      </w:pPr>
    </w:p>
    <w:p w14:paraId="4673E442" w14:textId="77777777" w:rsidR="005B73B2" w:rsidRDefault="006E24ED">
      <w:pPr>
        <w:spacing w:after="0" w:line="240" w:lineRule="auto"/>
        <w:jc w:val="center"/>
      </w:pPr>
      <w:r>
        <w:rPr>
          <w:rFonts w:ascii="Arial" w:eastAsia="Times New Roman" w:hAnsi="Arial" w:cs="Arial"/>
          <w:b/>
          <w:bCs/>
          <w:smallCaps/>
          <w:color w:val="000000" w:themeColor="text1"/>
          <w:sz w:val="28"/>
          <w:szCs w:val="28"/>
          <w:lang w:eastAsia="zh-CN" w:bidi="hi-IN"/>
        </w:rPr>
        <w:t xml:space="preserve">SOLUÇÕES ALTERNATIVAS ADOTADAS PELO PODER JUDICIÁRIO DURANTE A PANDEMIA </w:t>
      </w:r>
    </w:p>
    <w:p w14:paraId="6708A0F3" w14:textId="77777777" w:rsidR="005B73B2" w:rsidRDefault="005B73B2">
      <w:pPr>
        <w:widowControl w:val="0"/>
        <w:spacing w:after="0" w:line="240" w:lineRule="auto"/>
        <w:jc w:val="center"/>
        <w:rPr>
          <w:rFonts w:ascii="Times New Roman" w:eastAsia="Times New Roman" w:hAnsi="Times New Roman"/>
          <w:b/>
          <w:bCs/>
          <w:smallCaps/>
          <w:color w:val="000000"/>
          <w:sz w:val="28"/>
          <w:szCs w:val="28"/>
          <w:lang w:eastAsia="zh-CN" w:bidi="hi-IN"/>
        </w:rPr>
      </w:pPr>
    </w:p>
    <w:p w14:paraId="72B4E4E2" w14:textId="77777777" w:rsidR="005B73B2" w:rsidRDefault="006E24ED">
      <w:pPr>
        <w:widowControl w:val="0"/>
        <w:spacing w:after="0" w:line="240" w:lineRule="auto"/>
        <w:ind w:left="2268"/>
        <w:jc w:val="right"/>
        <w:rPr>
          <w:rFonts w:ascii="Arial" w:eastAsia="Times New Roman" w:hAnsi="Arial" w:cs="Arial"/>
          <w:lang w:eastAsia="zh-CN" w:bidi="hi-IN"/>
        </w:rPr>
      </w:pPr>
      <w:r>
        <w:rPr>
          <w:rFonts w:ascii="Arial" w:eastAsia="Times New Roman" w:hAnsi="Arial" w:cs="Arial"/>
          <w:lang w:eastAsia="zh-CN" w:bidi="hi-IN"/>
        </w:rPr>
        <w:t xml:space="preserve">CASTRO, </w:t>
      </w:r>
      <w:proofErr w:type="spellStart"/>
      <w:r>
        <w:rPr>
          <w:rFonts w:ascii="Arial" w:eastAsia="Times New Roman" w:hAnsi="Arial" w:cs="Arial"/>
          <w:lang w:eastAsia="zh-CN" w:bidi="hi-IN"/>
        </w:rPr>
        <w:t>Adriani</w:t>
      </w:r>
      <w:proofErr w:type="spellEnd"/>
      <w:r>
        <w:rPr>
          <w:rFonts w:ascii="Arial" w:eastAsia="Times New Roman" w:hAnsi="Arial" w:cs="Arial"/>
          <w:lang w:eastAsia="zh-CN" w:bidi="hi-IN"/>
        </w:rPr>
        <w:t xml:space="preserve"> Eduardo</w:t>
      </w:r>
    </w:p>
    <w:p w14:paraId="20BDA5A5" w14:textId="77777777" w:rsidR="005B73B2" w:rsidRDefault="006E24ED">
      <w:pPr>
        <w:spacing w:after="0" w:line="240" w:lineRule="auto"/>
        <w:ind w:left="2268"/>
        <w:jc w:val="right"/>
        <w:rPr>
          <w:rFonts w:ascii="Arial" w:eastAsia="Times New Roman" w:hAnsi="Arial" w:cs="Arial"/>
          <w:i/>
          <w:iCs/>
          <w:lang w:eastAsia="zh-CN" w:bidi="hi-IN"/>
        </w:rPr>
      </w:pPr>
      <w:r>
        <w:rPr>
          <w:rFonts w:ascii="Arial" w:eastAsia="Times New Roman" w:hAnsi="Arial" w:cs="Arial"/>
          <w:i/>
          <w:iCs/>
          <w:lang w:eastAsia="zh-CN" w:bidi="hi-IN"/>
        </w:rPr>
        <w:t>Graduanda do 6º período de Direito da Faculdade Metropolitana São Carlos – FAMESC</w:t>
      </w:r>
    </w:p>
    <w:p w14:paraId="26886204" w14:textId="77777777" w:rsidR="005B73B2" w:rsidRDefault="006E24ED">
      <w:pPr>
        <w:spacing w:after="0" w:line="240" w:lineRule="auto"/>
        <w:ind w:left="2268"/>
        <w:jc w:val="right"/>
      </w:pPr>
      <w:r>
        <w:rPr>
          <w:rFonts w:ascii="Arial" w:eastAsia="Times New Roman" w:hAnsi="Arial" w:cs="Arial"/>
          <w:lang w:eastAsia="zh-CN" w:bidi="hi-IN"/>
        </w:rPr>
        <w:t>adrianieduardocastro@hotmail.com</w:t>
      </w:r>
    </w:p>
    <w:p w14:paraId="5924FA56" w14:textId="77777777" w:rsidR="005B73B2" w:rsidRDefault="005B73B2">
      <w:pPr>
        <w:widowControl w:val="0"/>
        <w:spacing w:after="0" w:line="240" w:lineRule="auto"/>
        <w:ind w:left="2268"/>
        <w:jc w:val="right"/>
        <w:rPr>
          <w:rFonts w:ascii="Arial" w:eastAsia="Times New Roman" w:hAnsi="Arial" w:cs="Arial"/>
          <w:lang w:eastAsia="zh-CN" w:bidi="hi-IN"/>
        </w:rPr>
      </w:pPr>
    </w:p>
    <w:p w14:paraId="7AA488A2" w14:textId="77777777" w:rsidR="005B73B2" w:rsidRDefault="006E24ED">
      <w:pPr>
        <w:spacing w:after="0" w:line="240" w:lineRule="auto"/>
        <w:ind w:left="2268"/>
        <w:jc w:val="right"/>
        <w:rPr>
          <w:rFonts w:ascii="Arial" w:eastAsia="Times New Roman" w:hAnsi="Arial" w:cs="Arial"/>
          <w:lang w:eastAsia="zh-CN" w:bidi="hi-IN"/>
        </w:rPr>
      </w:pPr>
      <w:r>
        <w:rPr>
          <w:rFonts w:ascii="Arial" w:eastAsia="Times New Roman" w:hAnsi="Arial" w:cs="Arial"/>
          <w:lang w:eastAsia="zh-CN" w:bidi="hi-IN"/>
        </w:rPr>
        <w:t>LEAL, Larissa da Silva</w:t>
      </w:r>
    </w:p>
    <w:p w14:paraId="151AB56D" w14:textId="77777777" w:rsidR="005B73B2" w:rsidRDefault="006E24ED">
      <w:pPr>
        <w:spacing w:after="0" w:line="240" w:lineRule="auto"/>
        <w:ind w:left="2268"/>
        <w:jc w:val="right"/>
        <w:rPr>
          <w:rFonts w:ascii="Arial" w:eastAsia="Times New Roman" w:hAnsi="Arial" w:cs="Arial"/>
          <w:i/>
          <w:iCs/>
          <w:lang w:eastAsia="zh-CN" w:bidi="hi-IN"/>
        </w:rPr>
      </w:pPr>
      <w:r>
        <w:rPr>
          <w:rFonts w:ascii="Arial" w:eastAsia="Times New Roman" w:hAnsi="Arial" w:cs="Arial"/>
          <w:i/>
          <w:iCs/>
          <w:lang w:eastAsia="zh-CN" w:bidi="hi-IN"/>
        </w:rPr>
        <w:t>Graduanda do 6º período de Direito da Faculdade Metropolitana São Carlos – FAMESC</w:t>
      </w:r>
    </w:p>
    <w:p w14:paraId="3CAED2C4" w14:textId="145B4D43" w:rsidR="005B73B2" w:rsidRDefault="00E04AAE">
      <w:pPr>
        <w:widowControl w:val="0"/>
        <w:spacing w:after="0" w:line="240" w:lineRule="auto"/>
        <w:ind w:left="2268"/>
        <w:jc w:val="right"/>
        <w:rPr>
          <w:rFonts w:ascii="Arial" w:eastAsia="Times New Roman" w:hAnsi="Arial" w:cs="Arial"/>
          <w:lang w:eastAsia="zh-CN" w:bidi="hi-IN"/>
        </w:rPr>
      </w:pPr>
      <w:r w:rsidRPr="00E04AAE">
        <w:rPr>
          <w:rFonts w:ascii="Arial" w:eastAsia="Times New Roman" w:hAnsi="Arial" w:cs="Arial"/>
          <w:lang w:eastAsia="zh-CN" w:bidi="hi-IN"/>
        </w:rPr>
        <w:t>larissaleal37@gmail.com</w:t>
      </w:r>
    </w:p>
    <w:p w14:paraId="72682CE5" w14:textId="77777777" w:rsidR="00E04AAE" w:rsidRPr="00305FB0" w:rsidRDefault="00E04AAE" w:rsidP="00E04AAE">
      <w:pPr>
        <w:widowControl w:val="0"/>
        <w:autoSpaceDE w:val="0"/>
        <w:autoSpaceDN w:val="0"/>
        <w:adjustRightInd w:val="0"/>
        <w:spacing w:after="0" w:line="240" w:lineRule="auto"/>
        <w:ind w:left="2268"/>
        <w:jc w:val="right"/>
        <w:rPr>
          <w:rFonts w:ascii="Arial" w:eastAsia="Times New Roman" w:hAnsi="Arial" w:cs="Arial"/>
          <w:kern w:val="2"/>
          <w:lang w:eastAsia="zh-CN" w:bidi="hi-IN"/>
        </w:rPr>
      </w:pPr>
    </w:p>
    <w:p w14:paraId="218F3E09" w14:textId="77777777" w:rsidR="00E04AAE" w:rsidRPr="00F6329A" w:rsidRDefault="00E04AAE" w:rsidP="00E04AAE">
      <w:pPr>
        <w:widowControl w:val="0"/>
        <w:autoSpaceDE w:val="0"/>
        <w:autoSpaceDN w:val="0"/>
        <w:adjustRightInd w:val="0"/>
        <w:spacing w:after="0" w:line="240" w:lineRule="auto"/>
        <w:ind w:left="2268"/>
        <w:jc w:val="right"/>
        <w:rPr>
          <w:rFonts w:ascii="Arial" w:eastAsia="Times New Roman" w:hAnsi="Arial" w:cs="Arial"/>
          <w:kern w:val="2"/>
          <w:lang w:eastAsia="zh-CN" w:bidi="hi-IN"/>
        </w:rPr>
      </w:pPr>
      <w:r w:rsidRPr="00F6329A">
        <w:rPr>
          <w:rFonts w:ascii="Arial" w:eastAsia="Times New Roman" w:hAnsi="Arial" w:cs="Arial"/>
          <w:kern w:val="2"/>
          <w:lang w:eastAsia="zh-CN" w:bidi="hi-IN"/>
        </w:rPr>
        <w:t>MELO, Bruno Cleuder de</w:t>
      </w:r>
      <w:r>
        <w:rPr>
          <w:rFonts w:ascii="Arial" w:eastAsia="Times New Roman" w:hAnsi="Arial" w:cs="Arial"/>
          <w:kern w:val="2"/>
          <w:lang w:eastAsia="zh-CN" w:bidi="hi-IN"/>
        </w:rPr>
        <w:t>. Professor Orientador.</w:t>
      </w:r>
    </w:p>
    <w:p w14:paraId="0F4BA807" w14:textId="77777777" w:rsidR="00E04AAE" w:rsidRPr="00F6329A" w:rsidRDefault="00E04AAE" w:rsidP="00E04AAE">
      <w:pPr>
        <w:widowControl w:val="0"/>
        <w:autoSpaceDE w:val="0"/>
        <w:autoSpaceDN w:val="0"/>
        <w:adjustRightInd w:val="0"/>
        <w:spacing w:after="0" w:line="240" w:lineRule="auto"/>
        <w:ind w:left="2268"/>
        <w:jc w:val="right"/>
        <w:rPr>
          <w:rFonts w:ascii="Arial" w:eastAsia="Times New Roman" w:hAnsi="Arial" w:cs="Arial"/>
          <w:kern w:val="2"/>
          <w:lang w:eastAsia="zh-CN" w:bidi="hi-IN"/>
        </w:rPr>
      </w:pPr>
      <w:r w:rsidRPr="00B71677">
        <w:rPr>
          <w:rFonts w:ascii="Arial" w:eastAsia="Times New Roman" w:hAnsi="Arial" w:cs="Arial"/>
          <w:i/>
          <w:kern w:val="2"/>
          <w:lang w:eastAsia="zh-CN" w:bidi="hi-IN"/>
        </w:rPr>
        <w:t xml:space="preserve">Delegado de Polícia Civil do RJ. </w:t>
      </w:r>
      <w:r>
        <w:rPr>
          <w:rFonts w:ascii="Arial" w:eastAsia="Times New Roman" w:hAnsi="Arial" w:cs="Arial"/>
          <w:i/>
          <w:kern w:val="2"/>
          <w:lang w:eastAsia="zh-CN" w:bidi="hi-IN"/>
        </w:rPr>
        <w:t>Especialista</w:t>
      </w:r>
      <w:r w:rsidRPr="00B71677">
        <w:rPr>
          <w:rFonts w:ascii="Arial" w:eastAsia="Times New Roman" w:hAnsi="Arial" w:cs="Arial"/>
          <w:i/>
          <w:kern w:val="2"/>
          <w:lang w:eastAsia="zh-CN" w:bidi="hi-IN"/>
        </w:rPr>
        <w:t xml:space="preserve"> em Direito Público pela Faculdade Metropolitana São Carlos - FAMES</w:t>
      </w:r>
      <w:r w:rsidRPr="00B71677">
        <w:rPr>
          <w:rFonts w:ascii="Arial" w:eastAsia="Times New Roman" w:hAnsi="Arial" w:cs="Arial"/>
          <w:kern w:val="2"/>
          <w:lang w:eastAsia="zh-CN" w:bidi="hi-IN"/>
        </w:rPr>
        <w:t xml:space="preserve">C </w:t>
      </w:r>
      <w:r w:rsidRPr="00B71677">
        <w:rPr>
          <w:rFonts w:ascii="Arial" w:eastAsia="Times New Roman" w:hAnsi="Arial" w:cs="Arial"/>
          <w:i/>
          <w:kern w:val="2"/>
          <w:lang w:eastAsia="zh-CN" w:bidi="hi-IN"/>
        </w:rPr>
        <w:t>(2014)</w:t>
      </w:r>
      <w:r w:rsidRPr="00B71677">
        <w:rPr>
          <w:rFonts w:ascii="Arial" w:eastAsia="Times New Roman" w:hAnsi="Arial" w:cs="Arial"/>
          <w:kern w:val="2"/>
          <w:lang w:eastAsia="zh-CN" w:bidi="hi-IN"/>
        </w:rPr>
        <w:t>.</w:t>
      </w:r>
    </w:p>
    <w:p w14:paraId="6479D654" w14:textId="7F737C9D" w:rsidR="00E04AAE" w:rsidRDefault="00E04AAE" w:rsidP="00E04AAE">
      <w:pPr>
        <w:widowControl w:val="0"/>
        <w:autoSpaceDE w:val="0"/>
        <w:autoSpaceDN w:val="0"/>
        <w:adjustRightInd w:val="0"/>
        <w:spacing w:after="0" w:line="240" w:lineRule="auto"/>
        <w:ind w:left="2268"/>
        <w:jc w:val="right"/>
        <w:rPr>
          <w:rFonts w:ascii="Arial" w:eastAsia="Times New Roman" w:hAnsi="Arial" w:cs="Arial"/>
          <w:kern w:val="2"/>
          <w:lang w:eastAsia="zh-CN" w:bidi="hi-IN"/>
        </w:rPr>
      </w:pPr>
      <w:r w:rsidRPr="00E04AAE">
        <w:rPr>
          <w:rFonts w:ascii="Arial" w:eastAsia="Times New Roman" w:hAnsi="Arial" w:cs="Arial"/>
          <w:kern w:val="2"/>
          <w:lang w:eastAsia="zh-CN" w:bidi="hi-IN"/>
        </w:rPr>
        <w:t>brunocleuder@yahoo.com.br</w:t>
      </w:r>
    </w:p>
    <w:p w14:paraId="0B52287C" w14:textId="77777777" w:rsidR="00E04AAE" w:rsidRDefault="00E04AAE" w:rsidP="00E04AAE">
      <w:pPr>
        <w:widowControl w:val="0"/>
        <w:autoSpaceDE w:val="0"/>
        <w:autoSpaceDN w:val="0"/>
        <w:adjustRightInd w:val="0"/>
        <w:spacing w:after="0" w:line="240" w:lineRule="auto"/>
        <w:ind w:left="2268"/>
        <w:jc w:val="right"/>
        <w:rPr>
          <w:rFonts w:ascii="Arial" w:eastAsia="Times New Roman" w:hAnsi="Arial" w:cs="Arial"/>
          <w:kern w:val="2"/>
          <w:lang w:eastAsia="zh-CN" w:bidi="hi-IN"/>
        </w:rPr>
      </w:pPr>
    </w:p>
    <w:p w14:paraId="6F06626D" w14:textId="77777777" w:rsidR="00E04AAE" w:rsidRPr="00F6329A" w:rsidRDefault="00E04AAE" w:rsidP="00E04AAE">
      <w:pPr>
        <w:widowControl w:val="0"/>
        <w:autoSpaceDE w:val="0"/>
        <w:autoSpaceDN w:val="0"/>
        <w:adjustRightInd w:val="0"/>
        <w:spacing w:after="0" w:line="240" w:lineRule="auto"/>
        <w:ind w:left="2268"/>
        <w:jc w:val="right"/>
        <w:rPr>
          <w:rFonts w:ascii="Arial" w:eastAsia="Times New Roman" w:hAnsi="Arial" w:cs="Arial"/>
          <w:kern w:val="2"/>
          <w:lang w:eastAsia="zh-CN" w:bidi="hi-IN"/>
        </w:rPr>
      </w:pPr>
      <w:r w:rsidRPr="00F6329A">
        <w:rPr>
          <w:rFonts w:ascii="Arial" w:eastAsia="Times New Roman" w:hAnsi="Arial" w:cs="Arial"/>
          <w:kern w:val="2"/>
          <w:lang w:eastAsia="zh-CN" w:bidi="hi-IN"/>
        </w:rPr>
        <w:t>PAULISTA, Bárbara Rangel</w:t>
      </w:r>
      <w:r>
        <w:rPr>
          <w:rFonts w:ascii="Arial" w:eastAsia="Times New Roman" w:hAnsi="Arial" w:cs="Arial"/>
          <w:kern w:val="2"/>
          <w:lang w:eastAsia="zh-CN" w:bidi="hi-IN"/>
        </w:rPr>
        <w:t>. Professora Orientadora.</w:t>
      </w:r>
    </w:p>
    <w:p w14:paraId="62FAD845" w14:textId="77777777" w:rsidR="00E04AAE" w:rsidRPr="00B71677" w:rsidRDefault="00E04AAE" w:rsidP="00E04AAE">
      <w:pPr>
        <w:widowControl w:val="0"/>
        <w:autoSpaceDE w:val="0"/>
        <w:autoSpaceDN w:val="0"/>
        <w:adjustRightInd w:val="0"/>
        <w:spacing w:after="0" w:line="240" w:lineRule="auto"/>
        <w:ind w:left="2268"/>
        <w:jc w:val="right"/>
        <w:rPr>
          <w:rFonts w:ascii="Arial" w:eastAsia="Times New Roman" w:hAnsi="Arial" w:cs="Arial"/>
          <w:i/>
          <w:kern w:val="2"/>
          <w:lang w:eastAsia="zh-CN" w:bidi="hi-IN"/>
        </w:rPr>
      </w:pPr>
      <w:r w:rsidRPr="00B71677">
        <w:rPr>
          <w:rFonts w:ascii="Arial" w:eastAsia="Times New Roman" w:hAnsi="Arial" w:cs="Arial"/>
          <w:i/>
          <w:kern w:val="2"/>
          <w:lang w:eastAsia="zh-CN" w:bidi="hi-IN"/>
        </w:rPr>
        <w:t>Advogada. Especialista em Gestão Educacional e Práticas Pedagógicas pela Faculdade Metropolitana São Carlos (2018).</w:t>
      </w:r>
    </w:p>
    <w:p w14:paraId="0D965A4F" w14:textId="06FA2D4E" w:rsidR="00E04AAE" w:rsidRDefault="00E04AAE" w:rsidP="00E04AAE">
      <w:pPr>
        <w:widowControl w:val="0"/>
        <w:autoSpaceDE w:val="0"/>
        <w:autoSpaceDN w:val="0"/>
        <w:adjustRightInd w:val="0"/>
        <w:spacing w:after="0" w:line="240" w:lineRule="auto"/>
        <w:ind w:left="2268"/>
        <w:jc w:val="right"/>
        <w:rPr>
          <w:rFonts w:ascii="Arial" w:eastAsia="Times New Roman" w:hAnsi="Arial" w:cs="Arial"/>
          <w:kern w:val="2"/>
          <w:lang w:eastAsia="zh-CN" w:bidi="hi-IN"/>
        </w:rPr>
      </w:pPr>
      <w:r w:rsidRPr="00E04AAE">
        <w:rPr>
          <w:rFonts w:ascii="Arial" w:eastAsia="Times New Roman" w:hAnsi="Arial" w:cs="Arial"/>
          <w:kern w:val="2"/>
          <w:lang w:eastAsia="zh-CN" w:bidi="hi-IN"/>
        </w:rPr>
        <w:t>drabarbarapaulista@gmail.com</w:t>
      </w:r>
    </w:p>
    <w:p w14:paraId="71959554" w14:textId="77777777" w:rsidR="00E04AAE" w:rsidRDefault="00E04AAE" w:rsidP="00E04AAE">
      <w:pPr>
        <w:widowControl w:val="0"/>
        <w:autoSpaceDE w:val="0"/>
        <w:autoSpaceDN w:val="0"/>
        <w:adjustRightInd w:val="0"/>
        <w:spacing w:after="0" w:line="240" w:lineRule="auto"/>
        <w:ind w:left="2268"/>
        <w:jc w:val="right"/>
        <w:rPr>
          <w:rFonts w:ascii="Arial" w:eastAsia="Times New Roman" w:hAnsi="Arial" w:cs="Arial"/>
          <w:kern w:val="2"/>
          <w:lang w:eastAsia="zh-CN" w:bidi="hi-IN"/>
        </w:rPr>
      </w:pPr>
    </w:p>
    <w:p w14:paraId="642340F1" w14:textId="77777777" w:rsidR="00E04AAE" w:rsidRPr="00F6329A" w:rsidRDefault="00E04AAE" w:rsidP="00E04AAE">
      <w:pPr>
        <w:widowControl w:val="0"/>
        <w:autoSpaceDE w:val="0"/>
        <w:autoSpaceDN w:val="0"/>
        <w:adjustRightInd w:val="0"/>
        <w:spacing w:after="0" w:line="240" w:lineRule="auto"/>
        <w:ind w:left="2268"/>
        <w:jc w:val="right"/>
        <w:rPr>
          <w:rFonts w:ascii="Arial" w:eastAsia="Times New Roman" w:hAnsi="Arial" w:cs="Arial"/>
          <w:kern w:val="2"/>
          <w:lang w:eastAsia="zh-CN" w:bidi="hi-IN"/>
        </w:rPr>
      </w:pPr>
      <w:r w:rsidRPr="00F6329A">
        <w:rPr>
          <w:rFonts w:ascii="Arial" w:eastAsia="Times New Roman" w:hAnsi="Arial" w:cs="Arial"/>
          <w:kern w:val="2"/>
          <w:lang w:eastAsia="zh-CN" w:bidi="hi-IN"/>
        </w:rPr>
        <w:t>ALTOÉ, Maria Izabel Azevedo</w:t>
      </w:r>
      <w:r>
        <w:rPr>
          <w:rFonts w:ascii="Arial" w:eastAsia="Times New Roman" w:hAnsi="Arial" w:cs="Arial"/>
          <w:kern w:val="2"/>
          <w:lang w:eastAsia="zh-CN" w:bidi="hi-IN"/>
        </w:rPr>
        <w:t>. Professora Orientadora.</w:t>
      </w:r>
    </w:p>
    <w:p w14:paraId="377F36CB" w14:textId="77777777" w:rsidR="00E04AAE" w:rsidRPr="00B71677" w:rsidRDefault="00E04AAE" w:rsidP="00E04AAE">
      <w:pPr>
        <w:widowControl w:val="0"/>
        <w:autoSpaceDE w:val="0"/>
        <w:autoSpaceDN w:val="0"/>
        <w:adjustRightInd w:val="0"/>
        <w:spacing w:after="0" w:line="240" w:lineRule="auto"/>
        <w:ind w:left="2268"/>
        <w:jc w:val="right"/>
        <w:rPr>
          <w:rFonts w:ascii="Arial" w:eastAsia="Times New Roman" w:hAnsi="Arial" w:cs="Arial"/>
          <w:i/>
          <w:kern w:val="2"/>
          <w:lang w:eastAsia="zh-CN" w:bidi="hi-IN"/>
        </w:rPr>
      </w:pPr>
      <w:r w:rsidRPr="00B71677">
        <w:rPr>
          <w:rFonts w:ascii="Arial" w:eastAsia="Times New Roman" w:hAnsi="Arial" w:cs="Arial"/>
          <w:i/>
          <w:kern w:val="2"/>
          <w:lang w:eastAsia="zh-CN" w:bidi="hi-IN"/>
        </w:rPr>
        <w:t>Magistrada. Mestre em Direito Processual pela Universidade Federal do Espírito Santo (PPGDIR/UFES).</w:t>
      </w:r>
    </w:p>
    <w:p w14:paraId="2665CA09" w14:textId="77777777" w:rsidR="00E04AAE" w:rsidRPr="00305FB0" w:rsidRDefault="00E04AAE" w:rsidP="00E04AAE">
      <w:pPr>
        <w:widowControl w:val="0"/>
        <w:autoSpaceDE w:val="0"/>
        <w:autoSpaceDN w:val="0"/>
        <w:adjustRightInd w:val="0"/>
        <w:spacing w:after="0" w:line="240" w:lineRule="auto"/>
        <w:ind w:left="2268"/>
        <w:jc w:val="right"/>
        <w:rPr>
          <w:rFonts w:ascii="Arial" w:eastAsia="Times New Roman" w:hAnsi="Arial" w:cs="Arial"/>
          <w:kern w:val="2"/>
          <w:lang w:eastAsia="zh-CN" w:bidi="hi-IN"/>
        </w:rPr>
      </w:pPr>
      <w:r w:rsidRPr="00F6329A">
        <w:rPr>
          <w:rFonts w:ascii="Arial" w:eastAsia="Times New Roman" w:hAnsi="Arial" w:cs="Arial"/>
          <w:kern w:val="2"/>
          <w:lang w:eastAsia="zh-CN" w:bidi="hi-IN"/>
        </w:rPr>
        <w:t>mialtoe2010@hotmail.com</w:t>
      </w:r>
    </w:p>
    <w:p w14:paraId="61D34DBD" w14:textId="77777777" w:rsidR="005B73B2" w:rsidRDefault="005B73B2">
      <w:pPr>
        <w:spacing w:after="0" w:line="360" w:lineRule="auto"/>
        <w:jc w:val="both"/>
        <w:rPr>
          <w:rFonts w:ascii="Arial" w:hAnsi="Arial" w:cs="Arial"/>
        </w:rPr>
      </w:pPr>
    </w:p>
    <w:p w14:paraId="025A4606" w14:textId="77777777" w:rsidR="005B73B2" w:rsidRDefault="006E24ED">
      <w:pPr>
        <w:spacing w:after="0" w:line="360" w:lineRule="auto"/>
        <w:rPr>
          <w:rFonts w:ascii="Arial" w:eastAsia="Times New Roman" w:hAnsi="Arial" w:cs="Arial"/>
          <w:b/>
          <w:sz w:val="24"/>
          <w:szCs w:val="24"/>
          <w:lang w:eastAsia="pt-BR"/>
        </w:rPr>
      </w:pPr>
      <w:r>
        <w:rPr>
          <w:rFonts w:ascii="Arial" w:eastAsia="Times New Roman" w:hAnsi="Arial" w:cs="Arial"/>
          <w:b/>
          <w:sz w:val="24"/>
          <w:szCs w:val="24"/>
          <w:lang w:eastAsia="pt-BR"/>
        </w:rPr>
        <w:t>INTRODUÇÃO</w:t>
      </w:r>
    </w:p>
    <w:p w14:paraId="5C3CF90B" w14:textId="77777777" w:rsidR="005B73B2" w:rsidRDefault="005B73B2">
      <w:pPr>
        <w:spacing w:after="0" w:line="360" w:lineRule="auto"/>
        <w:rPr>
          <w:rFonts w:ascii="Arial" w:eastAsia="Times New Roman" w:hAnsi="Arial" w:cs="Arial"/>
          <w:b/>
          <w:sz w:val="24"/>
          <w:szCs w:val="24"/>
          <w:lang w:val="pt-PT" w:eastAsia="pt-BR"/>
        </w:rPr>
      </w:pPr>
    </w:p>
    <w:p w14:paraId="2A2B02ED" w14:textId="48C5545C" w:rsidR="005B73B2" w:rsidRDefault="006E24ED">
      <w:pPr>
        <w:spacing w:after="0" w:line="360" w:lineRule="auto"/>
        <w:ind w:firstLine="708"/>
        <w:jc w:val="both"/>
        <w:rPr>
          <w:rFonts w:ascii="Arial" w:hAnsi="Arial" w:cs="Arial"/>
        </w:rPr>
      </w:pPr>
      <w:r>
        <w:rPr>
          <w:rFonts w:ascii="Arial" w:hAnsi="Arial" w:cs="Arial"/>
          <w:sz w:val="24"/>
          <w:szCs w:val="24"/>
        </w:rPr>
        <w:t xml:space="preserve">O resumo expandido a seguir visa apresentar as soluções alternativas que foram adotadas pelo Poder Judiciário em virtude do Covid-19. A grande questão por volta de todo o sentido da pandemia é o não contato com o próximo, e quem conhece, sabe que o Poder Judiciário e tudo que o norteia tem a capacidade de juntar muitas pessoas todos os dias. </w:t>
      </w:r>
      <w:r w:rsidR="00774935">
        <w:rPr>
          <w:rFonts w:ascii="Arial" w:hAnsi="Arial" w:cs="Arial"/>
          <w:sz w:val="24"/>
          <w:szCs w:val="24"/>
        </w:rPr>
        <w:t xml:space="preserve"> </w:t>
      </w:r>
    </w:p>
    <w:p w14:paraId="4F1C061A" w14:textId="77777777" w:rsidR="005B73B2" w:rsidRDefault="006E24ED">
      <w:pPr>
        <w:spacing w:after="0" w:line="360" w:lineRule="auto"/>
        <w:ind w:firstLine="708"/>
        <w:jc w:val="both"/>
        <w:rPr>
          <w:rFonts w:ascii="Arial" w:hAnsi="Arial" w:cs="Arial"/>
          <w:sz w:val="24"/>
          <w:szCs w:val="24"/>
        </w:rPr>
      </w:pPr>
      <w:r>
        <w:rPr>
          <w:rFonts w:ascii="Arial" w:hAnsi="Arial" w:cs="Arial"/>
          <w:sz w:val="24"/>
          <w:szCs w:val="24"/>
        </w:rPr>
        <w:t>Com isso, a ampla demanda do Poder Judiciário foi encontrar maneiras para que a aglomeração de pessoas diminuísse, mas que, da mesma forma, o trabalho do Judiciário não engarrafasse, pois isso, consequentemente, seria um problema gigante.</w:t>
      </w:r>
    </w:p>
    <w:p w14:paraId="012302A5" w14:textId="77777777" w:rsidR="005B73B2" w:rsidRDefault="006E24ED">
      <w:pPr>
        <w:spacing w:after="0" w:line="360" w:lineRule="auto"/>
        <w:ind w:firstLine="708"/>
        <w:jc w:val="both"/>
        <w:rPr>
          <w:rFonts w:ascii="Arial" w:hAnsi="Arial" w:cs="Arial"/>
          <w:sz w:val="24"/>
          <w:szCs w:val="24"/>
        </w:rPr>
      </w:pPr>
      <w:r>
        <w:rPr>
          <w:rFonts w:ascii="Arial" w:hAnsi="Arial" w:cs="Arial"/>
          <w:sz w:val="24"/>
          <w:szCs w:val="24"/>
        </w:rPr>
        <w:t xml:space="preserve">Diante dessa incógnita, foi possível, através de sites e aplicativos, a implementação de novos métodos de comunicação viável para que o Poder Judiciário </w:t>
      </w:r>
      <w:r>
        <w:rPr>
          <w:rFonts w:ascii="Arial" w:hAnsi="Arial" w:cs="Arial"/>
          <w:sz w:val="24"/>
          <w:szCs w:val="24"/>
        </w:rPr>
        <w:lastRenderedPageBreak/>
        <w:t>não ficasse estagnado, pois esta é considerada uma atividade extremamente essencial para a população brasileira, em virtude da resolução de conflitos.</w:t>
      </w:r>
    </w:p>
    <w:p w14:paraId="37291656" w14:textId="70E52B5E" w:rsidR="005B73B2" w:rsidRDefault="005B73B2">
      <w:pPr>
        <w:keepNext/>
        <w:keepLines/>
        <w:spacing w:after="0" w:line="360" w:lineRule="auto"/>
        <w:jc w:val="both"/>
        <w:outlineLvl w:val="1"/>
        <w:rPr>
          <w:rFonts w:ascii="Arial" w:hAnsi="Arial" w:cs="Arial"/>
        </w:rPr>
      </w:pPr>
    </w:p>
    <w:p w14:paraId="22BDB0B5" w14:textId="77777777" w:rsidR="009C1BA3" w:rsidRDefault="009C1BA3">
      <w:pPr>
        <w:keepNext/>
        <w:keepLines/>
        <w:spacing w:after="0" w:line="360" w:lineRule="auto"/>
        <w:jc w:val="both"/>
        <w:outlineLvl w:val="1"/>
        <w:rPr>
          <w:rFonts w:ascii="Arial" w:hAnsi="Arial" w:cs="Arial"/>
        </w:rPr>
      </w:pPr>
    </w:p>
    <w:p w14:paraId="3E4AA308" w14:textId="77777777" w:rsidR="005B73B2" w:rsidRDefault="006E24ED">
      <w:pPr>
        <w:keepNext/>
        <w:keepLines/>
        <w:spacing w:after="0" w:line="360" w:lineRule="auto"/>
        <w:jc w:val="both"/>
        <w:outlineLvl w:val="1"/>
        <w:rPr>
          <w:rFonts w:ascii="Arial" w:eastAsia="Times New Roman" w:hAnsi="Arial" w:cs="Arial"/>
          <w:b/>
          <w:bCs/>
          <w:sz w:val="24"/>
          <w:szCs w:val="24"/>
        </w:rPr>
      </w:pPr>
      <w:r>
        <w:rPr>
          <w:rFonts w:ascii="Arial" w:eastAsia="Times New Roman" w:hAnsi="Arial" w:cs="Arial"/>
          <w:b/>
          <w:bCs/>
          <w:sz w:val="24"/>
          <w:szCs w:val="24"/>
        </w:rPr>
        <w:t>MATERIAL E MÉTODOS</w:t>
      </w:r>
    </w:p>
    <w:p w14:paraId="505D3B47" w14:textId="77777777" w:rsidR="005B73B2" w:rsidRDefault="005B73B2">
      <w:pPr>
        <w:spacing w:after="0" w:line="360" w:lineRule="auto"/>
        <w:rPr>
          <w:lang w:eastAsia="pt-BR"/>
        </w:rPr>
      </w:pPr>
    </w:p>
    <w:p w14:paraId="23B7F6AD" w14:textId="77777777" w:rsidR="005B73B2" w:rsidRDefault="006E24ED">
      <w:pPr>
        <w:spacing w:after="0" w:line="360" w:lineRule="auto"/>
        <w:ind w:firstLine="708"/>
        <w:jc w:val="both"/>
        <w:rPr>
          <w:rFonts w:ascii="Arial" w:hAnsi="Arial" w:cs="Arial"/>
          <w:sz w:val="24"/>
          <w:szCs w:val="24"/>
        </w:rPr>
      </w:pPr>
      <w:r>
        <w:rPr>
          <w:rFonts w:ascii="Arial" w:hAnsi="Arial" w:cs="Arial"/>
          <w:sz w:val="24"/>
          <w:szCs w:val="24"/>
        </w:rPr>
        <w:t xml:space="preserve">O estudo realizado para a formação do resumo expandido foi feito através de artigos e sites selecionados da internet. Além disso, sites oficiais de Tribunais de Justiça, bem como a exposição de novas Leis e Portarias, com as explanações das mesmas, para que o entendimento do leitor seja claro. </w:t>
      </w:r>
    </w:p>
    <w:p w14:paraId="637F0331" w14:textId="77777777" w:rsidR="005B73B2" w:rsidRDefault="005B73B2">
      <w:pPr>
        <w:spacing w:after="0" w:line="360" w:lineRule="auto"/>
        <w:ind w:firstLine="708"/>
        <w:jc w:val="both"/>
        <w:rPr>
          <w:rFonts w:ascii="Arial" w:hAnsi="Arial" w:cs="Arial"/>
          <w:sz w:val="24"/>
          <w:szCs w:val="24"/>
        </w:rPr>
      </w:pPr>
    </w:p>
    <w:p w14:paraId="1AAA5F6C" w14:textId="77777777" w:rsidR="005B73B2" w:rsidRDefault="005B73B2">
      <w:pPr>
        <w:spacing w:after="0" w:line="360" w:lineRule="auto"/>
        <w:ind w:firstLine="708"/>
        <w:jc w:val="both"/>
        <w:rPr>
          <w:rFonts w:ascii="Arial" w:hAnsi="Arial" w:cs="Arial"/>
          <w:sz w:val="24"/>
          <w:szCs w:val="24"/>
        </w:rPr>
      </w:pPr>
    </w:p>
    <w:p w14:paraId="151B65F0" w14:textId="77777777" w:rsidR="005B73B2" w:rsidRDefault="006E24ED">
      <w:pPr>
        <w:keepNext/>
        <w:keepLines/>
        <w:spacing w:after="0" w:line="360" w:lineRule="auto"/>
        <w:jc w:val="both"/>
        <w:outlineLvl w:val="1"/>
        <w:rPr>
          <w:rFonts w:ascii="Arial" w:eastAsia="Times New Roman" w:hAnsi="Arial" w:cs="Arial"/>
          <w:b/>
          <w:bCs/>
          <w:sz w:val="24"/>
          <w:szCs w:val="24"/>
        </w:rPr>
      </w:pPr>
      <w:r>
        <w:rPr>
          <w:rFonts w:ascii="Arial" w:eastAsia="Times New Roman" w:hAnsi="Arial" w:cs="Arial"/>
          <w:b/>
          <w:bCs/>
          <w:sz w:val="24"/>
          <w:szCs w:val="24"/>
        </w:rPr>
        <w:t>DESENVOLVIMENTO</w:t>
      </w:r>
    </w:p>
    <w:p w14:paraId="57226866" w14:textId="77777777" w:rsidR="005B73B2" w:rsidRDefault="006E24ED">
      <w:pPr>
        <w:spacing w:after="0" w:line="360" w:lineRule="auto"/>
        <w:jc w:val="both"/>
        <w:rPr>
          <w:rFonts w:ascii="Arial" w:hAnsi="Arial" w:cs="Arial"/>
          <w:sz w:val="24"/>
          <w:szCs w:val="24"/>
          <w:lang w:eastAsia="pt-BR"/>
        </w:rPr>
      </w:pPr>
      <w:r>
        <w:rPr>
          <w:rFonts w:ascii="Arial" w:hAnsi="Arial" w:cs="Arial"/>
          <w:sz w:val="24"/>
          <w:szCs w:val="24"/>
          <w:lang w:eastAsia="pt-BR"/>
        </w:rPr>
        <w:tab/>
      </w:r>
    </w:p>
    <w:p w14:paraId="5E0C0471" w14:textId="31893340" w:rsidR="005B73B2" w:rsidRDefault="006E24ED">
      <w:pPr>
        <w:spacing w:after="0" w:line="360" w:lineRule="auto"/>
        <w:jc w:val="both"/>
      </w:pPr>
      <w:r>
        <w:rPr>
          <w:rFonts w:ascii="Arial" w:hAnsi="Arial" w:cs="Arial"/>
          <w:sz w:val="24"/>
          <w:szCs w:val="24"/>
          <w:lang w:eastAsia="pt-BR"/>
        </w:rPr>
        <w:tab/>
      </w:r>
      <w:r>
        <w:rPr>
          <w:rFonts w:ascii="Arial" w:eastAsia="Arial" w:hAnsi="Arial" w:cs="Arial"/>
          <w:color w:val="000000" w:themeColor="text1"/>
          <w:sz w:val="24"/>
          <w:szCs w:val="24"/>
        </w:rPr>
        <w:t xml:space="preserve">O Poder Judiciário sempre buscou adotar atitudes alternativas para que o sistema não fosse tão lento e que as resoluções de conflitos fossem resolvidas mais rapidamente, sem engarrafamentos. As mais usadas e que ajudaram muito a “desengarrafar” o judiciário, são conhecidas como, conciliação; mediação; arbitragem e autocomposição. (TJDFT, </w:t>
      </w:r>
      <w:proofErr w:type="spellStart"/>
      <w:r>
        <w:rPr>
          <w:rFonts w:ascii="Arial" w:eastAsia="Arial" w:hAnsi="Arial" w:cs="Arial"/>
          <w:color w:val="000000" w:themeColor="text1"/>
          <w:sz w:val="24"/>
          <w:szCs w:val="24"/>
        </w:rPr>
        <w:t>s.d</w:t>
      </w:r>
      <w:proofErr w:type="spellEnd"/>
      <w:r>
        <w:rPr>
          <w:rFonts w:ascii="Arial" w:eastAsia="Arial" w:hAnsi="Arial" w:cs="Arial"/>
          <w:color w:val="000000" w:themeColor="text1"/>
          <w:sz w:val="24"/>
          <w:szCs w:val="24"/>
        </w:rPr>
        <w:t xml:space="preserve">, </w:t>
      </w:r>
      <w:proofErr w:type="spellStart"/>
      <w:r>
        <w:rPr>
          <w:rFonts w:ascii="Arial" w:eastAsia="Arial" w:hAnsi="Arial" w:cs="Arial"/>
          <w:color w:val="000000" w:themeColor="text1"/>
          <w:sz w:val="24"/>
          <w:szCs w:val="24"/>
        </w:rPr>
        <w:t>s.p</w:t>
      </w:r>
      <w:proofErr w:type="spellEnd"/>
      <w:r>
        <w:rPr>
          <w:rFonts w:ascii="Arial" w:eastAsia="Arial" w:hAnsi="Arial" w:cs="Arial"/>
          <w:color w:val="000000" w:themeColor="text1"/>
          <w:sz w:val="24"/>
          <w:szCs w:val="24"/>
        </w:rPr>
        <w:t>).</w:t>
      </w:r>
      <w:r>
        <w:rPr>
          <w:rFonts w:ascii="Arial" w:eastAsia="Arial" w:hAnsi="Arial" w:cs="Arial"/>
          <w:color w:val="000000" w:themeColor="text1"/>
          <w:sz w:val="24"/>
          <w:szCs w:val="24"/>
        </w:rPr>
        <w:tab/>
      </w:r>
      <w:r>
        <w:rPr>
          <w:rFonts w:ascii="Arial" w:eastAsia="Arial" w:hAnsi="Arial" w:cs="Arial"/>
          <w:color w:val="000000" w:themeColor="text1"/>
          <w:sz w:val="24"/>
          <w:szCs w:val="24"/>
        </w:rPr>
        <w:tab/>
      </w:r>
      <w:r>
        <w:rPr>
          <w:rFonts w:ascii="Arial" w:eastAsia="Arial" w:hAnsi="Arial" w:cs="Arial"/>
          <w:color w:val="000000" w:themeColor="text1"/>
          <w:sz w:val="24"/>
          <w:szCs w:val="24"/>
        </w:rPr>
        <w:tab/>
      </w:r>
      <w:r>
        <w:rPr>
          <w:rFonts w:ascii="Arial" w:eastAsia="Arial" w:hAnsi="Arial" w:cs="Arial"/>
          <w:color w:val="000000" w:themeColor="text1"/>
          <w:sz w:val="24"/>
          <w:szCs w:val="24"/>
        </w:rPr>
        <w:tab/>
      </w:r>
      <w:r>
        <w:rPr>
          <w:rFonts w:ascii="Arial" w:eastAsia="Arial" w:hAnsi="Arial" w:cs="Arial"/>
          <w:color w:val="000000" w:themeColor="text1"/>
          <w:sz w:val="24"/>
          <w:szCs w:val="24"/>
        </w:rPr>
        <w:tab/>
      </w:r>
      <w:r>
        <w:rPr>
          <w:rFonts w:ascii="Arial" w:eastAsia="Arial" w:hAnsi="Arial" w:cs="Arial"/>
          <w:color w:val="000000" w:themeColor="text1"/>
          <w:sz w:val="24"/>
          <w:szCs w:val="24"/>
        </w:rPr>
        <w:tab/>
      </w:r>
      <w:r>
        <w:rPr>
          <w:rFonts w:ascii="Arial" w:eastAsia="Arial" w:hAnsi="Arial" w:cs="Arial"/>
          <w:color w:val="000000" w:themeColor="text1"/>
          <w:sz w:val="24"/>
          <w:szCs w:val="24"/>
        </w:rPr>
        <w:tab/>
      </w:r>
      <w:r>
        <w:rPr>
          <w:rFonts w:ascii="Arial" w:eastAsia="Arial" w:hAnsi="Arial" w:cs="Arial"/>
          <w:color w:val="000000" w:themeColor="text1"/>
          <w:sz w:val="24"/>
          <w:szCs w:val="24"/>
        </w:rPr>
        <w:tab/>
        <w:t>A conciliação, segundo o Tribunal de Justiça do Distrito Federal e dos Territórios (s.d.), “</w:t>
      </w:r>
      <w:r>
        <w:rPr>
          <w:rFonts w:ascii="Arial" w:hAnsi="Arial" w:cs="Arial"/>
          <w:sz w:val="24"/>
          <w:szCs w:val="24"/>
        </w:rPr>
        <w:t xml:space="preserve">ocorre quando já há um pedido de solução do problema na justiça, assim, o próprio juiz ou um conciliador treinado têm a oportunidade de atuar de forma a possibilitar um acordo”. (TJDFT, </w:t>
      </w:r>
      <w:proofErr w:type="spellStart"/>
      <w:r>
        <w:rPr>
          <w:rFonts w:ascii="Arial" w:hAnsi="Arial" w:cs="Arial"/>
          <w:sz w:val="24"/>
          <w:szCs w:val="24"/>
        </w:rPr>
        <w:t>s.d</w:t>
      </w:r>
      <w:proofErr w:type="spellEnd"/>
      <w:r>
        <w:rPr>
          <w:rFonts w:ascii="Arial" w:hAnsi="Arial" w:cs="Arial"/>
          <w:sz w:val="24"/>
          <w:szCs w:val="24"/>
        </w:rPr>
        <w:t xml:space="preserve">, </w:t>
      </w:r>
      <w:proofErr w:type="spellStart"/>
      <w:r>
        <w:rPr>
          <w:rFonts w:ascii="Arial" w:hAnsi="Arial" w:cs="Arial"/>
          <w:sz w:val="24"/>
          <w:szCs w:val="24"/>
        </w:rPr>
        <w:t>s.p</w:t>
      </w:r>
      <w:proofErr w:type="spellEnd"/>
      <w:r>
        <w:rPr>
          <w:rFonts w:ascii="Arial" w:hAnsi="Arial" w:cs="Arial"/>
          <w:sz w:val="24"/>
          <w:szCs w:val="24"/>
        </w:rPr>
        <w:t>).</w:t>
      </w:r>
      <w:r>
        <w:rPr>
          <w:rFonts w:ascii="Arial" w:hAnsi="Arial" w:cs="Arial"/>
          <w:sz w:val="24"/>
          <w:szCs w:val="24"/>
          <w:shd w:val="clear" w:color="auto" w:fill="FAFAFA"/>
        </w:rPr>
        <w:t xml:space="preserve"> </w:t>
      </w:r>
      <w:r>
        <w:rPr>
          <w:rFonts w:ascii="Arial" w:hAnsi="Arial" w:cs="Arial"/>
          <w:sz w:val="24"/>
          <w:szCs w:val="24"/>
        </w:rPr>
        <w:t xml:space="preserve">Esta é considerada uma das melhores formas de resoluções de conflitos por diversos motivos, possui um bom custo-benefício; é nitidamente mais rápida; muito eficaz e também pacífica, pois, as próprias partes, com a ajuda de um conciliador, conseguem definir a solução para o problema enfrentado. (TJDFT, </w:t>
      </w:r>
      <w:proofErr w:type="spellStart"/>
      <w:r>
        <w:rPr>
          <w:rFonts w:ascii="Arial" w:hAnsi="Arial" w:cs="Arial"/>
          <w:sz w:val="24"/>
          <w:szCs w:val="24"/>
        </w:rPr>
        <w:t>s.d</w:t>
      </w:r>
      <w:proofErr w:type="spellEnd"/>
      <w:r>
        <w:rPr>
          <w:rFonts w:ascii="Arial" w:hAnsi="Arial" w:cs="Arial"/>
          <w:sz w:val="24"/>
          <w:szCs w:val="24"/>
        </w:rPr>
        <w:t xml:space="preserve">, </w:t>
      </w:r>
      <w:proofErr w:type="spellStart"/>
      <w:r>
        <w:rPr>
          <w:rFonts w:ascii="Arial" w:hAnsi="Arial" w:cs="Arial"/>
          <w:sz w:val="24"/>
          <w:szCs w:val="24"/>
        </w:rPr>
        <w:t>s.p</w:t>
      </w:r>
      <w:proofErr w:type="spellEnd"/>
      <w:r>
        <w:rPr>
          <w:rFonts w:ascii="Arial" w:hAnsi="Arial" w:cs="Arial"/>
          <w:sz w:val="24"/>
          <w:szCs w:val="24"/>
        </w:rPr>
        <w:t xml:space="preserve">). </w:t>
      </w:r>
      <w:r>
        <w:rPr>
          <w:rFonts w:ascii="Arial" w:hAnsi="Arial" w:cs="Arial"/>
          <w:sz w:val="24"/>
          <w:szCs w:val="24"/>
          <w:lang w:eastAsia="pt-BR"/>
        </w:rPr>
        <w:tab/>
      </w:r>
      <w:r>
        <w:rPr>
          <w:rFonts w:ascii="Arial" w:hAnsi="Arial" w:cs="Arial"/>
          <w:sz w:val="24"/>
          <w:szCs w:val="24"/>
          <w:lang w:eastAsia="pt-BR"/>
        </w:rPr>
        <w:tab/>
      </w:r>
      <w:r>
        <w:rPr>
          <w:rFonts w:ascii="Arial" w:hAnsi="Arial" w:cs="Arial"/>
          <w:sz w:val="24"/>
          <w:szCs w:val="24"/>
          <w:lang w:eastAsia="pt-BR"/>
        </w:rPr>
        <w:tab/>
      </w:r>
      <w:r>
        <w:rPr>
          <w:rFonts w:ascii="Arial" w:hAnsi="Arial" w:cs="Arial"/>
          <w:sz w:val="24"/>
          <w:szCs w:val="24"/>
          <w:lang w:eastAsia="pt-BR"/>
        </w:rPr>
        <w:tab/>
      </w:r>
      <w:r>
        <w:rPr>
          <w:rFonts w:ascii="Arial" w:hAnsi="Arial" w:cs="Arial"/>
          <w:sz w:val="24"/>
          <w:szCs w:val="24"/>
          <w:lang w:eastAsia="pt-BR"/>
        </w:rPr>
        <w:tab/>
      </w:r>
      <w:r>
        <w:rPr>
          <w:rFonts w:ascii="Arial" w:hAnsi="Arial" w:cs="Arial"/>
          <w:sz w:val="24"/>
          <w:szCs w:val="24"/>
          <w:lang w:eastAsia="pt-BR"/>
        </w:rPr>
        <w:tab/>
      </w:r>
      <w:r>
        <w:rPr>
          <w:rFonts w:ascii="Arial" w:hAnsi="Arial" w:cs="Arial"/>
          <w:sz w:val="24"/>
          <w:szCs w:val="24"/>
          <w:lang w:eastAsia="pt-BR"/>
        </w:rPr>
        <w:tab/>
      </w:r>
      <w:r>
        <w:rPr>
          <w:rFonts w:ascii="Arial" w:hAnsi="Arial" w:cs="Arial"/>
          <w:sz w:val="24"/>
          <w:szCs w:val="24"/>
          <w:lang w:eastAsia="pt-BR"/>
        </w:rPr>
        <w:tab/>
      </w:r>
      <w:r>
        <w:rPr>
          <w:rFonts w:ascii="Arial" w:hAnsi="Arial" w:cs="Arial"/>
          <w:sz w:val="24"/>
          <w:szCs w:val="24"/>
          <w:lang w:eastAsia="pt-BR"/>
        </w:rPr>
        <w:tab/>
      </w:r>
      <w:r>
        <w:rPr>
          <w:rFonts w:ascii="Arial" w:hAnsi="Arial" w:cs="Arial"/>
          <w:sz w:val="24"/>
          <w:szCs w:val="24"/>
        </w:rPr>
        <w:t xml:space="preserve">No entanto, a mediação, é considerada como um “processo voluntário que oferece àqueles que estão vivenciando uma situação de conflito a oportunidade e o espaço adequados para conseguir buscar uma solução que atenda a todos os envolvidos”. (TJRJ, </w:t>
      </w:r>
      <w:proofErr w:type="spellStart"/>
      <w:r>
        <w:rPr>
          <w:rFonts w:ascii="Arial" w:hAnsi="Arial" w:cs="Arial"/>
          <w:sz w:val="24"/>
          <w:szCs w:val="24"/>
        </w:rPr>
        <w:t>s.d</w:t>
      </w:r>
      <w:proofErr w:type="spellEnd"/>
      <w:r>
        <w:rPr>
          <w:rFonts w:ascii="Arial" w:hAnsi="Arial" w:cs="Arial"/>
          <w:sz w:val="24"/>
          <w:szCs w:val="24"/>
        </w:rPr>
        <w:t xml:space="preserve">, </w:t>
      </w:r>
      <w:proofErr w:type="spellStart"/>
      <w:r>
        <w:rPr>
          <w:rFonts w:ascii="Arial" w:hAnsi="Arial" w:cs="Arial"/>
          <w:sz w:val="24"/>
          <w:szCs w:val="24"/>
        </w:rPr>
        <w:t>s.p</w:t>
      </w:r>
      <w:proofErr w:type="spellEnd"/>
      <w:r>
        <w:rPr>
          <w:rFonts w:ascii="Arial" w:hAnsi="Arial" w:cs="Arial"/>
          <w:sz w:val="24"/>
          <w:szCs w:val="24"/>
        </w:rPr>
        <w:t>).</w:t>
      </w:r>
      <w:r>
        <w:rPr>
          <w:rFonts w:ascii="Arial" w:hAnsi="Arial" w:cs="Arial"/>
          <w:sz w:val="24"/>
          <w:szCs w:val="24"/>
          <w:shd w:val="clear" w:color="auto" w:fill="FFFFFF"/>
        </w:rPr>
        <w:t xml:space="preserve"> </w:t>
      </w:r>
      <w:r>
        <w:rPr>
          <w:rFonts w:ascii="Arial" w:hAnsi="Arial" w:cs="Arial"/>
          <w:sz w:val="24"/>
          <w:szCs w:val="24"/>
        </w:rPr>
        <w:t xml:space="preserve">A mediação pode até ser um pouco parecida com a conciliação, mas há uma diferença muito importante, pois, na conciliação, “o terceiro </w:t>
      </w:r>
      <w:r>
        <w:rPr>
          <w:rFonts w:ascii="Arial" w:hAnsi="Arial" w:cs="Arial"/>
          <w:sz w:val="24"/>
          <w:szCs w:val="24"/>
        </w:rPr>
        <w:lastRenderedPageBreak/>
        <w:t xml:space="preserve">facilitador da conversa interfere de forma mais direta no litígio e pode chegar a sugerir opções de solução para o conflito”. (CNJ, </w:t>
      </w:r>
      <w:proofErr w:type="spellStart"/>
      <w:r>
        <w:rPr>
          <w:rFonts w:ascii="Arial" w:hAnsi="Arial" w:cs="Arial"/>
          <w:sz w:val="24"/>
          <w:szCs w:val="24"/>
        </w:rPr>
        <w:t>s.d</w:t>
      </w:r>
      <w:proofErr w:type="spellEnd"/>
      <w:r>
        <w:rPr>
          <w:rFonts w:ascii="Arial" w:hAnsi="Arial" w:cs="Arial"/>
          <w:sz w:val="24"/>
          <w:szCs w:val="24"/>
        </w:rPr>
        <w:t xml:space="preserve">, </w:t>
      </w:r>
      <w:proofErr w:type="spellStart"/>
      <w:r>
        <w:rPr>
          <w:rFonts w:ascii="Arial" w:hAnsi="Arial" w:cs="Arial"/>
          <w:sz w:val="24"/>
          <w:szCs w:val="24"/>
        </w:rPr>
        <w:t>s.p</w:t>
      </w:r>
      <w:proofErr w:type="spellEnd"/>
      <w:r>
        <w:rPr>
          <w:rFonts w:ascii="Arial" w:hAnsi="Arial" w:cs="Arial"/>
          <w:sz w:val="24"/>
          <w:szCs w:val="24"/>
        </w:rPr>
        <w:t xml:space="preserve">), e na mediação, “o mediador facilita o diálogo entre as pessoas para que elas mesmas proponham soluções”. (CNJ, </w:t>
      </w:r>
      <w:proofErr w:type="spellStart"/>
      <w:r>
        <w:rPr>
          <w:rFonts w:ascii="Arial" w:hAnsi="Arial" w:cs="Arial"/>
          <w:sz w:val="24"/>
          <w:szCs w:val="24"/>
        </w:rPr>
        <w:t>s.d</w:t>
      </w:r>
      <w:proofErr w:type="spellEnd"/>
      <w:r>
        <w:rPr>
          <w:rFonts w:ascii="Arial" w:hAnsi="Arial" w:cs="Arial"/>
          <w:sz w:val="24"/>
          <w:szCs w:val="24"/>
        </w:rPr>
        <w:t>,</w:t>
      </w:r>
      <w:r>
        <w:rPr>
          <w:rFonts w:ascii="Arial" w:hAnsi="Arial" w:cs="Arial"/>
          <w:sz w:val="24"/>
          <w:szCs w:val="24"/>
          <w:shd w:val="clear" w:color="auto" w:fill="F5F5F5"/>
        </w:rPr>
        <w:t xml:space="preserve"> </w:t>
      </w:r>
      <w:proofErr w:type="spellStart"/>
      <w:r>
        <w:rPr>
          <w:rFonts w:ascii="Arial" w:hAnsi="Arial" w:cs="Arial"/>
          <w:sz w:val="24"/>
          <w:szCs w:val="24"/>
        </w:rPr>
        <w:t>s.p</w:t>
      </w:r>
      <w:proofErr w:type="spellEnd"/>
      <w:r>
        <w:rPr>
          <w:rFonts w:ascii="Arial" w:hAnsi="Arial" w:cs="Arial"/>
          <w:sz w:val="24"/>
          <w:szCs w:val="24"/>
        </w:rPr>
        <w:t xml:space="preserve">), sendo que este não intervém diretamente na solução do conflito. </w:t>
      </w:r>
      <w:r>
        <w:rPr>
          <w:rFonts w:ascii="Arial" w:hAnsi="Arial" w:cs="Arial"/>
          <w:sz w:val="24"/>
          <w:szCs w:val="24"/>
          <w:lang w:eastAsia="pt-BR"/>
        </w:rPr>
        <w:tab/>
      </w:r>
      <w:r>
        <w:rPr>
          <w:rFonts w:ascii="Arial" w:hAnsi="Arial" w:cs="Arial"/>
          <w:sz w:val="24"/>
          <w:szCs w:val="24"/>
          <w:lang w:eastAsia="pt-BR"/>
        </w:rPr>
        <w:tab/>
      </w:r>
      <w:r>
        <w:rPr>
          <w:rFonts w:ascii="Arial" w:hAnsi="Arial" w:cs="Arial"/>
          <w:sz w:val="24"/>
          <w:szCs w:val="24"/>
          <w:lang w:eastAsia="pt-BR"/>
        </w:rPr>
        <w:tab/>
      </w:r>
      <w:r>
        <w:rPr>
          <w:rFonts w:ascii="Arial" w:hAnsi="Arial" w:cs="Arial"/>
          <w:sz w:val="24"/>
          <w:szCs w:val="24"/>
        </w:rPr>
        <w:t>Na arbitragem, “</w:t>
      </w:r>
      <w:r>
        <w:rPr>
          <w:rFonts w:ascii="Arial" w:hAnsi="Arial" w:cs="Arial"/>
          <w:color w:val="000000"/>
          <w:sz w:val="24"/>
          <w:szCs w:val="24"/>
        </w:rPr>
        <w:t>as partes litigantes estabelecem que o conflito será decidido de forma impositiva por um terceiro, que será um árbitro”. (JANNIS, 2016, s.p). Dessa forma, “ao invés da morosidade do Judiciário, as partes dependem de uma Câmara Arbitral, uma espécie de ‘tribunal privado’, no qual o julgador não necessariamente é um bacharel em direito”. (JANNIS, 2016, s.p).</w:t>
      </w:r>
      <w:r w:rsidR="00E04AAE">
        <w:rPr>
          <w:rFonts w:ascii="Arial" w:hAnsi="Arial" w:cs="Arial"/>
          <w:sz w:val="24"/>
          <w:szCs w:val="24"/>
          <w:lang w:eastAsia="pt-BR"/>
        </w:rPr>
        <w:t xml:space="preserve"> </w:t>
      </w:r>
      <w:r>
        <w:rPr>
          <w:rFonts w:ascii="Arial" w:hAnsi="Arial" w:cs="Arial"/>
          <w:color w:val="000000"/>
          <w:sz w:val="24"/>
          <w:szCs w:val="24"/>
        </w:rPr>
        <w:t xml:space="preserve">Por fim, a autocomposição, que consiste em uma modalidade em que as próprias partes procuram resolver a situação sozinhas, sem que tenha um terceiro envolvido. (JANNIS, 2016, s.p). </w:t>
      </w:r>
      <w:r>
        <w:rPr>
          <w:rFonts w:ascii="Arial" w:hAnsi="Arial" w:cs="Arial"/>
          <w:sz w:val="24"/>
          <w:szCs w:val="24"/>
          <w:lang w:eastAsia="pt-BR"/>
        </w:rPr>
        <w:tab/>
      </w:r>
      <w:r>
        <w:rPr>
          <w:rFonts w:ascii="Arial" w:hAnsi="Arial" w:cs="Arial"/>
          <w:sz w:val="24"/>
          <w:szCs w:val="24"/>
          <w:lang w:eastAsia="pt-BR"/>
        </w:rPr>
        <w:tab/>
      </w:r>
      <w:r w:rsidR="00E04AAE">
        <w:rPr>
          <w:rFonts w:ascii="Arial" w:hAnsi="Arial" w:cs="Arial"/>
          <w:sz w:val="24"/>
          <w:szCs w:val="24"/>
          <w:lang w:eastAsia="pt-BR"/>
        </w:rPr>
        <w:tab/>
      </w:r>
      <w:r>
        <w:rPr>
          <w:rFonts w:ascii="Arial" w:hAnsi="Arial" w:cs="Arial"/>
          <w:color w:val="000000"/>
          <w:sz w:val="24"/>
          <w:szCs w:val="24"/>
        </w:rPr>
        <w:t xml:space="preserve">Isto posto, é possível visualizar que o Judiciário utilizou meios diferenciados para que as formas de resoluções de conflitos se tornassem diversificadas, e que a população, que é aquela que realmente interessa, pudesse escolher a melhor forma para resolver seus conflitos. (JANNIS, 2016, s.p). </w:t>
      </w:r>
    </w:p>
    <w:p w14:paraId="0E1358C4" w14:textId="77777777" w:rsidR="005B73B2" w:rsidRDefault="005B73B2">
      <w:pPr>
        <w:spacing w:after="0" w:line="360" w:lineRule="auto"/>
        <w:ind w:left="708" w:firstLine="708"/>
        <w:jc w:val="both"/>
        <w:rPr>
          <w:rFonts w:ascii="Arial" w:eastAsia="Arial" w:hAnsi="Arial" w:cs="Arial"/>
          <w:color w:val="000000" w:themeColor="text1"/>
          <w:sz w:val="24"/>
          <w:szCs w:val="24"/>
        </w:rPr>
      </w:pPr>
    </w:p>
    <w:p w14:paraId="17411865" w14:textId="77777777" w:rsidR="005B73B2" w:rsidRDefault="005B73B2">
      <w:pPr>
        <w:spacing w:after="0" w:line="360" w:lineRule="auto"/>
        <w:jc w:val="both"/>
        <w:rPr>
          <w:rFonts w:ascii="Arial" w:eastAsia="Arial" w:hAnsi="Arial" w:cs="Arial"/>
          <w:color w:val="000000" w:themeColor="text1"/>
          <w:sz w:val="24"/>
          <w:szCs w:val="24"/>
        </w:rPr>
      </w:pPr>
    </w:p>
    <w:p w14:paraId="37518F38" w14:textId="77777777" w:rsidR="005B73B2" w:rsidRDefault="006E24ED">
      <w:pPr>
        <w:tabs>
          <w:tab w:val="center" w:pos="4252"/>
          <w:tab w:val="right" w:pos="8504"/>
        </w:tabs>
        <w:spacing w:after="0" w:line="360" w:lineRule="auto"/>
        <w:jc w:val="both"/>
        <w:rPr>
          <w:rFonts w:ascii="Arial" w:hAnsi="Arial" w:cs="Arial"/>
          <w:b/>
          <w:bCs/>
          <w:sz w:val="24"/>
          <w:szCs w:val="24"/>
        </w:rPr>
      </w:pPr>
      <w:r>
        <w:rPr>
          <w:rFonts w:ascii="Arial" w:hAnsi="Arial" w:cs="Arial"/>
          <w:b/>
          <w:bCs/>
          <w:sz w:val="24"/>
          <w:szCs w:val="24"/>
        </w:rPr>
        <w:t>RESULTADOS E DISCUSSÃO</w:t>
      </w:r>
    </w:p>
    <w:p w14:paraId="4EF0177B" w14:textId="77777777" w:rsidR="005B73B2" w:rsidRDefault="005B73B2">
      <w:pPr>
        <w:tabs>
          <w:tab w:val="left" w:pos="567"/>
          <w:tab w:val="right" w:pos="8504"/>
        </w:tabs>
        <w:spacing w:after="0" w:line="360" w:lineRule="auto"/>
        <w:jc w:val="both"/>
        <w:rPr>
          <w:rFonts w:ascii="Arial" w:hAnsi="Arial" w:cs="Arial"/>
          <w:b/>
        </w:rPr>
      </w:pPr>
    </w:p>
    <w:p w14:paraId="6BC1B61A" w14:textId="77777777" w:rsidR="005B73B2" w:rsidRDefault="006E24ED">
      <w:pPr>
        <w:tabs>
          <w:tab w:val="left" w:pos="567"/>
          <w:tab w:val="right" w:pos="8504"/>
        </w:tabs>
        <w:spacing w:after="0" w:line="360" w:lineRule="auto"/>
        <w:jc w:val="both"/>
        <w:rPr>
          <w:rFonts w:ascii="Arial" w:hAnsi="Arial" w:cs="Arial"/>
          <w:sz w:val="24"/>
          <w:szCs w:val="24"/>
        </w:rPr>
      </w:pPr>
      <w:r>
        <w:rPr>
          <w:rFonts w:ascii="Arial" w:hAnsi="Arial" w:cs="Arial"/>
          <w:sz w:val="24"/>
          <w:szCs w:val="24"/>
        </w:rPr>
        <w:tab/>
        <w:t>Em meio a pandemia do Covid-19, muitas coisas tiveram que ser adaptadas, e uma delas está sendo o distanciamento social. Evitar aglomerações passou a ser o ponto primordial para que a disseminação do vírus seja cada vez menor. (MARCONI, 2020, s.p).</w:t>
      </w:r>
    </w:p>
    <w:p w14:paraId="0173FD48" w14:textId="77777777" w:rsidR="005B73B2" w:rsidRDefault="006E24ED">
      <w:pPr>
        <w:tabs>
          <w:tab w:val="left" w:pos="567"/>
          <w:tab w:val="right" w:pos="8504"/>
        </w:tabs>
        <w:spacing w:after="0" w:line="360" w:lineRule="auto"/>
        <w:jc w:val="both"/>
        <w:rPr>
          <w:rFonts w:ascii="Arial" w:hAnsi="Arial" w:cs="Arial"/>
          <w:sz w:val="24"/>
          <w:szCs w:val="24"/>
          <w:highlight w:val="white"/>
        </w:rPr>
      </w:pPr>
      <w:r>
        <w:rPr>
          <w:rFonts w:ascii="Arial" w:hAnsi="Arial" w:cs="Arial"/>
          <w:sz w:val="24"/>
          <w:szCs w:val="24"/>
        </w:rPr>
        <w:tab/>
        <w:t>Como é de saber notório, o Poder Judiciário recebe dezenas de pessoas todos os dias para que seus conflitos pessoais sejam resolvidos e durante a pandemia isso não poderia ser diferente. Portanto, diante desta situação, o Poder Judiciário precisou colocar em prática novos atributos para que os atendimentos dos jurisdicionados fossem concretizados, “além de canais que evitam a judicialização em massa e permitem uma resposta mais célere e efetiva aos conflitos”. (MARCONI, 2020, s.p).</w:t>
      </w:r>
    </w:p>
    <w:p w14:paraId="59C8741E" w14:textId="356382C9" w:rsidR="005B73B2" w:rsidRDefault="006E24ED">
      <w:pPr>
        <w:tabs>
          <w:tab w:val="left" w:pos="567"/>
          <w:tab w:val="right" w:pos="8504"/>
        </w:tabs>
        <w:spacing w:after="0" w:line="360" w:lineRule="auto"/>
        <w:jc w:val="both"/>
      </w:pPr>
      <w:r>
        <w:rPr>
          <w:rFonts w:ascii="Arial" w:hAnsi="Arial" w:cs="Arial"/>
          <w:sz w:val="24"/>
          <w:szCs w:val="24"/>
          <w:shd w:val="clear" w:color="auto" w:fill="FFFFFF"/>
        </w:rPr>
        <w:tab/>
      </w:r>
      <w:r w:rsidRPr="00E04AAE">
        <w:rPr>
          <w:rFonts w:ascii="Arial" w:hAnsi="Arial" w:cs="Arial"/>
          <w:sz w:val="24"/>
          <w:szCs w:val="24"/>
        </w:rPr>
        <w:t>Com isso, de acordo com Marconi (2020), o Conselho Nacional de Justiça</w:t>
      </w:r>
      <w:r>
        <w:rPr>
          <w:rFonts w:ascii="Arial" w:hAnsi="Arial" w:cs="Arial"/>
          <w:sz w:val="24"/>
          <w:szCs w:val="24"/>
          <w:shd w:val="clear" w:color="auto" w:fill="FFFFFF"/>
        </w:rPr>
        <w:t xml:space="preserve"> </w:t>
      </w:r>
      <w:r w:rsidRPr="00E04AAE">
        <w:rPr>
          <w:rFonts w:ascii="Arial" w:hAnsi="Arial" w:cs="Arial"/>
          <w:sz w:val="24"/>
          <w:szCs w:val="24"/>
        </w:rPr>
        <w:t xml:space="preserve">elaborou uma Plataforma Emergencial de Videoconferência (PEV), que é o lugar em que os magistrados e gabinetes terão a possibilidade de se cadastrar para que possa </w:t>
      </w:r>
      <w:r w:rsidRPr="00E04AAE">
        <w:rPr>
          <w:rFonts w:ascii="Arial" w:hAnsi="Arial" w:cs="Arial"/>
          <w:sz w:val="24"/>
          <w:szCs w:val="24"/>
        </w:rPr>
        <w:lastRenderedPageBreak/>
        <w:t>ser realizada as audiências e as sessões de julgamento, e que poderão, também,</w:t>
      </w:r>
      <w:r>
        <w:rPr>
          <w:rFonts w:ascii="Arial" w:hAnsi="Arial" w:cs="Arial"/>
          <w:sz w:val="24"/>
          <w:szCs w:val="24"/>
          <w:shd w:val="clear" w:color="auto" w:fill="FFFFFF"/>
        </w:rPr>
        <w:t xml:space="preserve"> operar salas virtuais para que seja feita a efetuação de reuniões direcionadas ao </w:t>
      </w:r>
      <w:r w:rsidRPr="00E04AAE">
        <w:rPr>
          <w:rFonts w:ascii="Arial" w:hAnsi="Arial" w:cs="Arial"/>
          <w:sz w:val="24"/>
          <w:szCs w:val="24"/>
        </w:rPr>
        <w:t>andamento de processos. Ademais “também é possível a interação por advogados públicos e privados, membros do Ministério Público e defensores públicos, sendo possível, ainda, a sustentação oral de modo virtual e ao vivo” (MARCONI, 2020, s.p).</w:t>
      </w:r>
      <w:r>
        <w:rPr>
          <w:rFonts w:ascii="Arial" w:hAnsi="Arial" w:cs="Arial"/>
          <w:sz w:val="24"/>
          <w:szCs w:val="24"/>
          <w:shd w:val="clear" w:color="auto" w:fill="FFFFFF"/>
        </w:rPr>
        <w:t xml:space="preserve"> </w:t>
      </w:r>
    </w:p>
    <w:p w14:paraId="7A1B8F3E" w14:textId="77777777" w:rsidR="005B73B2" w:rsidRDefault="006E24ED">
      <w:pPr>
        <w:tabs>
          <w:tab w:val="left" w:pos="567"/>
          <w:tab w:val="right" w:pos="8504"/>
        </w:tabs>
        <w:spacing w:after="0" w:line="360" w:lineRule="auto"/>
        <w:jc w:val="both"/>
        <w:rPr>
          <w:rFonts w:ascii="Arial" w:hAnsi="Arial" w:cs="Arial"/>
          <w:sz w:val="24"/>
          <w:szCs w:val="24"/>
          <w:highlight w:val="white"/>
        </w:rPr>
      </w:pPr>
      <w:r>
        <w:rPr>
          <w:rFonts w:ascii="Arial" w:hAnsi="Arial" w:cs="Arial"/>
          <w:sz w:val="24"/>
          <w:szCs w:val="24"/>
          <w:shd w:val="clear" w:color="auto" w:fill="FFFFFF"/>
        </w:rPr>
        <w:tab/>
      </w:r>
      <w:r>
        <w:rPr>
          <w:rFonts w:ascii="Arial" w:hAnsi="Arial" w:cs="Arial"/>
          <w:sz w:val="24"/>
          <w:szCs w:val="24"/>
        </w:rPr>
        <w:t xml:space="preserve">Existem vários exemplos de inúmeros métodos aplicados em todo o Brasil. Em consonância com Marconi (2020), o Tribunal de Justiça de São Paulo (TJ-SP) criou uma espécie de “projeto-piloto de conciliação e mediação </w:t>
      </w:r>
      <w:proofErr w:type="spellStart"/>
      <w:r>
        <w:rPr>
          <w:rFonts w:ascii="Arial" w:hAnsi="Arial" w:cs="Arial"/>
          <w:sz w:val="24"/>
          <w:szCs w:val="24"/>
        </w:rPr>
        <w:t>pré</w:t>
      </w:r>
      <w:proofErr w:type="spellEnd"/>
      <w:r>
        <w:rPr>
          <w:rFonts w:ascii="Arial" w:hAnsi="Arial" w:cs="Arial"/>
          <w:sz w:val="24"/>
          <w:szCs w:val="24"/>
        </w:rPr>
        <w:t>-processuais para disputas empresariais decorrentes dos efeitos da pandemia” (MARCONI, 2020, s.p). Ainda, o Tribunal de Justiça do Mato Grosso (TJ-MT) também passou a implementar “sessões de julgamento dos órgãos judiciais e administrativos do Segundo Grau do Tribunal de Justiça e das Turmas Recursais inteiramente por videoconferência”. (MARCONI, 2020, s.p).</w:t>
      </w:r>
    </w:p>
    <w:p w14:paraId="0E533BDB" w14:textId="77777777" w:rsidR="005B73B2" w:rsidRDefault="006E24ED">
      <w:pPr>
        <w:tabs>
          <w:tab w:val="left" w:pos="567"/>
          <w:tab w:val="right" w:pos="8504"/>
        </w:tabs>
        <w:spacing w:after="0" w:line="360" w:lineRule="auto"/>
        <w:jc w:val="both"/>
        <w:rPr>
          <w:rFonts w:ascii="Arial" w:hAnsi="Arial" w:cs="Arial"/>
          <w:spacing w:val="2"/>
          <w:sz w:val="24"/>
          <w:szCs w:val="24"/>
          <w:highlight w:val="white"/>
        </w:rPr>
      </w:pPr>
      <w:r>
        <w:rPr>
          <w:rFonts w:ascii="Arial" w:hAnsi="Arial" w:cs="Arial"/>
          <w:sz w:val="24"/>
          <w:szCs w:val="24"/>
          <w:shd w:val="clear" w:color="auto" w:fill="FFFFFF"/>
        </w:rPr>
        <w:tab/>
      </w:r>
      <w:r>
        <w:rPr>
          <w:rFonts w:ascii="Arial" w:hAnsi="Arial" w:cs="Arial"/>
          <w:sz w:val="24"/>
          <w:szCs w:val="24"/>
        </w:rPr>
        <w:t>Ademais, no Estado de São Paulo foi adotado uma ampliação do serviço de registro eletrônico de ocorrências que se dá por meio do site da polícia civil do estado</w:t>
      </w:r>
      <w:r>
        <w:rPr>
          <w:rFonts w:ascii="Arial" w:hAnsi="Arial" w:cs="Arial"/>
          <w:sz w:val="24"/>
          <w:szCs w:val="24"/>
          <w:shd w:val="clear" w:color="auto" w:fill="FFFFFF"/>
        </w:rPr>
        <w:t xml:space="preserve"> de São Paulo, </w:t>
      </w:r>
      <w:r>
        <w:rPr>
          <w:rFonts w:ascii="Arial" w:hAnsi="Arial" w:cs="Arial"/>
          <w:sz w:val="24"/>
          <w:szCs w:val="24"/>
        </w:rPr>
        <w:t>“</w:t>
      </w:r>
      <w:r>
        <w:rPr>
          <w:rFonts w:ascii="Arial" w:hAnsi="Arial" w:cs="Arial"/>
          <w:spacing w:val="2"/>
          <w:sz w:val="24"/>
          <w:szCs w:val="24"/>
        </w:rPr>
        <w:t>com o intuito de manter as delegacias apenas para atendimento de</w:t>
      </w:r>
      <w:r>
        <w:rPr>
          <w:rFonts w:ascii="Arial" w:hAnsi="Arial" w:cs="Arial"/>
          <w:spacing w:val="2"/>
          <w:sz w:val="24"/>
          <w:szCs w:val="24"/>
          <w:shd w:val="clear" w:color="auto" w:fill="F8F8F8"/>
        </w:rPr>
        <w:t xml:space="preserve"> </w:t>
      </w:r>
      <w:r>
        <w:rPr>
          <w:rFonts w:ascii="Arial" w:hAnsi="Arial" w:cs="Arial"/>
          <w:spacing w:val="2"/>
          <w:sz w:val="24"/>
          <w:szCs w:val="24"/>
        </w:rPr>
        <w:t>flagrantes e registro de crimes mais graves que não foram incluídos nessa ampliação</w:t>
      </w:r>
      <w:r>
        <w:rPr>
          <w:rFonts w:ascii="Arial" w:hAnsi="Arial" w:cs="Arial"/>
          <w:spacing w:val="2"/>
          <w:sz w:val="24"/>
          <w:szCs w:val="24"/>
          <w:shd w:val="clear" w:color="auto" w:fill="F8F8F8"/>
        </w:rPr>
        <w:t xml:space="preserve"> </w:t>
      </w:r>
      <w:r>
        <w:rPr>
          <w:rFonts w:ascii="Arial" w:hAnsi="Arial" w:cs="Arial"/>
          <w:spacing w:val="2"/>
          <w:sz w:val="24"/>
          <w:szCs w:val="24"/>
        </w:rPr>
        <w:t xml:space="preserve">(quais sejam, estupro, homicídio e latrocínio)”. (CARNEIRO, </w:t>
      </w:r>
      <w:r>
        <w:rPr>
          <w:rFonts w:ascii="Arial" w:hAnsi="Arial" w:cs="Arial"/>
          <w:i/>
          <w:spacing w:val="2"/>
          <w:sz w:val="24"/>
          <w:szCs w:val="24"/>
        </w:rPr>
        <w:t xml:space="preserve">et. </w:t>
      </w:r>
      <w:proofErr w:type="spellStart"/>
      <w:r>
        <w:rPr>
          <w:rFonts w:ascii="Arial" w:hAnsi="Arial" w:cs="Arial"/>
          <w:i/>
          <w:spacing w:val="2"/>
          <w:sz w:val="24"/>
          <w:szCs w:val="24"/>
        </w:rPr>
        <w:t>all</w:t>
      </w:r>
      <w:proofErr w:type="spellEnd"/>
      <w:r>
        <w:rPr>
          <w:rFonts w:ascii="Arial" w:hAnsi="Arial" w:cs="Arial"/>
          <w:i/>
          <w:spacing w:val="2"/>
          <w:sz w:val="24"/>
          <w:szCs w:val="24"/>
        </w:rPr>
        <w:t>.,</w:t>
      </w:r>
      <w:r>
        <w:rPr>
          <w:rFonts w:ascii="Arial" w:hAnsi="Arial" w:cs="Arial"/>
          <w:spacing w:val="2"/>
          <w:sz w:val="24"/>
          <w:szCs w:val="24"/>
        </w:rPr>
        <w:t xml:space="preserve"> 2020, s.p).</w:t>
      </w:r>
    </w:p>
    <w:p w14:paraId="2A2BFDA0" w14:textId="77777777" w:rsidR="005B73B2" w:rsidRDefault="006E24ED">
      <w:pPr>
        <w:tabs>
          <w:tab w:val="left" w:pos="567"/>
          <w:tab w:val="right" w:pos="8504"/>
        </w:tabs>
        <w:spacing w:after="0" w:line="360" w:lineRule="auto"/>
        <w:jc w:val="both"/>
        <w:rPr>
          <w:rFonts w:ascii="Arial" w:hAnsi="Arial" w:cs="Arial"/>
          <w:sz w:val="24"/>
          <w:szCs w:val="24"/>
          <w:highlight w:val="white"/>
        </w:rPr>
      </w:pPr>
      <w:r>
        <w:rPr>
          <w:rFonts w:ascii="Arial" w:hAnsi="Arial" w:cs="Arial"/>
          <w:spacing w:val="2"/>
          <w:sz w:val="24"/>
          <w:szCs w:val="24"/>
        </w:rPr>
        <w:tab/>
        <w:t>Todas essas medidas citadas possuem a finalidade de impedir que haja</w:t>
      </w:r>
      <w:r>
        <w:rPr>
          <w:rFonts w:ascii="Arial" w:hAnsi="Arial" w:cs="Arial"/>
          <w:spacing w:val="2"/>
          <w:sz w:val="24"/>
          <w:szCs w:val="24"/>
          <w:shd w:val="clear" w:color="auto" w:fill="F8F8F8"/>
        </w:rPr>
        <w:t xml:space="preserve"> </w:t>
      </w:r>
      <w:r>
        <w:rPr>
          <w:rFonts w:ascii="Arial" w:hAnsi="Arial" w:cs="Arial"/>
          <w:spacing w:val="2"/>
          <w:sz w:val="24"/>
          <w:szCs w:val="24"/>
        </w:rPr>
        <w:t>aglomeração nos Tribunais de Justiça e também nas delegacias de polícia, para que,</w:t>
      </w:r>
      <w:r>
        <w:rPr>
          <w:rFonts w:ascii="Arial" w:hAnsi="Arial" w:cs="Arial"/>
          <w:spacing w:val="2"/>
          <w:sz w:val="24"/>
          <w:szCs w:val="24"/>
          <w:shd w:val="clear" w:color="auto" w:fill="F8F8F8"/>
        </w:rPr>
        <w:t xml:space="preserve"> </w:t>
      </w:r>
      <w:r>
        <w:rPr>
          <w:rFonts w:ascii="Arial" w:hAnsi="Arial" w:cs="Arial"/>
          <w:spacing w:val="2"/>
          <w:sz w:val="24"/>
          <w:szCs w:val="24"/>
        </w:rPr>
        <w:t xml:space="preserve">dessa forma, seja cumprida todas determinações feitas pelas autoridades sanitárias designadas para a luta contra o aumento de casos decorrente do Covid-19 (CARNEIRO, </w:t>
      </w:r>
      <w:r>
        <w:rPr>
          <w:rFonts w:ascii="Arial" w:hAnsi="Arial" w:cs="Arial"/>
          <w:i/>
          <w:iCs/>
          <w:spacing w:val="2"/>
          <w:sz w:val="24"/>
          <w:szCs w:val="24"/>
        </w:rPr>
        <w:t xml:space="preserve">et. </w:t>
      </w:r>
      <w:proofErr w:type="spellStart"/>
      <w:r>
        <w:rPr>
          <w:rFonts w:ascii="Arial" w:hAnsi="Arial" w:cs="Arial"/>
          <w:i/>
          <w:iCs/>
          <w:spacing w:val="2"/>
          <w:sz w:val="24"/>
          <w:szCs w:val="24"/>
        </w:rPr>
        <w:t>all</w:t>
      </w:r>
      <w:proofErr w:type="spellEnd"/>
      <w:r>
        <w:rPr>
          <w:rFonts w:ascii="Arial" w:hAnsi="Arial" w:cs="Arial"/>
          <w:i/>
          <w:iCs/>
          <w:spacing w:val="2"/>
          <w:sz w:val="24"/>
          <w:szCs w:val="24"/>
        </w:rPr>
        <w:t>.,</w:t>
      </w:r>
      <w:r>
        <w:rPr>
          <w:rFonts w:ascii="Arial" w:hAnsi="Arial" w:cs="Arial"/>
          <w:spacing w:val="2"/>
          <w:sz w:val="24"/>
          <w:szCs w:val="24"/>
        </w:rPr>
        <w:t xml:space="preserve"> 2020,</w:t>
      </w:r>
      <w:r>
        <w:rPr>
          <w:rFonts w:ascii="Arial" w:hAnsi="Arial" w:cs="Arial"/>
          <w:spacing w:val="2"/>
          <w:sz w:val="24"/>
          <w:szCs w:val="24"/>
          <w:shd w:val="clear" w:color="auto" w:fill="F8F8F8"/>
        </w:rPr>
        <w:t xml:space="preserve"> </w:t>
      </w:r>
      <w:r>
        <w:rPr>
          <w:rFonts w:ascii="Arial" w:hAnsi="Arial" w:cs="Arial"/>
          <w:spacing w:val="2"/>
          <w:sz w:val="24"/>
          <w:szCs w:val="24"/>
        </w:rPr>
        <w:t>s.p).</w:t>
      </w:r>
      <w:r>
        <w:rPr>
          <w:rFonts w:ascii="Arial" w:hAnsi="Arial" w:cs="Arial"/>
          <w:spacing w:val="2"/>
          <w:sz w:val="24"/>
          <w:szCs w:val="24"/>
          <w:shd w:val="clear" w:color="auto" w:fill="F8F8F8"/>
        </w:rPr>
        <w:t xml:space="preserve"> </w:t>
      </w:r>
    </w:p>
    <w:p w14:paraId="74ADBE63" w14:textId="77777777" w:rsidR="005B73B2" w:rsidRDefault="006E24ED">
      <w:pPr>
        <w:spacing w:after="0" w:line="360" w:lineRule="auto"/>
        <w:ind w:firstLine="567"/>
        <w:jc w:val="both"/>
        <w:rPr>
          <w:rFonts w:ascii="Arial" w:eastAsia="Arial" w:hAnsi="Arial" w:cs="Arial"/>
          <w:color w:val="212529"/>
          <w:sz w:val="24"/>
          <w:szCs w:val="24"/>
        </w:rPr>
      </w:pPr>
      <w:r>
        <w:rPr>
          <w:rFonts w:ascii="Arial" w:hAnsi="Arial" w:cs="Arial"/>
          <w:sz w:val="24"/>
          <w:szCs w:val="24"/>
        </w:rPr>
        <w:t>À vista disso, para que tudo esteja legalizado, leis e portarias foram criadas com a finalidade para que haja a possibilidade da inserção de novos métodos. A Portaria 283, por exemplo, criada em 13 de abril de 2020, “</w:t>
      </w:r>
      <w:r>
        <w:rPr>
          <w:rFonts w:ascii="Arial" w:eastAsia="Arial" w:hAnsi="Arial" w:cs="Arial"/>
          <w:sz w:val="24"/>
          <w:szCs w:val="24"/>
        </w:rPr>
        <w:t>não estabelece obrigatoriedade na realização das sessões, mas abre possibilidade para que esses julgamentos ocorram nesse sistema” (MARCONI, 2020, s.p).</w:t>
      </w:r>
    </w:p>
    <w:p w14:paraId="486DBEF2" w14:textId="77777777" w:rsidR="005B73B2" w:rsidRDefault="006E24ED">
      <w:pPr>
        <w:spacing w:after="0" w:line="360" w:lineRule="auto"/>
        <w:ind w:firstLine="567"/>
        <w:jc w:val="both"/>
      </w:pPr>
      <w:r>
        <w:rPr>
          <w:rFonts w:ascii="Arial" w:eastAsia="Arial" w:hAnsi="Arial" w:cs="Arial"/>
          <w:sz w:val="24"/>
          <w:szCs w:val="24"/>
        </w:rPr>
        <w:t xml:space="preserve"> </w:t>
      </w:r>
      <w:r>
        <w:rPr>
          <w:rFonts w:ascii="Arial" w:eastAsia="Arial" w:hAnsi="Arial" w:cs="Arial"/>
          <w:color w:val="00000A"/>
          <w:sz w:val="24"/>
          <w:szCs w:val="24"/>
        </w:rPr>
        <w:t xml:space="preserve">Ainda, foi promulgada recentemente a Lei nº 13.994/2020, que tem a finalidade de possibilitar a conciliação não presencial no âmbito dos Juizados Especiais Cíveis. A lei citada acabou fazendo a modificação nos artigos 22 e 23 da Lei nº 9.099/95, agora vigoram as seguintes redações: </w:t>
      </w:r>
    </w:p>
    <w:p w14:paraId="354321CE" w14:textId="77777777" w:rsidR="005B73B2" w:rsidRDefault="006E24ED">
      <w:pPr>
        <w:spacing w:after="0" w:line="240" w:lineRule="auto"/>
        <w:ind w:left="2268"/>
        <w:jc w:val="both"/>
      </w:pPr>
      <w:r>
        <w:lastRenderedPageBreak/>
        <w:br/>
      </w:r>
      <w:r>
        <w:rPr>
          <w:rFonts w:ascii="Arial" w:eastAsia="Arial" w:hAnsi="Arial" w:cs="Arial"/>
        </w:rPr>
        <w:t>Art. 22 § 1º Obtida a conciliação, esta será reduzida a escrito e homologada pelo Juiz togado mediante sentença com eficácia de título executivo.</w:t>
      </w:r>
      <w:r>
        <w:rPr>
          <w:rFonts w:ascii="Arial" w:hAnsi="Arial"/>
        </w:rPr>
        <w:br/>
      </w:r>
      <w:r>
        <w:rPr>
          <w:rFonts w:ascii="Arial" w:eastAsia="Arial" w:hAnsi="Arial" w:cs="Arial"/>
        </w:rPr>
        <w:t>§ 2º É cabível a conciliação não presencial conduzida pelo Juizado mediante o emprego dos recursos tecnológicos disponíveis de transmissão de sons e imagens em tempo real, devendo o resultado da tentativa de conciliação ser reduzido a escrito com os anexos pertinentes.</w:t>
      </w:r>
      <w:r>
        <w:rPr>
          <w:rFonts w:ascii="Arial" w:hAnsi="Arial"/>
        </w:rPr>
        <w:br/>
      </w:r>
      <w:r>
        <w:rPr>
          <w:rFonts w:ascii="Arial" w:eastAsia="Arial" w:hAnsi="Arial" w:cs="Arial"/>
        </w:rPr>
        <w:t>Art. 23. Se o demandado não comparecer ou recusar-se a participar da tentativa de conciliação não presencial, o Juiz togado proferirá sentença (BRASIL, 1995, s.p.)</w:t>
      </w:r>
    </w:p>
    <w:p w14:paraId="6B74B825" w14:textId="77777777" w:rsidR="005B73B2" w:rsidRDefault="005B73B2">
      <w:pPr>
        <w:spacing w:after="0" w:line="360" w:lineRule="auto"/>
        <w:ind w:firstLine="709"/>
        <w:jc w:val="both"/>
        <w:rPr>
          <w:rFonts w:ascii="Arial" w:eastAsia="Arial" w:hAnsi="Arial" w:cs="Arial"/>
          <w:color w:val="212529"/>
          <w:sz w:val="24"/>
          <w:szCs w:val="24"/>
        </w:rPr>
      </w:pPr>
    </w:p>
    <w:p w14:paraId="77C95B40" w14:textId="77777777" w:rsidR="005B73B2" w:rsidRPr="00E04AAE" w:rsidRDefault="006E24ED">
      <w:pPr>
        <w:spacing w:after="0" w:line="360" w:lineRule="auto"/>
        <w:ind w:firstLine="709"/>
        <w:jc w:val="both"/>
      </w:pPr>
      <w:r w:rsidRPr="00E04AAE">
        <w:rPr>
          <w:rFonts w:ascii="Arial" w:eastAsia="Arial" w:hAnsi="Arial" w:cs="Arial"/>
          <w:sz w:val="24"/>
          <w:szCs w:val="24"/>
        </w:rPr>
        <w:t xml:space="preserve">Dessa forma, em consonância com Carneiro, </w:t>
      </w:r>
      <w:r w:rsidRPr="00E04AAE">
        <w:rPr>
          <w:rFonts w:ascii="Arial" w:eastAsia="Arial" w:hAnsi="Arial" w:cs="Arial"/>
          <w:i/>
          <w:iCs/>
          <w:sz w:val="24"/>
          <w:szCs w:val="24"/>
        </w:rPr>
        <w:t xml:space="preserve">et. </w:t>
      </w:r>
      <w:proofErr w:type="spellStart"/>
      <w:r w:rsidRPr="00E04AAE">
        <w:rPr>
          <w:rFonts w:ascii="Arial" w:eastAsia="Arial" w:hAnsi="Arial" w:cs="Arial"/>
          <w:i/>
          <w:iCs/>
          <w:sz w:val="24"/>
          <w:szCs w:val="24"/>
        </w:rPr>
        <w:t>all</w:t>
      </w:r>
      <w:proofErr w:type="spellEnd"/>
      <w:r w:rsidRPr="00E04AAE">
        <w:rPr>
          <w:rFonts w:ascii="Arial" w:eastAsia="Arial" w:hAnsi="Arial" w:cs="Arial"/>
          <w:i/>
          <w:iCs/>
          <w:sz w:val="24"/>
          <w:szCs w:val="24"/>
        </w:rPr>
        <w:t xml:space="preserve">. </w:t>
      </w:r>
      <w:r w:rsidRPr="00E04AAE">
        <w:rPr>
          <w:rFonts w:ascii="Arial" w:eastAsia="Arial" w:hAnsi="Arial" w:cs="Arial"/>
          <w:sz w:val="24"/>
          <w:szCs w:val="24"/>
        </w:rPr>
        <w:t>(2020), não se pode negar as vantagens que a efetuação e a aplicação dos novos métodos tecnológicos ocasionarão, no entanto, deve-se ficar atento às ferramentas que podem ou não se enquadrar em um momento pós pandemia.</w:t>
      </w:r>
    </w:p>
    <w:p w14:paraId="02BE912D" w14:textId="77777777" w:rsidR="005B73B2" w:rsidRDefault="005B73B2">
      <w:pPr>
        <w:tabs>
          <w:tab w:val="left" w:pos="567"/>
          <w:tab w:val="right" w:pos="8504"/>
        </w:tabs>
        <w:spacing w:after="0" w:line="360" w:lineRule="auto"/>
        <w:jc w:val="both"/>
        <w:rPr>
          <w:rFonts w:ascii="Arial" w:hAnsi="Arial" w:cs="Arial"/>
          <w:sz w:val="24"/>
          <w:szCs w:val="24"/>
        </w:rPr>
      </w:pPr>
    </w:p>
    <w:p w14:paraId="63D4269D" w14:textId="77777777" w:rsidR="005B73B2" w:rsidRDefault="005B73B2">
      <w:pPr>
        <w:spacing w:after="0" w:line="360" w:lineRule="auto"/>
        <w:jc w:val="both"/>
        <w:rPr>
          <w:rFonts w:ascii="Arial" w:hAnsi="Arial" w:cs="Arial"/>
          <w:b/>
          <w:sz w:val="24"/>
          <w:szCs w:val="24"/>
        </w:rPr>
      </w:pPr>
    </w:p>
    <w:p w14:paraId="5CDA48E0" w14:textId="77777777" w:rsidR="005B73B2" w:rsidRDefault="006E24ED">
      <w:pPr>
        <w:spacing w:after="0" w:line="360" w:lineRule="auto"/>
        <w:jc w:val="both"/>
        <w:rPr>
          <w:rFonts w:ascii="Arial" w:hAnsi="Arial" w:cs="Arial"/>
          <w:b/>
          <w:bCs/>
          <w:sz w:val="24"/>
          <w:szCs w:val="24"/>
        </w:rPr>
      </w:pPr>
      <w:r>
        <w:rPr>
          <w:rFonts w:ascii="Arial" w:hAnsi="Arial" w:cs="Arial"/>
          <w:b/>
          <w:bCs/>
          <w:sz w:val="24"/>
          <w:szCs w:val="24"/>
        </w:rPr>
        <w:t>CONSIDERAÇÕES FINAIS</w:t>
      </w:r>
    </w:p>
    <w:p w14:paraId="3D2AA32D" w14:textId="77777777" w:rsidR="005B73B2" w:rsidRDefault="005B73B2">
      <w:pPr>
        <w:spacing w:after="0" w:line="360" w:lineRule="auto"/>
        <w:jc w:val="both"/>
        <w:rPr>
          <w:rFonts w:ascii="Arial" w:hAnsi="Arial" w:cs="Arial"/>
          <w:sz w:val="24"/>
          <w:szCs w:val="24"/>
        </w:rPr>
      </w:pPr>
    </w:p>
    <w:p w14:paraId="27C2BB1C" w14:textId="77777777" w:rsidR="005B73B2" w:rsidRDefault="006E24ED">
      <w:pPr>
        <w:spacing w:after="0" w:line="360" w:lineRule="auto"/>
        <w:ind w:firstLine="708"/>
        <w:jc w:val="both"/>
        <w:rPr>
          <w:rFonts w:ascii="Arial" w:hAnsi="Arial" w:cs="Arial"/>
          <w:b/>
          <w:bCs/>
          <w:sz w:val="24"/>
          <w:szCs w:val="24"/>
        </w:rPr>
      </w:pPr>
      <w:r>
        <w:rPr>
          <w:rFonts w:ascii="Arial" w:hAnsi="Arial" w:cs="Arial"/>
          <w:sz w:val="24"/>
          <w:szCs w:val="24"/>
        </w:rPr>
        <w:t>Através do estudo feito para este resumo, é possível compreender que, mesmo antes da pandemia acontecer, o Poder Judiciário sempre veio se preocupando em descomplicar os meios de resoluções de conflitos, para que estes sejam resolvidos com muito mais rapidez.</w:t>
      </w:r>
    </w:p>
    <w:p w14:paraId="7490D8C4" w14:textId="77777777" w:rsidR="005B73B2" w:rsidRDefault="006E24ED">
      <w:pPr>
        <w:spacing w:after="0" w:line="360" w:lineRule="auto"/>
        <w:ind w:firstLine="708"/>
        <w:jc w:val="both"/>
        <w:rPr>
          <w:rFonts w:ascii="Arial" w:hAnsi="Arial" w:cs="Arial"/>
          <w:sz w:val="24"/>
          <w:szCs w:val="24"/>
        </w:rPr>
      </w:pPr>
      <w:r>
        <w:rPr>
          <w:rFonts w:ascii="Arial" w:hAnsi="Arial" w:cs="Arial"/>
          <w:sz w:val="24"/>
          <w:szCs w:val="24"/>
        </w:rPr>
        <w:t>Desse modo, com a Covid-19, querendo ou não, a implementação dos novos meios de comunicação do Poder Judiciário para com as partes do processo, em um todo, fez com que a comunicação fosse mais ágil.</w:t>
      </w:r>
    </w:p>
    <w:p w14:paraId="73D8CEDC" w14:textId="77777777" w:rsidR="005B73B2" w:rsidRDefault="006E24ED">
      <w:pPr>
        <w:spacing w:after="0" w:line="360" w:lineRule="auto"/>
        <w:ind w:firstLine="708"/>
        <w:jc w:val="both"/>
      </w:pPr>
      <w:r>
        <w:rPr>
          <w:rFonts w:ascii="Arial" w:hAnsi="Arial" w:cs="Arial"/>
          <w:sz w:val="24"/>
          <w:szCs w:val="24"/>
        </w:rPr>
        <w:t>Por conseguinte, é necessário analisar atentamente, em um momento pós pandemia, para os métodos que deram certo, com o intuito de melhorar o acesso à justiça para todos, examinando se é admissível preservar tais mudanças positivas que decorreram desse método remoto.</w:t>
      </w:r>
    </w:p>
    <w:p w14:paraId="5F84D145" w14:textId="77777777" w:rsidR="005B73B2" w:rsidRDefault="005B73B2">
      <w:pPr>
        <w:spacing w:after="0" w:line="360" w:lineRule="auto"/>
        <w:ind w:firstLine="708"/>
        <w:jc w:val="both"/>
        <w:rPr>
          <w:rFonts w:ascii="Arial" w:hAnsi="Arial" w:cs="Arial"/>
          <w:sz w:val="24"/>
          <w:szCs w:val="24"/>
        </w:rPr>
      </w:pPr>
    </w:p>
    <w:p w14:paraId="055D2DF2" w14:textId="77777777" w:rsidR="005B73B2" w:rsidRDefault="005B73B2">
      <w:pPr>
        <w:spacing w:after="0" w:line="360" w:lineRule="auto"/>
        <w:ind w:firstLine="708"/>
        <w:jc w:val="both"/>
        <w:rPr>
          <w:rFonts w:ascii="Arial" w:hAnsi="Arial" w:cs="Arial"/>
          <w:sz w:val="24"/>
          <w:szCs w:val="24"/>
        </w:rPr>
      </w:pPr>
    </w:p>
    <w:p w14:paraId="62B84347" w14:textId="77777777" w:rsidR="005B73B2" w:rsidRDefault="006E24ED">
      <w:pPr>
        <w:spacing w:after="0" w:line="360" w:lineRule="auto"/>
        <w:jc w:val="both"/>
      </w:pPr>
      <w:r>
        <w:rPr>
          <w:rFonts w:ascii="Arial" w:hAnsi="Arial" w:cs="Arial"/>
          <w:b/>
          <w:bCs/>
          <w:sz w:val="24"/>
          <w:szCs w:val="24"/>
        </w:rPr>
        <w:t>REFERÊNCIAS</w:t>
      </w:r>
    </w:p>
    <w:p w14:paraId="51F9D4A2" w14:textId="77777777" w:rsidR="005B73B2" w:rsidRDefault="005B73B2">
      <w:pPr>
        <w:spacing w:after="0" w:line="360" w:lineRule="auto"/>
        <w:jc w:val="both"/>
        <w:rPr>
          <w:rFonts w:ascii="Arial" w:hAnsi="Arial" w:cs="Arial"/>
          <w:b/>
          <w:bCs/>
          <w:sz w:val="24"/>
          <w:szCs w:val="24"/>
        </w:rPr>
      </w:pPr>
    </w:p>
    <w:p w14:paraId="785F1C85" w14:textId="77777777" w:rsidR="005B73B2" w:rsidRDefault="006E24ED" w:rsidP="009C1BA3">
      <w:pPr>
        <w:pStyle w:val="Ttulo2"/>
        <w:spacing w:before="0" w:line="240" w:lineRule="auto"/>
      </w:pPr>
      <w:r>
        <w:rPr>
          <w:rFonts w:ascii="Arial" w:hAnsi="Arial" w:cs="Arial"/>
          <w:b w:val="0"/>
          <w:bCs w:val="0"/>
          <w:color w:val="00000A"/>
          <w:sz w:val="24"/>
          <w:szCs w:val="24"/>
        </w:rPr>
        <w:lastRenderedPageBreak/>
        <w:t xml:space="preserve">BRASIL. </w:t>
      </w:r>
      <w:r>
        <w:rPr>
          <w:rFonts w:ascii="Arial" w:hAnsi="Arial" w:cs="Arial"/>
          <w:color w:val="00000A"/>
          <w:sz w:val="24"/>
          <w:szCs w:val="24"/>
        </w:rPr>
        <w:t xml:space="preserve">Lei nº 9.099 de 25 de setembro de 1995. </w:t>
      </w:r>
      <w:r>
        <w:rPr>
          <w:rFonts w:ascii="Arial" w:hAnsi="Arial" w:cs="Arial"/>
          <w:b w:val="0"/>
          <w:bCs w:val="0"/>
          <w:color w:val="00000A"/>
          <w:sz w:val="24"/>
          <w:szCs w:val="24"/>
        </w:rPr>
        <w:t>1995. Disponível em: &lt;http://www.planalto.gov.br/ccivil_03/leis/l9099.htm.&gt;. Acesso em: 07 out. 2020.</w:t>
      </w:r>
    </w:p>
    <w:p w14:paraId="73D61A11" w14:textId="77777777" w:rsidR="005B73B2" w:rsidRDefault="006E24ED" w:rsidP="009C1BA3">
      <w:pPr>
        <w:pStyle w:val="Ttulo2"/>
        <w:spacing w:before="0" w:line="240" w:lineRule="auto"/>
        <w:rPr>
          <w:rFonts w:ascii="Arial" w:eastAsia="Arial" w:hAnsi="Arial" w:cs="Arial"/>
          <w:color w:val="000000" w:themeColor="text1"/>
          <w:sz w:val="24"/>
          <w:szCs w:val="24"/>
        </w:rPr>
      </w:pPr>
      <w:r>
        <w:rPr>
          <w:rFonts w:ascii="Arial" w:hAnsi="Arial" w:cs="Arial"/>
          <w:b w:val="0"/>
          <w:bCs w:val="0"/>
          <w:color w:val="00000A"/>
          <w:sz w:val="24"/>
          <w:szCs w:val="24"/>
        </w:rPr>
        <w:t xml:space="preserve">Carneiro, Naiara de Seixas, </w:t>
      </w:r>
      <w:r>
        <w:rPr>
          <w:rFonts w:ascii="Arial" w:hAnsi="Arial" w:cs="Arial"/>
          <w:b w:val="0"/>
          <w:bCs w:val="0"/>
          <w:i/>
          <w:iCs/>
          <w:color w:val="00000A"/>
          <w:sz w:val="24"/>
          <w:szCs w:val="24"/>
        </w:rPr>
        <w:t xml:space="preserve">et. </w:t>
      </w:r>
      <w:proofErr w:type="spellStart"/>
      <w:r>
        <w:rPr>
          <w:rFonts w:ascii="Arial" w:hAnsi="Arial" w:cs="Arial"/>
          <w:b w:val="0"/>
          <w:bCs w:val="0"/>
          <w:i/>
          <w:iCs/>
          <w:color w:val="00000A"/>
          <w:sz w:val="24"/>
          <w:szCs w:val="24"/>
        </w:rPr>
        <w:t>all</w:t>
      </w:r>
      <w:proofErr w:type="spellEnd"/>
      <w:r>
        <w:rPr>
          <w:rFonts w:ascii="Arial" w:hAnsi="Arial" w:cs="Arial"/>
          <w:b w:val="0"/>
          <w:bCs w:val="0"/>
          <w:i/>
          <w:iCs/>
          <w:color w:val="00000A"/>
          <w:sz w:val="24"/>
          <w:szCs w:val="24"/>
        </w:rPr>
        <w:t xml:space="preserve">. </w:t>
      </w:r>
      <w:r>
        <w:rPr>
          <w:rFonts w:ascii="Arial" w:eastAsia="Arial" w:hAnsi="Arial" w:cs="Arial"/>
          <w:color w:val="000000" w:themeColor="text1"/>
          <w:sz w:val="24"/>
          <w:szCs w:val="24"/>
        </w:rPr>
        <w:t>As alterações adotadas pelo Poder Judiciário em decorrência da pandemia e a pergunta que não quer calar: Qual o legado que ficará no mundo pós-</w:t>
      </w:r>
      <w:proofErr w:type="gramStart"/>
      <w:r>
        <w:rPr>
          <w:rFonts w:ascii="Arial" w:eastAsia="Arial" w:hAnsi="Arial" w:cs="Arial"/>
          <w:color w:val="000000" w:themeColor="text1"/>
          <w:sz w:val="24"/>
          <w:szCs w:val="24"/>
        </w:rPr>
        <w:t>pandemia?.</w:t>
      </w:r>
      <w:proofErr w:type="gramEnd"/>
      <w:r>
        <w:rPr>
          <w:rFonts w:ascii="Arial" w:eastAsia="Arial" w:hAnsi="Arial" w:cs="Arial"/>
          <w:color w:val="000000" w:themeColor="text1"/>
          <w:sz w:val="24"/>
          <w:szCs w:val="24"/>
        </w:rPr>
        <w:t xml:space="preserve"> </w:t>
      </w:r>
      <w:r>
        <w:rPr>
          <w:rFonts w:ascii="Arial" w:eastAsia="Arial" w:hAnsi="Arial" w:cs="Arial"/>
          <w:b w:val="0"/>
          <w:bCs w:val="0"/>
          <w:color w:val="000000" w:themeColor="text1"/>
          <w:sz w:val="24"/>
          <w:szCs w:val="24"/>
        </w:rPr>
        <w:t>Disponível em: &lt;https://www.migalhas.com.br/depeso/325717/as-alteracoes-adotadas-pelo-poder-judiciario-em-decorrencia-da-pandemia-e-a-pergunta-que-nao-quer-calar-qual-o-legado-que-ficara-no-mundo-pos-pandemia&gt;. Acesso em: 27 set. 2020.</w:t>
      </w:r>
    </w:p>
    <w:p w14:paraId="77B2F2D6" w14:textId="77777777" w:rsidR="005B73B2" w:rsidRDefault="005B73B2" w:rsidP="009C1BA3">
      <w:pPr>
        <w:spacing w:after="0" w:line="240" w:lineRule="auto"/>
        <w:rPr>
          <w:rFonts w:ascii="Arial" w:hAnsi="Arial" w:cs="Arial"/>
          <w:sz w:val="24"/>
          <w:szCs w:val="24"/>
        </w:rPr>
      </w:pPr>
    </w:p>
    <w:p w14:paraId="271AF4E7" w14:textId="77777777" w:rsidR="005B73B2" w:rsidRDefault="006E24ED" w:rsidP="009C1BA3">
      <w:pPr>
        <w:spacing w:after="0" w:line="240" w:lineRule="auto"/>
        <w:rPr>
          <w:rFonts w:ascii="Arial" w:hAnsi="Arial" w:cs="Arial"/>
          <w:sz w:val="24"/>
          <w:szCs w:val="24"/>
        </w:rPr>
      </w:pPr>
      <w:r>
        <w:rPr>
          <w:rFonts w:ascii="Arial" w:hAnsi="Arial" w:cs="Arial"/>
          <w:sz w:val="24"/>
          <w:szCs w:val="24"/>
        </w:rPr>
        <w:t>CNJ</w:t>
      </w:r>
      <w:r>
        <w:rPr>
          <w:rFonts w:ascii="Arial" w:hAnsi="Arial" w:cs="Arial"/>
          <w:b/>
          <w:bCs/>
          <w:sz w:val="24"/>
          <w:szCs w:val="24"/>
        </w:rPr>
        <w:t xml:space="preserve">. Qual a diferença entre conciliação e </w:t>
      </w:r>
      <w:proofErr w:type="gramStart"/>
      <w:r>
        <w:rPr>
          <w:rFonts w:ascii="Arial" w:hAnsi="Arial" w:cs="Arial"/>
          <w:b/>
          <w:bCs/>
          <w:sz w:val="24"/>
          <w:szCs w:val="24"/>
        </w:rPr>
        <w:t>mediação?</w:t>
      </w:r>
      <w:r>
        <w:rPr>
          <w:rFonts w:ascii="Arial" w:hAnsi="Arial" w:cs="Arial"/>
          <w:sz w:val="24"/>
          <w:szCs w:val="24"/>
        </w:rPr>
        <w:t>.</w:t>
      </w:r>
      <w:proofErr w:type="gramEnd"/>
      <w:r>
        <w:rPr>
          <w:rFonts w:ascii="Arial" w:hAnsi="Arial" w:cs="Arial"/>
          <w:sz w:val="24"/>
          <w:szCs w:val="24"/>
        </w:rPr>
        <w:t xml:space="preserve"> Disponível em: &lt;https://www.cnj.jus.br/qual-a-diferenca-entre-conciliacao-e-mediacao/#:~:text=Na%20concilia%C3%A7%C3%A3o%2C%20o%20terceiro%20facilitador,elas%20mesmas%20proponham%20solu%C3%A7%C3%B5es%20(art.&gt;. Acesso em: 25 set. 2020.</w:t>
      </w:r>
    </w:p>
    <w:p w14:paraId="503210D1" w14:textId="77777777" w:rsidR="005B73B2" w:rsidRDefault="005B73B2" w:rsidP="009C1BA3">
      <w:pPr>
        <w:spacing w:after="0" w:line="240" w:lineRule="auto"/>
        <w:rPr>
          <w:rFonts w:ascii="Arial" w:hAnsi="Arial" w:cs="Arial"/>
          <w:sz w:val="24"/>
          <w:szCs w:val="24"/>
        </w:rPr>
      </w:pPr>
    </w:p>
    <w:p w14:paraId="2BBC0608" w14:textId="77777777" w:rsidR="005B73B2" w:rsidRDefault="006E24ED" w:rsidP="009C1BA3">
      <w:pPr>
        <w:spacing w:after="0" w:line="240" w:lineRule="auto"/>
        <w:rPr>
          <w:rFonts w:ascii="Arial" w:hAnsi="Arial" w:cs="Arial"/>
          <w:sz w:val="24"/>
          <w:szCs w:val="24"/>
        </w:rPr>
      </w:pPr>
      <w:r>
        <w:rPr>
          <w:rFonts w:ascii="Arial" w:hAnsi="Arial" w:cs="Arial"/>
          <w:sz w:val="24"/>
          <w:szCs w:val="24"/>
        </w:rPr>
        <w:t xml:space="preserve">JANNIS, André. </w:t>
      </w:r>
      <w:r>
        <w:rPr>
          <w:rFonts w:ascii="Arial" w:hAnsi="Arial" w:cs="Arial"/>
          <w:b/>
          <w:bCs/>
          <w:sz w:val="24"/>
          <w:szCs w:val="24"/>
        </w:rPr>
        <w:t xml:space="preserve">O que são meios alternativos de resolução de </w:t>
      </w:r>
      <w:proofErr w:type="gramStart"/>
      <w:r>
        <w:rPr>
          <w:rFonts w:ascii="Arial" w:hAnsi="Arial" w:cs="Arial"/>
          <w:b/>
          <w:bCs/>
          <w:sz w:val="24"/>
          <w:szCs w:val="24"/>
        </w:rPr>
        <w:t>conflitos?.</w:t>
      </w:r>
      <w:proofErr w:type="gramEnd"/>
      <w:r>
        <w:rPr>
          <w:rFonts w:ascii="Arial" w:hAnsi="Arial" w:cs="Arial"/>
          <w:sz w:val="24"/>
          <w:szCs w:val="24"/>
        </w:rPr>
        <w:t xml:space="preserve"> Disponível em: &lt;https://www.politize.com.br/meios-alternativos-resolucao-de-conflitos-o-que-sao/#:~:text=%E2%80%93%20Concilia%C3%A7%C3%A3o%3A%20as%20partes%20litigantes%20buscam,seja%20ben%C3%A9fico%20aos%20dois%20lados%3B&amp;text=%E2%80%93%20Arbitragem%3A%20as%20partes%20litigantes%20estabelecem,terceiro%2C%20que%20ser%C3%A1%20um%20%C3%A1rbitro.&gt;. Acesso em: 25 set. 2020.</w:t>
      </w:r>
    </w:p>
    <w:p w14:paraId="67402E28" w14:textId="77777777" w:rsidR="005B73B2" w:rsidRDefault="005B73B2" w:rsidP="009C1BA3">
      <w:pPr>
        <w:spacing w:after="0" w:line="240" w:lineRule="auto"/>
        <w:rPr>
          <w:rFonts w:ascii="Arial" w:hAnsi="Arial" w:cs="Arial"/>
          <w:sz w:val="24"/>
          <w:szCs w:val="24"/>
        </w:rPr>
      </w:pPr>
    </w:p>
    <w:p w14:paraId="243798CA" w14:textId="77777777" w:rsidR="005B73B2" w:rsidRDefault="006E24ED" w:rsidP="009C1BA3">
      <w:pPr>
        <w:spacing w:after="0" w:line="240" w:lineRule="auto"/>
        <w:rPr>
          <w:rFonts w:ascii="Arial" w:hAnsi="Arial" w:cs="Arial"/>
          <w:sz w:val="24"/>
          <w:szCs w:val="24"/>
        </w:rPr>
      </w:pPr>
      <w:r>
        <w:rPr>
          <w:rFonts w:ascii="Arial" w:hAnsi="Arial" w:cs="Arial"/>
          <w:sz w:val="24"/>
          <w:szCs w:val="24"/>
        </w:rPr>
        <w:t xml:space="preserve">MARCONI, Aline Ney. </w:t>
      </w:r>
      <w:r>
        <w:rPr>
          <w:rFonts w:ascii="Arial" w:hAnsi="Arial" w:cs="Arial"/>
          <w:b/>
          <w:bCs/>
          <w:sz w:val="24"/>
          <w:szCs w:val="24"/>
        </w:rPr>
        <w:t xml:space="preserve">Inovações do Poder Judiciário em razão da Covid-19. </w:t>
      </w:r>
      <w:r>
        <w:rPr>
          <w:rFonts w:ascii="Arial" w:hAnsi="Arial" w:cs="Arial"/>
          <w:sz w:val="24"/>
          <w:szCs w:val="24"/>
        </w:rPr>
        <w:t xml:space="preserve">Disponível em: &lt;https://www.fortes.adv.br/pt-BR/conteudo/artigos-e-noticias/986/inovacoes-no-poder-judiciario-em-razao-da-covid-19.aspx&gt;. Acesso em: 26 set. 2020. </w:t>
      </w:r>
    </w:p>
    <w:p w14:paraId="03ED3236" w14:textId="77777777" w:rsidR="005B73B2" w:rsidRDefault="005B73B2" w:rsidP="009C1BA3">
      <w:pPr>
        <w:spacing w:after="0" w:line="240" w:lineRule="auto"/>
        <w:rPr>
          <w:rFonts w:ascii="Arial" w:hAnsi="Arial" w:cs="Arial"/>
          <w:sz w:val="24"/>
          <w:szCs w:val="24"/>
        </w:rPr>
      </w:pPr>
    </w:p>
    <w:p w14:paraId="3DABF744" w14:textId="77777777" w:rsidR="005B73B2" w:rsidRDefault="006E24ED" w:rsidP="009C1BA3">
      <w:pPr>
        <w:spacing w:after="0" w:line="240" w:lineRule="auto"/>
        <w:rPr>
          <w:rFonts w:ascii="Arial" w:hAnsi="Arial" w:cs="Arial"/>
          <w:sz w:val="24"/>
          <w:szCs w:val="24"/>
        </w:rPr>
      </w:pPr>
      <w:r>
        <w:rPr>
          <w:rFonts w:ascii="Arial" w:hAnsi="Arial" w:cs="Arial"/>
          <w:sz w:val="24"/>
          <w:szCs w:val="24"/>
        </w:rPr>
        <w:t xml:space="preserve">TJDFT. </w:t>
      </w:r>
      <w:r>
        <w:rPr>
          <w:rFonts w:ascii="Arial" w:hAnsi="Arial" w:cs="Arial"/>
          <w:b/>
          <w:bCs/>
          <w:sz w:val="24"/>
          <w:szCs w:val="24"/>
        </w:rPr>
        <w:t>Conciliação.</w:t>
      </w:r>
      <w:r>
        <w:rPr>
          <w:rFonts w:ascii="Arial" w:hAnsi="Arial" w:cs="Arial"/>
          <w:sz w:val="24"/>
          <w:szCs w:val="24"/>
        </w:rPr>
        <w:t xml:space="preserve"> Disponível em: &lt;https://www.tjdft.jus.br/institucional/imprensa/campanhas-e-produtos/direito-facil/edicao-semanal/conciliacao&gt;. Acesso em: 25 set. 2020.</w:t>
      </w:r>
    </w:p>
    <w:p w14:paraId="0939C7A5" w14:textId="77777777" w:rsidR="005B73B2" w:rsidRDefault="005B73B2" w:rsidP="009C1BA3">
      <w:pPr>
        <w:spacing w:after="0" w:line="240" w:lineRule="auto"/>
        <w:rPr>
          <w:rFonts w:ascii="Arial" w:hAnsi="Arial" w:cs="Arial"/>
          <w:sz w:val="24"/>
          <w:szCs w:val="24"/>
        </w:rPr>
      </w:pPr>
    </w:p>
    <w:p w14:paraId="08ACB38D" w14:textId="77777777" w:rsidR="005B73B2" w:rsidRDefault="006E24ED" w:rsidP="009C1BA3">
      <w:pPr>
        <w:spacing w:after="0" w:line="240" w:lineRule="auto"/>
        <w:rPr>
          <w:rFonts w:ascii="Arial" w:hAnsi="Arial" w:cs="Arial"/>
          <w:sz w:val="24"/>
          <w:szCs w:val="24"/>
        </w:rPr>
      </w:pPr>
      <w:r>
        <w:rPr>
          <w:rFonts w:ascii="Arial" w:hAnsi="Arial" w:cs="Arial"/>
          <w:sz w:val="24"/>
          <w:szCs w:val="24"/>
        </w:rPr>
        <w:t xml:space="preserve">TJRJ. </w:t>
      </w:r>
      <w:r>
        <w:rPr>
          <w:rFonts w:ascii="Arial" w:hAnsi="Arial" w:cs="Arial"/>
          <w:b/>
          <w:bCs/>
          <w:sz w:val="24"/>
          <w:szCs w:val="24"/>
        </w:rPr>
        <w:t>Mediação</w:t>
      </w:r>
      <w:r>
        <w:rPr>
          <w:rFonts w:ascii="Arial" w:hAnsi="Arial" w:cs="Arial"/>
          <w:sz w:val="24"/>
          <w:szCs w:val="24"/>
        </w:rPr>
        <w:t xml:space="preserve">. Disponível em: &lt;http://www.tjrj.jus.br/web/guest/institucional/mediacao/estrutura-administrativa/o-que-e-mediacao&gt;. Acesso em: 25 set. 2020. </w:t>
      </w:r>
    </w:p>
    <w:p w14:paraId="6470DAF2" w14:textId="77777777" w:rsidR="005B73B2" w:rsidRDefault="005B73B2">
      <w:pPr>
        <w:spacing w:after="0" w:line="240" w:lineRule="auto"/>
        <w:rPr>
          <w:rFonts w:ascii="Arial" w:hAnsi="Arial" w:cs="Arial"/>
          <w:sz w:val="24"/>
          <w:szCs w:val="24"/>
        </w:rPr>
      </w:pPr>
    </w:p>
    <w:p w14:paraId="588C74FE" w14:textId="77777777" w:rsidR="005B73B2" w:rsidRDefault="005B73B2">
      <w:pPr>
        <w:spacing w:after="0" w:line="240" w:lineRule="auto"/>
        <w:rPr>
          <w:rFonts w:ascii="Arial" w:hAnsi="Arial" w:cs="Arial"/>
          <w:sz w:val="24"/>
          <w:szCs w:val="24"/>
        </w:rPr>
      </w:pPr>
    </w:p>
    <w:p w14:paraId="1F711083" w14:textId="77777777" w:rsidR="005B73B2" w:rsidRDefault="005B73B2">
      <w:pPr>
        <w:spacing w:after="0" w:line="240" w:lineRule="auto"/>
        <w:rPr>
          <w:rFonts w:ascii="Arial" w:hAnsi="Arial" w:cs="Arial"/>
          <w:sz w:val="24"/>
          <w:szCs w:val="24"/>
        </w:rPr>
      </w:pPr>
    </w:p>
    <w:p w14:paraId="4F933C11" w14:textId="77777777" w:rsidR="005B73B2" w:rsidRDefault="005B73B2">
      <w:pPr>
        <w:spacing w:after="0" w:line="240" w:lineRule="auto"/>
      </w:pPr>
    </w:p>
    <w:sectPr w:rsidR="005B73B2">
      <w:headerReference w:type="default" r:id="rId6"/>
      <w:footerReference w:type="default" r:id="rId7"/>
      <w:pgSz w:w="11906" w:h="16838"/>
      <w:pgMar w:top="1701" w:right="1134" w:bottom="1134" w:left="1701" w:header="680" w:footer="567"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92D4E4" w14:textId="77777777" w:rsidR="001E2A9E" w:rsidRDefault="001E2A9E">
      <w:pPr>
        <w:spacing w:after="0" w:line="240" w:lineRule="auto"/>
      </w:pPr>
      <w:r>
        <w:separator/>
      </w:r>
    </w:p>
  </w:endnote>
  <w:endnote w:type="continuationSeparator" w:id="0">
    <w:p w14:paraId="163F7901" w14:textId="77777777" w:rsidR="001E2A9E" w:rsidRDefault="001E2A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altName w:val="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0E7EA" w14:textId="77777777" w:rsidR="005B73B2" w:rsidRDefault="006E24ED">
    <w:pPr>
      <w:pStyle w:val="Rodap"/>
      <w:jc w:val="right"/>
    </w:pPr>
    <w:r>
      <w:fldChar w:fldCharType="begin"/>
    </w:r>
    <w:r>
      <w:instrText>PAGE</w:instrText>
    </w:r>
    <w:r>
      <w:fldChar w:fldCharType="separate"/>
    </w:r>
    <w:r>
      <w:t>6</w:t>
    </w:r>
    <w:r>
      <w:fldChar w:fldCharType="end"/>
    </w:r>
  </w:p>
  <w:p w14:paraId="45CDB7A7" w14:textId="77777777" w:rsidR="005B73B2" w:rsidRDefault="006E24ED">
    <w:pPr>
      <w:pStyle w:val="Cabealho"/>
      <w:pBdr>
        <w:bottom w:val="single" w:sz="12" w:space="1" w:color="00000A"/>
      </w:pBdr>
      <w:ind w:right="360"/>
      <w:jc w:val="center"/>
      <w:rPr>
        <w:rFonts w:ascii="Arial" w:hAnsi="Arial" w:cs="Arial"/>
        <w:sz w:val="16"/>
        <w:szCs w:val="16"/>
        <w:lang w:val="pt-BR"/>
      </w:rPr>
    </w:pPr>
    <w:r>
      <w:rPr>
        <w:rFonts w:ascii="Arial" w:hAnsi="Arial" w:cs="Arial"/>
        <w:sz w:val="16"/>
        <w:szCs w:val="16"/>
        <w:lang w:val="pt-BR"/>
      </w:rPr>
      <w:t>Recredenciamento</w:t>
    </w:r>
    <w:r>
      <w:rPr>
        <w:rFonts w:ascii="Arial" w:hAnsi="Arial" w:cs="Arial"/>
        <w:sz w:val="16"/>
        <w:szCs w:val="16"/>
      </w:rPr>
      <w:t xml:space="preserve"> MEC Portaria Ministerial nº </w:t>
    </w:r>
    <w:r>
      <w:rPr>
        <w:rFonts w:ascii="Arial" w:hAnsi="Arial" w:cs="Arial"/>
        <w:sz w:val="16"/>
        <w:szCs w:val="16"/>
        <w:lang w:val="pt-BR"/>
      </w:rPr>
      <w:t>1.252</w:t>
    </w:r>
    <w:r>
      <w:rPr>
        <w:rFonts w:ascii="Arial" w:hAnsi="Arial" w:cs="Arial"/>
        <w:sz w:val="16"/>
        <w:szCs w:val="16"/>
      </w:rPr>
      <w:t>,</w:t>
    </w:r>
    <w:r>
      <w:rPr>
        <w:rFonts w:ascii="Arial" w:hAnsi="Arial" w:cs="Arial"/>
        <w:sz w:val="16"/>
        <w:szCs w:val="16"/>
        <w:lang w:val="pt-BR"/>
      </w:rPr>
      <w:t xml:space="preserve"> de 29/09/</w:t>
    </w:r>
    <w:proofErr w:type="gramStart"/>
    <w:r>
      <w:rPr>
        <w:rFonts w:ascii="Arial" w:hAnsi="Arial" w:cs="Arial"/>
        <w:sz w:val="16"/>
        <w:szCs w:val="16"/>
        <w:lang w:val="pt-BR"/>
      </w:rPr>
      <w:t xml:space="preserve">2017 </w:t>
    </w:r>
    <w:r>
      <w:rPr>
        <w:rFonts w:ascii="Arial" w:hAnsi="Arial" w:cs="Arial"/>
        <w:sz w:val="16"/>
        <w:szCs w:val="16"/>
      </w:rPr>
      <w:t xml:space="preserve"> DOU</w:t>
    </w:r>
    <w:proofErr w:type="gramEnd"/>
    <w:r>
      <w:rPr>
        <w:rFonts w:ascii="Arial" w:hAnsi="Arial" w:cs="Arial"/>
        <w:sz w:val="16"/>
        <w:szCs w:val="16"/>
      </w:rPr>
      <w:t xml:space="preserve"> de </w:t>
    </w:r>
    <w:r>
      <w:rPr>
        <w:rFonts w:ascii="Arial" w:hAnsi="Arial" w:cs="Arial"/>
        <w:sz w:val="16"/>
        <w:szCs w:val="16"/>
        <w:lang w:val="pt-BR"/>
      </w:rPr>
      <w:t>02</w:t>
    </w:r>
    <w:r>
      <w:rPr>
        <w:rFonts w:ascii="Arial" w:hAnsi="Arial" w:cs="Arial"/>
        <w:sz w:val="16"/>
        <w:szCs w:val="16"/>
      </w:rPr>
      <w:t>/</w:t>
    </w:r>
    <w:r>
      <w:rPr>
        <w:rFonts w:ascii="Arial" w:hAnsi="Arial" w:cs="Arial"/>
        <w:sz w:val="16"/>
        <w:szCs w:val="16"/>
        <w:lang w:val="pt-BR"/>
      </w:rPr>
      <w:t>10</w:t>
    </w:r>
    <w:r>
      <w:rPr>
        <w:rFonts w:ascii="Arial" w:hAnsi="Arial" w:cs="Arial"/>
        <w:sz w:val="16"/>
        <w:szCs w:val="16"/>
      </w:rPr>
      <w:t>/201</w:t>
    </w:r>
    <w:r>
      <w:rPr>
        <w:rFonts w:ascii="Arial" w:hAnsi="Arial" w:cs="Arial"/>
        <w:sz w:val="16"/>
        <w:szCs w:val="16"/>
        <w:lang w:val="pt-BR"/>
      </w:rPr>
      <w:t>7</w:t>
    </w:r>
  </w:p>
  <w:p w14:paraId="000B4BA0" w14:textId="77777777" w:rsidR="005B73B2" w:rsidRDefault="006E24ED">
    <w:pPr>
      <w:pStyle w:val="Rodap"/>
      <w:jc w:val="center"/>
      <w:rPr>
        <w:rFonts w:ascii="Arial" w:hAnsi="Arial" w:cs="Arial"/>
        <w:sz w:val="16"/>
        <w:szCs w:val="16"/>
      </w:rPr>
    </w:pPr>
    <w:r>
      <w:rPr>
        <w:rFonts w:ascii="Arial" w:eastAsia="Calibri" w:hAnsi="Arial" w:cs="Arial"/>
        <w:sz w:val="16"/>
        <w:szCs w:val="16"/>
      </w:rPr>
      <w:t xml:space="preserve"> </w:t>
    </w:r>
    <w:r>
      <w:rPr>
        <w:rFonts w:ascii="Arial" w:hAnsi="Arial" w:cs="Arial"/>
        <w:sz w:val="16"/>
        <w:szCs w:val="16"/>
      </w:rPr>
      <w:t xml:space="preserve">Av. Governador Roberto Silveira,910, Lia Márcia, Bom Jesus do Itabapoana- RJ CNPJ:09.025.861/0001-07  </w:t>
    </w:r>
  </w:p>
  <w:p w14:paraId="4C60F751" w14:textId="77777777" w:rsidR="005B73B2" w:rsidRDefault="006E24ED">
    <w:pPr>
      <w:pStyle w:val="Rodap"/>
      <w:jc w:val="center"/>
      <w:rPr>
        <w:rFonts w:ascii="Arial" w:hAnsi="Arial" w:cs="Arial"/>
        <w:sz w:val="16"/>
        <w:szCs w:val="16"/>
        <w:lang w:val="en-US"/>
      </w:rPr>
    </w:pPr>
    <w:r>
      <w:rPr>
        <w:rFonts w:ascii="Arial" w:hAnsi="Arial" w:cs="Arial"/>
        <w:sz w:val="16"/>
        <w:szCs w:val="16"/>
        <w:lang w:val="en-US"/>
      </w:rPr>
      <w:t>Cep: 28.360-000 Tel.:(22)3833-8400 – www.famesc.edu.br</w:t>
    </w:r>
    <w:r>
      <w:rPr>
        <w:rFonts w:ascii="Arial" w:hAnsi="Arial" w:cs="Arial"/>
        <w:color w:val="002060"/>
        <w:sz w:val="16"/>
        <w:szCs w:val="16"/>
        <w:lang w:val="en-US"/>
      </w:rPr>
      <w:t xml:space="preserve"> </w:t>
    </w:r>
  </w:p>
  <w:p w14:paraId="3EFCAF20" w14:textId="77777777" w:rsidR="005B73B2" w:rsidRDefault="005B73B2">
    <w:pPr>
      <w:pStyle w:val="Cabealho"/>
      <w:jc w:val="both"/>
      <w:rPr>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6D8148" w14:textId="77777777" w:rsidR="001E2A9E" w:rsidRDefault="001E2A9E">
      <w:pPr>
        <w:spacing w:after="0" w:line="240" w:lineRule="auto"/>
      </w:pPr>
      <w:r>
        <w:separator/>
      </w:r>
    </w:p>
  </w:footnote>
  <w:footnote w:type="continuationSeparator" w:id="0">
    <w:p w14:paraId="6BAC47EF" w14:textId="77777777" w:rsidR="001E2A9E" w:rsidRDefault="001E2A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66F16" w14:textId="77777777" w:rsidR="005B73B2" w:rsidRDefault="006E24ED">
    <w:pPr>
      <w:pStyle w:val="Cabealho"/>
    </w:pPr>
    <w:r>
      <w:rPr>
        <w:noProof/>
      </w:rPr>
      <mc:AlternateContent>
        <mc:Choice Requires="wps">
          <w:drawing>
            <wp:anchor distT="0" distB="0" distL="0" distR="0" simplePos="0" relativeHeight="8" behindDoc="1" locked="0" layoutInCell="1" allowOverlap="1" wp14:anchorId="64CF045D" wp14:editId="74E75BF8">
              <wp:simplePos x="0" y="0"/>
              <wp:positionH relativeFrom="column">
                <wp:posOffset>-7663180</wp:posOffset>
              </wp:positionH>
              <wp:positionV relativeFrom="margin">
                <wp:posOffset>235585</wp:posOffset>
              </wp:positionV>
              <wp:extent cx="14128750" cy="7947025"/>
              <wp:effectExtent l="0" t="0" r="0" b="0"/>
              <wp:wrapNone/>
              <wp:docPr id="1" name="WordPictureWatermark12492955"/>
              <wp:cNvGraphicFramePr/>
              <a:graphic xmlns:a="http://schemas.openxmlformats.org/drawingml/2006/main">
                <a:graphicData uri="http://schemas.openxmlformats.org/drawingml/2006/picture">
                  <pic:pic xmlns:pic="http://schemas.openxmlformats.org/drawingml/2006/picture">
                    <pic:nvPicPr>
                      <pic:cNvPr id="0" name="WordPictureWatermark12492955"/>
                      <pic:cNvPicPr/>
                    </pic:nvPicPr>
                    <pic:blipFill>
                      <a:blip r:embed="rId1"/>
                      <a:stretch/>
                    </pic:blipFill>
                    <pic:spPr>
                      <a:xfrm>
                        <a:off x="0" y="0"/>
                        <a:ext cx="14128200" cy="7946280"/>
                      </a:xfrm>
                      <a:prstGeom prst="rect">
                        <a:avLst/>
                      </a:prstGeom>
                      <a:ln>
                        <a:noFill/>
                      </a:ln>
                    </pic:spPr>
                  </pic:pic>
                </a:graphicData>
              </a:graphic>
            </wp:anchor>
          </w:drawing>
        </mc:Choice>
        <mc:Fallback>
          <w:pict>
            <v:rect id="WordPictureWatermark12492955" stroked="f" style="position:absolute;margin-left:-603.4pt;margin-top:18.55pt;width:1112.4pt;height:625.65pt;mso-position-vertical-relative:margin">
              <v:imagedata r:id="rId2" o:detectmouseclick="t"/>
              <w10:wrap type="none"/>
              <v:stroke color="#3465a4" joinstyle="round" endcap="flat"/>
            </v:rect>
          </w:pict>
        </mc:Fallback>
      </mc:AlternateContent>
    </w:r>
    <w:r>
      <w:rPr>
        <w:noProof/>
      </w:rPr>
      <w:drawing>
        <wp:anchor distT="0" distB="0" distL="114300" distR="114300" simplePos="0" relativeHeight="14" behindDoc="1" locked="0" layoutInCell="1" allowOverlap="1" wp14:anchorId="6AC0206B" wp14:editId="67A8954A">
          <wp:simplePos x="0" y="0"/>
          <wp:positionH relativeFrom="margin">
            <wp:posOffset>-76200</wp:posOffset>
          </wp:positionH>
          <wp:positionV relativeFrom="margin">
            <wp:posOffset>-962025</wp:posOffset>
          </wp:positionV>
          <wp:extent cx="2390775" cy="657860"/>
          <wp:effectExtent l="0" t="0" r="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a:picLocks noChangeAspect="1" noChangeArrowheads="1"/>
                  </pic:cNvPicPr>
                </pic:nvPicPr>
                <pic:blipFill>
                  <a:blip r:embed="rId3"/>
                  <a:stretch>
                    <a:fillRect/>
                  </a:stretch>
                </pic:blipFill>
                <pic:spPr bwMode="auto">
                  <a:xfrm>
                    <a:off x="0" y="0"/>
                    <a:ext cx="2390775" cy="657860"/>
                  </a:xfrm>
                  <a:prstGeom prst="rect">
                    <a:avLst/>
                  </a:prstGeom>
                </pic:spPr>
              </pic:pic>
            </a:graphicData>
          </a:graphic>
        </wp:anchor>
      </w:drawing>
    </w:r>
    <w:r>
      <w:rPr>
        <w:noProof/>
      </w:rPr>
      <w:drawing>
        <wp:anchor distT="0" distB="0" distL="114300" distR="114300" simplePos="0" relativeHeight="20" behindDoc="1" locked="0" layoutInCell="1" allowOverlap="1" wp14:anchorId="497431B7" wp14:editId="09A420A9">
          <wp:simplePos x="0" y="0"/>
          <wp:positionH relativeFrom="margin">
            <wp:posOffset>3020695</wp:posOffset>
          </wp:positionH>
          <wp:positionV relativeFrom="margin">
            <wp:posOffset>-971550</wp:posOffset>
          </wp:positionV>
          <wp:extent cx="2647950" cy="619125"/>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noChangeArrowheads="1"/>
                  </pic:cNvPicPr>
                </pic:nvPicPr>
                <pic:blipFill>
                  <a:blip r:embed="rId4"/>
                  <a:stretch>
                    <a:fillRect/>
                  </a:stretch>
                </pic:blipFill>
                <pic:spPr bwMode="auto">
                  <a:xfrm>
                    <a:off x="0" y="0"/>
                    <a:ext cx="2647950" cy="619125"/>
                  </a:xfrm>
                  <a:prstGeom prst="rect">
                    <a:avLst/>
                  </a:prstGeom>
                </pic:spPr>
              </pic:pic>
            </a:graphicData>
          </a:graphic>
        </wp:anchor>
      </w:drawing>
    </w:r>
  </w:p>
  <w:p w14:paraId="53C09DEB" w14:textId="77777777" w:rsidR="005B73B2" w:rsidRDefault="005B73B2">
    <w:pPr>
      <w:pStyle w:val="Cabealho"/>
    </w:pPr>
  </w:p>
  <w:p w14:paraId="1F773530" w14:textId="77777777" w:rsidR="005B73B2" w:rsidRDefault="006E24ED">
    <w:pPr>
      <w:pStyle w:val="Cabealho"/>
      <w:rPr>
        <w:rFonts w:ascii="Arial" w:hAnsi="Arial" w:cs="Arial"/>
        <w:sz w:val="20"/>
        <w:szCs w:val="20"/>
      </w:rPr>
    </w:pPr>
    <w:r>
      <w:rPr>
        <w:rFonts w:ascii="Arial" w:hAnsi="Arial" w:cs="Arial"/>
        <w:sz w:val="20"/>
        <w:szCs w:val="20"/>
      </w:rPr>
      <w:t xml:space="preserve">Edição Especial – Revista Científica Interdisciplinar Múltiplos Acessos                         ISSN 2526-4036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3B2"/>
    <w:rsid w:val="00127D66"/>
    <w:rsid w:val="001E2A9E"/>
    <w:rsid w:val="005B73B2"/>
    <w:rsid w:val="006E24ED"/>
    <w:rsid w:val="00774935"/>
    <w:rsid w:val="009C1BA3"/>
    <w:rsid w:val="00E04AAE"/>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EE2CC"/>
  <w15:docId w15:val="{882C5608-4E8E-4558-B195-DA71BC10C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t-B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40A1"/>
    <w:pPr>
      <w:spacing w:after="200" w:line="276" w:lineRule="auto"/>
    </w:pPr>
    <w:rPr>
      <w:sz w:val="22"/>
      <w:szCs w:val="22"/>
      <w:lang w:eastAsia="en-US"/>
    </w:rPr>
  </w:style>
  <w:style w:type="paragraph" w:styleId="Ttulo2">
    <w:name w:val="heading 2"/>
    <w:basedOn w:val="Normal"/>
    <w:next w:val="Normal"/>
    <w:link w:val="Ttulo2Char"/>
    <w:uiPriority w:val="9"/>
    <w:semiHidden/>
    <w:unhideWhenUsed/>
    <w:qFormat/>
    <w:rsid w:val="00B940A1"/>
    <w:pPr>
      <w:keepNext/>
      <w:keepLines/>
      <w:spacing w:before="200" w:after="0"/>
      <w:outlineLvl w:val="1"/>
    </w:pPr>
    <w:rPr>
      <w:rFonts w:ascii="Cambria" w:eastAsia="Times New Roman" w:hAnsi="Cambria"/>
      <w:b/>
      <w:bCs/>
      <w:color w:val="4F81BD"/>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uiPriority w:val="9"/>
    <w:semiHidden/>
    <w:qFormat/>
    <w:rsid w:val="00B940A1"/>
    <w:rPr>
      <w:rFonts w:ascii="Cambria" w:eastAsia="Times New Roman" w:hAnsi="Cambria" w:cs="Times New Roman"/>
      <w:b/>
      <w:bCs/>
      <w:color w:val="4F81BD"/>
      <w:sz w:val="26"/>
      <w:szCs w:val="26"/>
    </w:rPr>
  </w:style>
  <w:style w:type="character" w:customStyle="1" w:styleId="CabealhoChar">
    <w:name w:val="Cabeçalho Char"/>
    <w:link w:val="Cabealho"/>
    <w:qFormat/>
    <w:rsid w:val="00B940A1"/>
    <w:rPr>
      <w:rFonts w:ascii="Times New Roman" w:eastAsia="Times New Roman" w:hAnsi="Times New Roman" w:cs="Times New Roman"/>
      <w:sz w:val="24"/>
      <w:szCs w:val="24"/>
      <w:lang w:val="pt-PT" w:eastAsia="pt-BR"/>
    </w:rPr>
  </w:style>
  <w:style w:type="character" w:customStyle="1" w:styleId="Corpodetexto3Char">
    <w:name w:val="Corpo de texto 3 Char"/>
    <w:link w:val="Corpodetexto3"/>
    <w:qFormat/>
    <w:rsid w:val="00B940A1"/>
    <w:rPr>
      <w:rFonts w:ascii="Times New Roman" w:eastAsia="Times New Roman" w:hAnsi="Times New Roman" w:cs="Times New Roman"/>
      <w:sz w:val="16"/>
      <w:szCs w:val="16"/>
      <w:lang w:val="pt-PT" w:eastAsia="pt-BR"/>
    </w:rPr>
  </w:style>
  <w:style w:type="character" w:customStyle="1" w:styleId="TextodenotaderodapChar">
    <w:name w:val="Texto de nota de rodapé Char"/>
    <w:link w:val="Textodenotaderodap"/>
    <w:uiPriority w:val="99"/>
    <w:qFormat/>
    <w:rsid w:val="00B940A1"/>
    <w:rPr>
      <w:rFonts w:ascii="Times New Roman" w:eastAsia="Times New Roman" w:hAnsi="Times New Roman" w:cs="Times New Roman"/>
      <w:sz w:val="20"/>
      <w:szCs w:val="20"/>
      <w:lang w:val="pt-PT" w:eastAsia="pt-BR"/>
    </w:rPr>
  </w:style>
  <w:style w:type="character" w:styleId="Refdenotaderodap">
    <w:name w:val="footnote reference"/>
    <w:uiPriority w:val="99"/>
    <w:qFormat/>
    <w:rsid w:val="00B940A1"/>
    <w:rPr>
      <w:vertAlign w:val="superscript"/>
    </w:rPr>
  </w:style>
  <w:style w:type="character" w:customStyle="1" w:styleId="RodapChar">
    <w:name w:val="Rodapé Char"/>
    <w:link w:val="Rodap"/>
    <w:uiPriority w:val="99"/>
    <w:qFormat/>
    <w:rsid w:val="00B940A1"/>
    <w:rPr>
      <w:rFonts w:ascii="Times New Roman" w:eastAsia="Times New Roman" w:hAnsi="Times New Roman" w:cs="Times New Roman"/>
      <w:sz w:val="24"/>
      <w:szCs w:val="24"/>
      <w:lang w:eastAsia="pt-BR"/>
    </w:rPr>
  </w:style>
  <w:style w:type="character" w:customStyle="1" w:styleId="TextodebaloChar">
    <w:name w:val="Texto de balão Char"/>
    <w:link w:val="Textodebalo"/>
    <w:uiPriority w:val="99"/>
    <w:semiHidden/>
    <w:qFormat/>
    <w:rsid w:val="00B940A1"/>
    <w:rPr>
      <w:rFonts w:ascii="Tahoma" w:eastAsia="Calibri" w:hAnsi="Tahoma" w:cs="Tahoma"/>
      <w:sz w:val="16"/>
      <w:szCs w:val="16"/>
    </w:rPr>
  </w:style>
  <w:style w:type="character" w:customStyle="1" w:styleId="LinkdaInternet">
    <w:name w:val="Link da Internet"/>
    <w:rsid w:val="008A7AD5"/>
    <w:rPr>
      <w:color w:val="0000FF"/>
      <w:u w:val="single"/>
    </w:rPr>
  </w:style>
  <w:style w:type="character" w:styleId="Refdecomentrio">
    <w:name w:val="annotation reference"/>
    <w:uiPriority w:val="99"/>
    <w:semiHidden/>
    <w:unhideWhenUsed/>
    <w:qFormat/>
    <w:rsid w:val="00592F13"/>
    <w:rPr>
      <w:sz w:val="16"/>
      <w:szCs w:val="16"/>
    </w:rPr>
  </w:style>
  <w:style w:type="character" w:customStyle="1" w:styleId="TextodecomentrioChar">
    <w:name w:val="Texto de comentário Char"/>
    <w:link w:val="Textodecomentrio"/>
    <w:uiPriority w:val="99"/>
    <w:semiHidden/>
    <w:qFormat/>
    <w:rsid w:val="00592F13"/>
    <w:rPr>
      <w:lang w:eastAsia="en-US"/>
    </w:rPr>
  </w:style>
  <w:style w:type="character" w:customStyle="1" w:styleId="AssuntodocomentrioChar">
    <w:name w:val="Assunto do comentário Char"/>
    <w:link w:val="Assuntodocomentrio"/>
    <w:uiPriority w:val="99"/>
    <w:semiHidden/>
    <w:qFormat/>
    <w:rsid w:val="00592F13"/>
    <w:rPr>
      <w:b/>
      <w:bCs/>
      <w:lang w:eastAsia="en-US"/>
    </w:rPr>
  </w:style>
  <w:style w:type="character" w:styleId="MenoPendente">
    <w:name w:val="Unresolved Mention"/>
    <w:basedOn w:val="Fontepargpadro"/>
    <w:uiPriority w:val="99"/>
    <w:semiHidden/>
    <w:unhideWhenUsed/>
    <w:qFormat/>
    <w:rsid w:val="00F74D5B"/>
    <w:rPr>
      <w:color w:val="605E5C"/>
      <w:shd w:val="clear" w:color="auto" w:fill="E1DFDD"/>
    </w:rPr>
  </w:style>
  <w:style w:type="paragraph" w:styleId="Ttulo">
    <w:name w:val="Title"/>
    <w:basedOn w:val="Normal"/>
    <w:next w:val="Corpodetexto"/>
    <w:qFormat/>
    <w:pPr>
      <w:keepNext/>
      <w:spacing w:before="240" w:after="120"/>
    </w:pPr>
    <w:rPr>
      <w:rFonts w:ascii="Liberation Sans" w:eastAsia="Microsoft YaHei" w:hAnsi="Liberation Sans" w:cs="Lucida Sans"/>
      <w:sz w:val="28"/>
      <w:szCs w:val="28"/>
    </w:rPr>
  </w:style>
  <w:style w:type="paragraph" w:styleId="Corpodetexto">
    <w:name w:val="Body Text"/>
    <w:basedOn w:val="Normal"/>
    <w:pPr>
      <w:spacing w:after="140" w:line="288" w:lineRule="auto"/>
    </w:p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Cabealho">
    <w:name w:val="header"/>
    <w:basedOn w:val="Normal"/>
    <w:link w:val="CabealhoChar"/>
    <w:rsid w:val="00B940A1"/>
    <w:pPr>
      <w:tabs>
        <w:tab w:val="center" w:pos="4252"/>
        <w:tab w:val="right" w:pos="8504"/>
      </w:tabs>
      <w:spacing w:after="0" w:line="240" w:lineRule="auto"/>
    </w:pPr>
    <w:rPr>
      <w:rFonts w:ascii="Times New Roman" w:eastAsia="Times New Roman" w:hAnsi="Times New Roman"/>
      <w:sz w:val="24"/>
      <w:szCs w:val="24"/>
      <w:lang w:val="pt-PT" w:eastAsia="pt-BR"/>
    </w:rPr>
  </w:style>
  <w:style w:type="paragraph" w:styleId="Corpodetexto3">
    <w:name w:val="Body Text 3"/>
    <w:basedOn w:val="Normal"/>
    <w:link w:val="Corpodetexto3Char"/>
    <w:qFormat/>
    <w:rsid w:val="00B940A1"/>
    <w:pPr>
      <w:spacing w:after="120" w:line="240" w:lineRule="auto"/>
    </w:pPr>
    <w:rPr>
      <w:rFonts w:ascii="Times New Roman" w:eastAsia="Times New Roman" w:hAnsi="Times New Roman"/>
      <w:sz w:val="16"/>
      <w:szCs w:val="16"/>
      <w:lang w:val="pt-PT" w:eastAsia="pt-BR"/>
    </w:rPr>
  </w:style>
  <w:style w:type="paragraph" w:styleId="Textodenotaderodap">
    <w:name w:val="footnote text"/>
    <w:basedOn w:val="Normal"/>
    <w:link w:val="TextodenotaderodapChar"/>
    <w:uiPriority w:val="99"/>
    <w:qFormat/>
    <w:rsid w:val="00B940A1"/>
    <w:pPr>
      <w:spacing w:after="0" w:line="240" w:lineRule="auto"/>
    </w:pPr>
    <w:rPr>
      <w:rFonts w:ascii="Times New Roman" w:eastAsia="Times New Roman" w:hAnsi="Times New Roman"/>
      <w:sz w:val="20"/>
      <w:szCs w:val="20"/>
      <w:lang w:val="pt-PT" w:eastAsia="pt-BR"/>
    </w:rPr>
  </w:style>
  <w:style w:type="paragraph" w:styleId="Rodap">
    <w:name w:val="footer"/>
    <w:basedOn w:val="Normal"/>
    <w:link w:val="RodapChar"/>
    <w:uiPriority w:val="99"/>
    <w:rsid w:val="00B940A1"/>
    <w:pPr>
      <w:tabs>
        <w:tab w:val="center" w:pos="4252"/>
        <w:tab w:val="right" w:pos="8504"/>
      </w:tabs>
      <w:spacing w:after="0" w:line="240" w:lineRule="auto"/>
    </w:pPr>
    <w:rPr>
      <w:rFonts w:ascii="Times New Roman" w:eastAsia="Times New Roman" w:hAnsi="Times New Roman"/>
      <w:sz w:val="24"/>
      <w:szCs w:val="24"/>
      <w:lang w:eastAsia="pt-BR"/>
    </w:rPr>
  </w:style>
  <w:style w:type="paragraph" w:styleId="Textodebalo">
    <w:name w:val="Balloon Text"/>
    <w:basedOn w:val="Normal"/>
    <w:link w:val="TextodebaloChar"/>
    <w:uiPriority w:val="99"/>
    <w:semiHidden/>
    <w:unhideWhenUsed/>
    <w:qFormat/>
    <w:rsid w:val="00B940A1"/>
    <w:pPr>
      <w:spacing w:after="0" w:line="240" w:lineRule="auto"/>
    </w:pPr>
    <w:rPr>
      <w:rFonts w:ascii="Tahoma" w:hAnsi="Tahoma" w:cs="Tahoma"/>
      <w:sz w:val="16"/>
      <w:szCs w:val="16"/>
    </w:rPr>
  </w:style>
  <w:style w:type="paragraph" w:styleId="NormalWeb">
    <w:name w:val="Normal (Web)"/>
    <w:basedOn w:val="Normal"/>
    <w:uiPriority w:val="99"/>
    <w:semiHidden/>
    <w:unhideWhenUsed/>
    <w:qFormat/>
    <w:rsid w:val="00B940A1"/>
    <w:pPr>
      <w:spacing w:beforeAutospacing="1" w:afterAutospacing="1" w:line="240" w:lineRule="auto"/>
    </w:pPr>
    <w:rPr>
      <w:rFonts w:ascii="Times New Roman" w:eastAsia="Times New Roman" w:hAnsi="Times New Roman"/>
      <w:sz w:val="24"/>
      <w:szCs w:val="24"/>
      <w:lang w:eastAsia="pt-BR"/>
    </w:rPr>
  </w:style>
  <w:style w:type="paragraph" w:styleId="Textodecomentrio">
    <w:name w:val="annotation text"/>
    <w:basedOn w:val="Normal"/>
    <w:link w:val="TextodecomentrioChar"/>
    <w:uiPriority w:val="99"/>
    <w:semiHidden/>
    <w:unhideWhenUsed/>
    <w:qFormat/>
    <w:rsid w:val="00592F13"/>
    <w:rPr>
      <w:sz w:val="20"/>
      <w:szCs w:val="20"/>
    </w:rPr>
  </w:style>
  <w:style w:type="paragraph" w:styleId="Assuntodocomentrio">
    <w:name w:val="annotation subject"/>
    <w:basedOn w:val="Textodecomentrio"/>
    <w:link w:val="AssuntodocomentrioChar"/>
    <w:uiPriority w:val="99"/>
    <w:semiHidden/>
    <w:unhideWhenUsed/>
    <w:qFormat/>
    <w:rsid w:val="00592F13"/>
    <w:rPr>
      <w:b/>
      <w:bCs/>
    </w:rPr>
  </w:style>
  <w:style w:type="table" w:styleId="Tabelacomgrade">
    <w:name w:val="Table Grid"/>
    <w:basedOn w:val="Tabelanormal"/>
    <w:uiPriority w:val="59"/>
    <w:rsid w:val="0086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nhideWhenUsed/>
    <w:rsid w:val="00E04AA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1811</Words>
  <Characters>9781</Characters>
  <Application>Microsoft Office Word</Application>
  <DocSecurity>0</DocSecurity>
  <Lines>81</Lines>
  <Paragraphs>23</Paragraphs>
  <ScaleCrop>false</ScaleCrop>
  <Company/>
  <LinksUpToDate>false</LinksUpToDate>
  <CharactersWithSpaces>11569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Tauã Lima Verdan</dc:creator>
  <dc:description/>
  <cp:lastModifiedBy>Bárbara Paulista</cp:lastModifiedBy>
  <cp:revision>5</cp:revision>
  <cp:lastPrinted>2018-07-19T21:09:00Z</cp:lastPrinted>
  <dcterms:created xsi:type="dcterms:W3CDTF">2020-10-07T23:29:00Z</dcterms:created>
  <dcterms:modified xsi:type="dcterms:W3CDTF">2020-10-08T01:18:00Z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