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B09668" w14:textId="77777777" w:rsidR="00867660" w:rsidRDefault="00000000">
      <w:pPr>
        <w:spacing w:before="20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BIOQUÍMICA SANGUÍNEA DE OVINOS SOINGA E WHITE DORPER EM SISTEMA DE CONFINAMENTO NO SEMIÁRIDO</w:t>
      </w:r>
    </w:p>
    <w:p w14:paraId="54B09669" w14:textId="77777777" w:rsidR="00867660" w:rsidRDefault="00000000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>Isaac de Almeida e Silva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>; Luiz Henrique de Souza Rodrigues²; Claudiney Felipe Almeida Inô³; Maria Vitória Mariz Moura</w:t>
      </w:r>
      <w:proofErr w:type="gramStart"/>
      <w:r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 xml:space="preserve">4 </w:t>
      </w:r>
      <w:r>
        <w:rPr>
          <w:rFonts w:ascii="Times New Roman" w:eastAsia="Times New Roman" w:hAnsi="Times New Roman" w:cs="Times New Roman"/>
          <w:sz w:val="20"/>
          <w:szCs w:val="20"/>
        </w:rPr>
        <w:t>;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Nielyda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Gomes de Oliveira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Jucelhio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Pereira De Sá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6</w:t>
      </w:r>
      <w:r>
        <w:rPr>
          <w:rFonts w:ascii="Times New Roman" w:eastAsia="Times New Roman" w:hAnsi="Times New Roman" w:cs="Times New Roman"/>
          <w:sz w:val="20"/>
          <w:szCs w:val="20"/>
        </w:rPr>
        <w:t>; Bonifácio Benicio de Souza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vertAlign w:val="superscript"/>
        </w:rPr>
        <w:t>7</w:t>
      </w:r>
    </w:p>
    <w:p w14:paraId="54B0966A" w14:textId="77777777" w:rsidR="008676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Graduando em Medicina Veterinária UFCG. E-mail: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isaac.almeida@estudante.ufcg.edu.br</w:t>
      </w:r>
    </w:p>
    <w:p w14:paraId="54B0966B" w14:textId="77777777" w:rsidR="008676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2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Mestrando no PPG Ciência Animal UFCG. E-mail: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luiz.veterinaria@gmail.com</w:t>
      </w:r>
    </w:p>
    <w:p w14:paraId="54B0966C" w14:textId="77777777" w:rsidR="008676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Doutorando no PPG Ciência e Saúde Animal UFCG. E-mail: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claudiney.felipe@estudante.ufcg.edu.br</w:t>
      </w:r>
    </w:p>
    <w:p w14:paraId="54B0966D" w14:textId="77777777" w:rsidR="008676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4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Graduanda em Medicina Veterinária UFCG. E-mail: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vitorimarizufcgmedvet@gmail.com</w:t>
      </w:r>
    </w:p>
    <w:p w14:paraId="54B0966E" w14:textId="77777777" w:rsidR="008676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5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Graduanda em Medicina Veterinária UFCG. E-mail: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nielyda.gomes@estudante.ufcg.edu.br</w:t>
      </w:r>
    </w:p>
    <w:p w14:paraId="54B0966F" w14:textId="77777777" w:rsidR="00867660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vertAlign w:val="superscript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 xml:space="preserve">6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Graduando em Medicina Veterinária UFCG. E-mail: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jucelhio.pereira@estudante.ufcg.edu.br</w:t>
      </w:r>
    </w:p>
    <w:p w14:paraId="54B09670" w14:textId="77777777" w:rsidR="00867660" w:rsidRDefault="00000000">
      <w:pPr>
        <w:spacing w:after="24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7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Professor titular UFCG. E-mail: </w:t>
      </w:r>
      <w:r>
        <w:rPr>
          <w:rFonts w:ascii="Times New Roman" w:eastAsia="Times New Roman" w:hAnsi="Times New Roman" w:cs="Times New Roman"/>
          <w:sz w:val="20"/>
          <w:szCs w:val="20"/>
          <w:u w:val="single"/>
        </w:rPr>
        <w:t>bonifacio.ufcg@gmail.com</w:t>
      </w:r>
    </w:p>
    <w:p w14:paraId="54B09671" w14:textId="77777777" w:rsidR="00867660" w:rsidRPr="00602C48" w:rsidRDefault="000000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2C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Resumo: </w:t>
      </w:r>
    </w:p>
    <w:p w14:paraId="54B09672" w14:textId="506C2BBF" w:rsidR="00867660" w:rsidRPr="00602C48" w:rsidRDefault="00000000" w:rsidP="00602C48">
      <w:pPr>
        <w:spacing w:after="24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2C48">
        <w:rPr>
          <w:rFonts w:ascii="Times New Roman" w:eastAsia="Gungsuh" w:hAnsi="Times New Roman" w:cs="Times New Roman"/>
          <w:sz w:val="24"/>
          <w:szCs w:val="24"/>
        </w:rPr>
        <w:t xml:space="preserve">Objetivou-se avaliar o perfil bioquímico sanguíneo de ovinos dos genótipos </w:t>
      </w:r>
      <w:proofErr w:type="spellStart"/>
      <w:r w:rsidRPr="00602C48">
        <w:rPr>
          <w:rFonts w:ascii="Times New Roman" w:eastAsia="Gungsuh" w:hAnsi="Times New Roman" w:cs="Times New Roman"/>
          <w:sz w:val="24"/>
          <w:szCs w:val="24"/>
        </w:rPr>
        <w:t>Soinga</w:t>
      </w:r>
      <w:proofErr w:type="spellEnd"/>
      <w:r w:rsidRPr="00602C48">
        <w:rPr>
          <w:rFonts w:ascii="Times New Roman" w:eastAsia="Gungsuh" w:hAnsi="Times New Roman" w:cs="Times New Roman"/>
          <w:sz w:val="24"/>
          <w:szCs w:val="24"/>
        </w:rPr>
        <w:t xml:space="preserve"> e White </w:t>
      </w:r>
      <w:proofErr w:type="spellStart"/>
      <w:r w:rsidRPr="00602C48">
        <w:rPr>
          <w:rFonts w:ascii="Times New Roman" w:eastAsia="Gungsuh" w:hAnsi="Times New Roman" w:cs="Times New Roman"/>
          <w:sz w:val="24"/>
          <w:szCs w:val="24"/>
        </w:rPr>
        <w:t>Dorper</w:t>
      </w:r>
      <w:proofErr w:type="spellEnd"/>
      <w:r w:rsidRPr="00602C48">
        <w:rPr>
          <w:rFonts w:ascii="Times New Roman" w:eastAsia="Gungsuh" w:hAnsi="Times New Roman" w:cs="Times New Roman"/>
          <w:sz w:val="24"/>
          <w:szCs w:val="24"/>
        </w:rPr>
        <w:t xml:space="preserve"> criados em condições de semiárido. O experimento foi conduzido no Núcleo de Pesquisa para o Desenvolvimento do Semiárido (NUPEÁRIDO) do Centro de Saúde e Tecnologia Rural (CSTR) da Universidade Federal de Campina Grande (UFCG), em Patos-PB, utilizando 20 ovinos, </w:t>
      </w:r>
      <w:r w:rsidR="000325CF" w:rsidRPr="00602C48">
        <w:rPr>
          <w:rFonts w:ascii="Times New Roman" w:eastAsia="Gungsuh" w:hAnsi="Times New Roman" w:cs="Times New Roman"/>
          <w:sz w:val="24"/>
          <w:szCs w:val="24"/>
        </w:rPr>
        <w:t>com</w:t>
      </w:r>
      <w:r w:rsidRPr="00602C48">
        <w:rPr>
          <w:rFonts w:ascii="Times New Roman" w:eastAsia="Gungsuh" w:hAnsi="Times New Roman" w:cs="Times New Roman"/>
          <w:sz w:val="24"/>
          <w:szCs w:val="24"/>
        </w:rPr>
        <w:t xml:space="preserve"> 10 de cada genótipo com aproximadamente quatro meses de idade e peso médio inicial de 28,25 ± 2 kg. A dieta foi formulada para proporcionar ganho médio diário de 250 g, na proporção de 40:60 (</w:t>
      </w:r>
      <w:proofErr w:type="spellStart"/>
      <w:r w:rsidRPr="00602C48">
        <w:rPr>
          <w:rFonts w:ascii="Times New Roman" w:eastAsia="Gungsuh" w:hAnsi="Times New Roman" w:cs="Times New Roman"/>
          <w:sz w:val="24"/>
          <w:szCs w:val="24"/>
        </w:rPr>
        <w:t>volumoso:concentrado</w:t>
      </w:r>
      <w:proofErr w:type="spellEnd"/>
      <w:r w:rsidRPr="00602C48">
        <w:rPr>
          <w:rFonts w:ascii="Times New Roman" w:eastAsia="Gungsuh" w:hAnsi="Times New Roman" w:cs="Times New Roman"/>
          <w:sz w:val="24"/>
          <w:szCs w:val="24"/>
        </w:rPr>
        <w:t xml:space="preserve">). Foram utilizados animais submetidos ao mesmo manejo e alimentação, sendo analisados os parâmetros colesterol (COL), glicose (GLI), proteína total (PT) e triglicerídeos (TRI). O delineamento experimental foi inteiramente </w:t>
      </w:r>
      <w:proofErr w:type="spellStart"/>
      <w:r w:rsidRPr="00602C48">
        <w:rPr>
          <w:rFonts w:ascii="Times New Roman" w:eastAsia="Gungsuh" w:hAnsi="Times New Roman" w:cs="Times New Roman"/>
          <w:sz w:val="24"/>
          <w:szCs w:val="24"/>
        </w:rPr>
        <w:t>casualizado</w:t>
      </w:r>
      <w:proofErr w:type="spellEnd"/>
      <w:r w:rsidRPr="00602C48">
        <w:rPr>
          <w:rFonts w:ascii="Times New Roman" w:eastAsia="Gungsuh" w:hAnsi="Times New Roman" w:cs="Times New Roman"/>
          <w:sz w:val="24"/>
          <w:szCs w:val="24"/>
        </w:rPr>
        <w:t xml:space="preserve">, com comparação de médias pelo teste de </w:t>
      </w:r>
      <w:proofErr w:type="spellStart"/>
      <w:r w:rsidRPr="00602C48">
        <w:rPr>
          <w:rFonts w:ascii="Times New Roman" w:eastAsia="Gungsuh" w:hAnsi="Times New Roman" w:cs="Times New Roman"/>
          <w:sz w:val="24"/>
          <w:szCs w:val="24"/>
        </w:rPr>
        <w:t>Tukey</w:t>
      </w:r>
      <w:proofErr w:type="spellEnd"/>
      <w:r w:rsidRPr="00602C48">
        <w:rPr>
          <w:rFonts w:ascii="Times New Roman" w:eastAsia="Gungsuh" w:hAnsi="Times New Roman" w:cs="Times New Roman"/>
          <w:sz w:val="24"/>
          <w:szCs w:val="24"/>
        </w:rPr>
        <w:t xml:space="preserve"> a 5% de probabilidade. Não foram observadas diferenças significativas entre os genótipos para COL, GLI e TRI (P&gt;0,05), indicando similaridade no metabolismo energético e lipídico. Para a proteína total, verificou-se diferença significativa (P≤0,05), com menor valor para os ovinos </w:t>
      </w:r>
      <w:proofErr w:type="spellStart"/>
      <w:r w:rsidRPr="00602C48">
        <w:rPr>
          <w:rFonts w:ascii="Times New Roman" w:eastAsia="Gungsuh" w:hAnsi="Times New Roman" w:cs="Times New Roman"/>
          <w:sz w:val="24"/>
          <w:szCs w:val="24"/>
        </w:rPr>
        <w:t>Soinga</w:t>
      </w:r>
      <w:proofErr w:type="spellEnd"/>
      <w:r w:rsidRPr="00602C48">
        <w:rPr>
          <w:rFonts w:ascii="Times New Roman" w:eastAsia="Gungsuh" w:hAnsi="Times New Roman" w:cs="Times New Roman"/>
          <w:sz w:val="24"/>
          <w:szCs w:val="24"/>
        </w:rPr>
        <w:t>. De modo geral, os resultados indicam que ambos os genótipos mantêm equilíbrio metabólico sob as condições avaliadas, com pequenas variações pontuais.</w:t>
      </w:r>
    </w:p>
    <w:p w14:paraId="54B09673" w14:textId="77777777" w:rsidR="00867660" w:rsidRDefault="00000000">
      <w:pPr>
        <w:spacing w:before="240" w:after="240" w:line="276" w:lineRule="auto"/>
        <w:jc w:val="both"/>
        <w:rPr>
          <w:rFonts w:ascii="Times New Roman" w:eastAsia="Times New Roman" w:hAnsi="Times New Roman" w:cs="Times New Roman"/>
          <w:color w:val="FFFF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metabolismo sanguíneo; colesterol; glicose; proteína total; triglicerídeos;</w:t>
      </w:r>
    </w:p>
    <w:p w14:paraId="54B09674" w14:textId="77777777" w:rsidR="00867660" w:rsidRDefault="00000000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Introdução: </w:t>
      </w:r>
    </w:p>
    <w:p w14:paraId="54B09675" w14:textId="77777777" w:rsidR="00867660" w:rsidRDefault="000000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 semiárido, os ovinos são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constatemente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expostos a condições ambientais adversas, como elevadas temperaturas e disponibilidade hídrica baixa, o que influencia significativamente as respostas metabólicas. Estudos demonstram que o estresse térmico promove alterações nos parâmetros bioquímicos, afetando concentrações de glicose, colesterol e proteínas totais, em função da adaptação fisiológica dos animais ao ambiente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Čukić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highlight w:val="white"/>
        </w:rPr>
        <w:t>et al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., 2023).</w:t>
      </w:r>
    </w:p>
    <w:p w14:paraId="54B09676" w14:textId="77777777" w:rsidR="00867660" w:rsidRDefault="000000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Outra característica importante é que os metabólitos sanguíneos são considerados indicadores verídicos do estado nutricional e da capacidade adaptativa dos animais, sendo influenciados por dieta, manejo e condições climáticas. Mudanças nesses parâmetros podem fornecer respostas fisiológicas a desafios ambientais, mesmo quando não há manifestação clínica evidente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Amuda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Okunlola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2018).</w:t>
      </w:r>
    </w:p>
    <w:p w14:paraId="54B09677" w14:textId="77777777" w:rsidR="00867660" w:rsidRDefault="00000000">
      <w:pPr>
        <w:spacing w:after="20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Diante disso, objetivou-se avaliar o perfil bioquímico sanguíneo de ovinos dos genótipos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Soinga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White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Dorper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buscando entender possíveis diferenças metabólicas entre os grupos sob condições de criação no semiárido.</w:t>
      </w:r>
    </w:p>
    <w:p w14:paraId="54B09678" w14:textId="77777777" w:rsidR="00867660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Material e métodos:</w:t>
      </w:r>
    </w:p>
    <w:p w14:paraId="54B09679" w14:textId="77777777" w:rsidR="00867660" w:rsidRDefault="000000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Local do experimento</w:t>
      </w:r>
    </w:p>
    <w:p w14:paraId="54B0967A" w14:textId="77777777" w:rsidR="00867660" w:rsidRDefault="00000000">
      <w:pPr>
        <w:spacing w:after="20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pesquisa foi realizada no NUPEÁRIDO, fazenda experimental pertencente ao CSTR, da UFCG, localizada no município de Patos, na Paraíba. </w:t>
      </w:r>
    </w:p>
    <w:p w14:paraId="54B0967B" w14:textId="77777777" w:rsidR="00867660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Animais e manejo experimental </w:t>
      </w:r>
    </w:p>
    <w:p w14:paraId="54B0967C" w14:textId="77777777" w:rsidR="00867660" w:rsidRDefault="00000000">
      <w:pPr>
        <w:spacing w:after="20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Foram utilizados 20 ovinos, 10 do grupo genético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Soinga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10 White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Dorper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Todos os animais tinham aproximadamente 4 meses de idade, peso vivo médio inicial de 28,25 ± 2kg e não-castrados.</w:t>
      </w:r>
    </w:p>
    <w:p w14:paraId="54B0967D" w14:textId="77777777" w:rsidR="00867660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Dieta</w:t>
      </w:r>
    </w:p>
    <w:p w14:paraId="54B0967E" w14:textId="77777777" w:rsidR="00867660" w:rsidRDefault="0000000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dieta formulada para um ganho de peso médio diário de 250 gramas seguindo exigências do BR-caprinos &amp; ovinos (2024), sendo composta silagem de milho, e concentrado a base de farelo de milho (62,98%), farelo de soja (31,16%), suplemento mineral (3,8%) e óleo vegetal (2,8%), na proporção de 40:60 volumoso-concentrado, com água fornecida à vontade.</w:t>
      </w:r>
    </w:p>
    <w:p w14:paraId="54B0967F" w14:textId="77777777" w:rsidR="00867660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Perfil bioquímico</w:t>
      </w:r>
    </w:p>
    <w:p w14:paraId="54B09680" w14:textId="77777777" w:rsidR="00867660" w:rsidRDefault="00000000">
      <w:pPr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Para avaliação bioquímica, foi coletado amostra de sangue com tubos para coleta sem anticoagulante descartáveis, onde foi feita uma coleta no início e outra ao final do experimento em todos os animais, após prévia assepsia do local de coleta. As amostras foram enviadas ao Laboratório Veterinário de Análises Clínicas e onde foi mensurado: COL; GLI; PT e TRI. Todos os perfis bioquímicos foram analisados por um fotômetro de comprimento de onda múltiplo e kits laboratoriais de uso comercial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Labtest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54B09681" w14:textId="77777777" w:rsidR="00867660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Análise estatística</w:t>
      </w:r>
    </w:p>
    <w:p w14:paraId="54B09682" w14:textId="77777777" w:rsidR="00867660" w:rsidRDefault="00000000">
      <w:pPr>
        <w:spacing w:after="200"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delineamento utilizado foi inteiramente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casualizado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os dados obtidos foram analisados através do programa estatístico SAEG e as médias comparadas pelo teste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Tukey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5% de probabilidade.</w:t>
      </w:r>
    </w:p>
    <w:p w14:paraId="54B09683" w14:textId="77777777" w:rsidR="00867660" w:rsidRDefault="00000000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Resultados e discussão: </w:t>
      </w:r>
    </w:p>
    <w:p w14:paraId="54B09684" w14:textId="77777777" w:rsidR="00867660" w:rsidRPr="005006A2" w:rsidRDefault="000000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06A2">
        <w:rPr>
          <w:rFonts w:ascii="Times New Roman" w:eastAsia="Gungsuh" w:hAnsi="Times New Roman" w:cs="Times New Roman"/>
          <w:sz w:val="24"/>
          <w:szCs w:val="24"/>
        </w:rPr>
        <w:t>Não foram observadas diferenças significativas (P≤0,05) entre os genótipos para as variáveis COL, GLI e TRI, com valores médios de 46,08 e 44,68 mg/</w:t>
      </w:r>
      <w:proofErr w:type="spellStart"/>
      <w:r w:rsidRPr="005006A2">
        <w:rPr>
          <w:rFonts w:ascii="Times New Roman" w:eastAsia="Gungsuh" w:hAnsi="Times New Roman" w:cs="Times New Roman"/>
          <w:sz w:val="24"/>
          <w:szCs w:val="24"/>
        </w:rPr>
        <w:t>dL</w:t>
      </w:r>
      <w:proofErr w:type="spellEnd"/>
      <w:r w:rsidRPr="005006A2">
        <w:rPr>
          <w:rFonts w:ascii="Times New Roman" w:eastAsia="Gungsuh" w:hAnsi="Times New Roman" w:cs="Times New Roman"/>
          <w:sz w:val="24"/>
          <w:szCs w:val="24"/>
        </w:rPr>
        <w:t>; 70,83 e 63,25 mg/</w:t>
      </w:r>
      <w:proofErr w:type="spellStart"/>
      <w:r w:rsidRPr="005006A2">
        <w:rPr>
          <w:rFonts w:ascii="Times New Roman" w:eastAsia="Gungsuh" w:hAnsi="Times New Roman" w:cs="Times New Roman"/>
          <w:sz w:val="24"/>
          <w:szCs w:val="24"/>
        </w:rPr>
        <w:t>dL</w:t>
      </w:r>
      <w:proofErr w:type="spellEnd"/>
      <w:r w:rsidRPr="005006A2">
        <w:rPr>
          <w:rFonts w:ascii="Times New Roman" w:eastAsia="Gungsuh" w:hAnsi="Times New Roman" w:cs="Times New Roman"/>
          <w:sz w:val="24"/>
          <w:szCs w:val="24"/>
        </w:rPr>
        <w:t xml:space="preserve">; </w:t>
      </w:r>
      <w:r w:rsidRPr="005006A2">
        <w:rPr>
          <w:rFonts w:ascii="Times New Roman" w:eastAsia="Gungsuh" w:hAnsi="Times New Roman" w:cs="Times New Roman"/>
          <w:sz w:val="24"/>
          <w:szCs w:val="24"/>
        </w:rPr>
        <w:lastRenderedPageBreak/>
        <w:t>e 21,72 e 29,15 mg/</w:t>
      </w:r>
      <w:proofErr w:type="spellStart"/>
      <w:r w:rsidRPr="005006A2">
        <w:rPr>
          <w:rFonts w:ascii="Times New Roman" w:eastAsia="Gungsuh" w:hAnsi="Times New Roman" w:cs="Times New Roman"/>
          <w:sz w:val="24"/>
          <w:szCs w:val="24"/>
        </w:rPr>
        <w:t>dL</w:t>
      </w:r>
      <w:proofErr w:type="spellEnd"/>
      <w:r w:rsidRPr="005006A2">
        <w:rPr>
          <w:rFonts w:ascii="Times New Roman" w:eastAsia="Gungsuh" w:hAnsi="Times New Roman" w:cs="Times New Roman"/>
          <w:sz w:val="24"/>
          <w:szCs w:val="24"/>
        </w:rPr>
        <w:t xml:space="preserve"> para </w:t>
      </w:r>
      <w:proofErr w:type="spellStart"/>
      <w:r w:rsidRPr="005006A2">
        <w:rPr>
          <w:rFonts w:ascii="Times New Roman" w:eastAsia="Gungsuh" w:hAnsi="Times New Roman" w:cs="Times New Roman"/>
          <w:sz w:val="24"/>
          <w:szCs w:val="24"/>
        </w:rPr>
        <w:t>Soinga</w:t>
      </w:r>
      <w:proofErr w:type="spellEnd"/>
      <w:r w:rsidRPr="005006A2">
        <w:rPr>
          <w:rFonts w:ascii="Times New Roman" w:eastAsia="Gungsuh" w:hAnsi="Times New Roman" w:cs="Times New Roman"/>
          <w:sz w:val="24"/>
          <w:szCs w:val="24"/>
        </w:rPr>
        <w:t xml:space="preserve"> e White </w:t>
      </w:r>
      <w:proofErr w:type="spellStart"/>
      <w:r w:rsidRPr="005006A2">
        <w:rPr>
          <w:rFonts w:ascii="Times New Roman" w:eastAsia="Gungsuh" w:hAnsi="Times New Roman" w:cs="Times New Roman"/>
          <w:sz w:val="24"/>
          <w:szCs w:val="24"/>
        </w:rPr>
        <w:t>Dorper</w:t>
      </w:r>
      <w:proofErr w:type="spellEnd"/>
      <w:r w:rsidRPr="005006A2">
        <w:rPr>
          <w:rFonts w:ascii="Times New Roman" w:eastAsia="Gungsuh" w:hAnsi="Times New Roman" w:cs="Times New Roman"/>
          <w:sz w:val="24"/>
          <w:szCs w:val="24"/>
        </w:rPr>
        <w:t>, respectivamente. Esses resultados mostram que o metabolismo energético e lipídico dos animais foi semelhante entre os grupos genéticos.</w:t>
      </w:r>
    </w:p>
    <w:p w14:paraId="54B09685" w14:textId="77777777" w:rsidR="00867660" w:rsidRPr="005006A2" w:rsidRDefault="00000000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006A2">
        <w:rPr>
          <w:rFonts w:ascii="Times New Roman" w:eastAsia="Gungsuh" w:hAnsi="Times New Roman" w:cs="Times New Roman"/>
          <w:sz w:val="24"/>
          <w:szCs w:val="24"/>
        </w:rPr>
        <w:t xml:space="preserve">Já a PT, observou-se diferença estatística (P≤0,05), com menor valor para os ovinos </w:t>
      </w:r>
      <w:proofErr w:type="spellStart"/>
      <w:r w:rsidRPr="005006A2">
        <w:rPr>
          <w:rFonts w:ascii="Times New Roman" w:eastAsia="Gungsuh" w:hAnsi="Times New Roman" w:cs="Times New Roman"/>
          <w:sz w:val="24"/>
          <w:szCs w:val="24"/>
        </w:rPr>
        <w:t>Soinga</w:t>
      </w:r>
      <w:proofErr w:type="spellEnd"/>
      <w:r w:rsidRPr="005006A2">
        <w:rPr>
          <w:rFonts w:ascii="Times New Roman" w:eastAsia="Gungsuh" w:hAnsi="Times New Roman" w:cs="Times New Roman"/>
          <w:sz w:val="24"/>
          <w:szCs w:val="24"/>
        </w:rPr>
        <w:t xml:space="preserve"> (6,18 g/</w:t>
      </w:r>
      <w:proofErr w:type="spellStart"/>
      <w:r w:rsidRPr="005006A2">
        <w:rPr>
          <w:rFonts w:ascii="Times New Roman" w:eastAsia="Gungsuh" w:hAnsi="Times New Roman" w:cs="Times New Roman"/>
          <w:sz w:val="24"/>
          <w:szCs w:val="24"/>
        </w:rPr>
        <w:t>dL</w:t>
      </w:r>
      <w:proofErr w:type="spellEnd"/>
      <w:r w:rsidRPr="005006A2">
        <w:rPr>
          <w:rFonts w:ascii="Times New Roman" w:eastAsia="Gungsuh" w:hAnsi="Times New Roman" w:cs="Times New Roman"/>
          <w:sz w:val="24"/>
          <w:szCs w:val="24"/>
        </w:rPr>
        <w:t xml:space="preserve">) em comparação aos White </w:t>
      </w:r>
      <w:proofErr w:type="spellStart"/>
      <w:r w:rsidRPr="005006A2">
        <w:rPr>
          <w:rFonts w:ascii="Times New Roman" w:eastAsia="Gungsuh" w:hAnsi="Times New Roman" w:cs="Times New Roman"/>
          <w:sz w:val="24"/>
          <w:szCs w:val="24"/>
        </w:rPr>
        <w:t>Dorper</w:t>
      </w:r>
      <w:proofErr w:type="spellEnd"/>
      <w:r w:rsidRPr="005006A2">
        <w:rPr>
          <w:rFonts w:ascii="Times New Roman" w:eastAsia="Gungsuh" w:hAnsi="Times New Roman" w:cs="Times New Roman"/>
          <w:sz w:val="24"/>
          <w:szCs w:val="24"/>
        </w:rPr>
        <w:t xml:space="preserve"> (6,35 g/</w:t>
      </w:r>
      <w:proofErr w:type="spellStart"/>
      <w:r w:rsidRPr="005006A2">
        <w:rPr>
          <w:rFonts w:ascii="Times New Roman" w:eastAsia="Gungsuh" w:hAnsi="Times New Roman" w:cs="Times New Roman"/>
          <w:sz w:val="24"/>
          <w:szCs w:val="24"/>
        </w:rPr>
        <w:t>dL</w:t>
      </w:r>
      <w:proofErr w:type="spellEnd"/>
      <w:r w:rsidRPr="005006A2">
        <w:rPr>
          <w:rFonts w:ascii="Times New Roman" w:eastAsia="Gungsuh" w:hAnsi="Times New Roman" w:cs="Times New Roman"/>
          <w:sz w:val="24"/>
          <w:szCs w:val="24"/>
        </w:rPr>
        <w:t>). Essa diferença pode indicar variação no metabolismo proteico ou no estado nutricional entre os genótipos, embora os valores estejam próximos e dentro de uma faixa fisiológica.</w:t>
      </w:r>
    </w:p>
    <w:p w14:paraId="54B09686" w14:textId="77777777" w:rsidR="00867660" w:rsidRDefault="00000000">
      <w:pPr>
        <w:spacing w:after="20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Neste contexto, os parâmetros bioquímicos avaliados demonstram que ambos os genótipos conseguiram manter a estabilidade metabólica, com pequenas variações entre as variáveis analisadas.</w:t>
      </w:r>
    </w:p>
    <w:p w14:paraId="54B09687" w14:textId="77777777" w:rsidR="00867660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Tabela 1. Médias dos parâmetros bioquímicos sanguíneos de ovinos das raças </w:t>
      </w:r>
      <w:proofErr w:type="spellStart"/>
      <w:r>
        <w:rPr>
          <w:rFonts w:ascii="Times New Roman" w:eastAsia="Times New Roman" w:hAnsi="Times New Roman" w:cs="Times New Roman"/>
        </w:rPr>
        <w:t>Soinga</w:t>
      </w:r>
      <w:proofErr w:type="spellEnd"/>
      <w:r>
        <w:rPr>
          <w:rFonts w:ascii="Times New Roman" w:eastAsia="Times New Roman" w:hAnsi="Times New Roman" w:cs="Times New Roman"/>
        </w:rPr>
        <w:t xml:space="preserve"> e White </w:t>
      </w:r>
      <w:proofErr w:type="spellStart"/>
      <w:r>
        <w:rPr>
          <w:rFonts w:ascii="Times New Roman" w:eastAsia="Times New Roman" w:hAnsi="Times New Roman" w:cs="Times New Roman"/>
        </w:rPr>
        <w:t>Dorper</w:t>
      </w:r>
      <w:proofErr w:type="spellEnd"/>
    </w:p>
    <w:tbl>
      <w:tblPr>
        <w:tblStyle w:val="a"/>
        <w:tblW w:w="912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3450"/>
        <w:gridCol w:w="3405"/>
      </w:tblGrid>
      <w:tr w:rsidR="00867660" w14:paraId="54B0968B" w14:textId="77777777">
        <w:trPr>
          <w:trHeight w:val="500"/>
        </w:trPr>
        <w:tc>
          <w:tcPr>
            <w:tcW w:w="22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09688" w14:textId="77777777" w:rsidR="00867660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Variável</w:t>
            </w:r>
          </w:p>
        </w:tc>
        <w:tc>
          <w:tcPr>
            <w:tcW w:w="345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09689" w14:textId="77777777" w:rsidR="00867660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Soinga</w:t>
            </w:r>
            <w:proofErr w:type="spellEnd"/>
          </w:p>
        </w:tc>
        <w:tc>
          <w:tcPr>
            <w:tcW w:w="340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0968A" w14:textId="77777777" w:rsidR="00867660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White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Dorper</w:t>
            </w:r>
            <w:proofErr w:type="spellEnd"/>
          </w:p>
        </w:tc>
      </w:tr>
      <w:tr w:rsidR="00867660" w14:paraId="54B0968F" w14:textId="77777777">
        <w:trPr>
          <w:trHeight w:val="500"/>
        </w:trPr>
        <w:tc>
          <w:tcPr>
            <w:tcW w:w="226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0968C" w14:textId="77777777" w:rsidR="00867660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 (mg/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50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0968D" w14:textId="77777777" w:rsidR="00867660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46,08 a</w:t>
            </w:r>
          </w:p>
        </w:tc>
        <w:tc>
          <w:tcPr>
            <w:tcW w:w="3405" w:type="dxa"/>
            <w:tcBorders>
              <w:top w:val="single" w:sz="8" w:space="0" w:color="000000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0968E" w14:textId="77777777" w:rsidR="00867660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44,68 a</w:t>
            </w:r>
          </w:p>
        </w:tc>
      </w:tr>
      <w:tr w:rsidR="00867660" w14:paraId="54B09693" w14:textId="77777777">
        <w:trPr>
          <w:trHeight w:val="500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09690" w14:textId="77777777" w:rsidR="00867660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GLI (mg/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09691" w14:textId="77777777" w:rsidR="00867660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70,83 a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09692" w14:textId="77777777" w:rsidR="00867660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63,25 a</w:t>
            </w:r>
          </w:p>
        </w:tc>
      </w:tr>
      <w:tr w:rsidR="00867660" w14:paraId="54B09697" w14:textId="77777777">
        <w:trPr>
          <w:trHeight w:val="500"/>
        </w:trPr>
        <w:tc>
          <w:tcPr>
            <w:tcW w:w="226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09694" w14:textId="77777777" w:rsidR="00867660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PT (g/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5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09695" w14:textId="77777777" w:rsidR="00867660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6,18 b</w:t>
            </w:r>
          </w:p>
        </w:tc>
        <w:tc>
          <w:tcPr>
            <w:tcW w:w="3405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09696" w14:textId="77777777" w:rsidR="00867660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6,35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</w:t>
            </w:r>
            <w:proofErr w:type="spellEnd"/>
          </w:p>
        </w:tc>
      </w:tr>
      <w:tr w:rsidR="00867660" w14:paraId="54B0969B" w14:textId="77777777">
        <w:trPr>
          <w:trHeight w:val="500"/>
        </w:trPr>
        <w:tc>
          <w:tcPr>
            <w:tcW w:w="226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09698" w14:textId="77777777" w:rsidR="00867660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TRI (mg/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3450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09699" w14:textId="77777777" w:rsidR="00867660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21,72 a</w:t>
            </w:r>
          </w:p>
        </w:tc>
        <w:tc>
          <w:tcPr>
            <w:tcW w:w="3405" w:type="dxa"/>
            <w:tcBorders>
              <w:top w:val="nil"/>
              <w:left w:val="nil"/>
              <w:bottom w:val="single" w:sz="8" w:space="0" w:color="000000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0969A" w14:textId="77777777" w:rsidR="00867660" w:rsidRDefault="0000000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29,15 a</w:t>
            </w:r>
          </w:p>
        </w:tc>
      </w:tr>
    </w:tbl>
    <w:p w14:paraId="54B0969C" w14:textId="77777777" w:rsidR="00867660" w:rsidRPr="005006A2" w:rsidRDefault="00000000">
      <w:pPr>
        <w:spacing w:after="20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5006A2">
        <w:rPr>
          <w:rFonts w:ascii="Times New Roman" w:eastAsia="Gungsuh" w:hAnsi="Times New Roman" w:cs="Times New Roman"/>
          <w:sz w:val="20"/>
          <w:szCs w:val="20"/>
        </w:rPr>
        <w:t xml:space="preserve">Médias seguidas de letras diferentes na coluna diferem estatisticamente entre si pelo teste de </w:t>
      </w:r>
      <w:proofErr w:type="spellStart"/>
      <w:r w:rsidRPr="005006A2">
        <w:rPr>
          <w:rFonts w:ascii="Times New Roman" w:eastAsia="Gungsuh" w:hAnsi="Times New Roman" w:cs="Times New Roman"/>
          <w:sz w:val="20"/>
          <w:szCs w:val="20"/>
        </w:rPr>
        <w:t>Tukey</w:t>
      </w:r>
      <w:proofErr w:type="spellEnd"/>
      <w:r w:rsidRPr="005006A2">
        <w:rPr>
          <w:rFonts w:ascii="Times New Roman" w:eastAsia="Gungsuh" w:hAnsi="Times New Roman" w:cs="Times New Roman"/>
          <w:sz w:val="20"/>
          <w:szCs w:val="20"/>
        </w:rPr>
        <w:t xml:space="preserve"> (P≤0,05).</w:t>
      </w:r>
    </w:p>
    <w:p w14:paraId="54B0969D" w14:textId="77777777" w:rsidR="0086766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Conclusão: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4B0969E" w14:textId="77777777" w:rsidR="00867660" w:rsidRDefault="00000000">
      <w:pPr>
        <w:spacing w:after="20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Os genótipos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Soinga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White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Dorper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apresentam perfil bioquímico semelhante, com diferença apenas na proteína total, sem comprometimento do equilíbrio metabólico geral.</w:t>
      </w:r>
    </w:p>
    <w:p w14:paraId="54B0969F" w14:textId="77777777" w:rsidR="00867660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Referências Bibliográficas: </w:t>
      </w:r>
    </w:p>
    <w:p w14:paraId="54B096A0" w14:textId="77777777" w:rsidR="00867660" w:rsidRDefault="00000000">
      <w:pPr>
        <w:spacing w:after="20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AMUDA, A. J.; E OKUNLOLA, D. O.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Haematological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parameters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serum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biochemistry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West African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Dwarf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Sheep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ensiled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maize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stover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concentrate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supplements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Journal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Agriculture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Veterinary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Science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v. 11, p. 57–63, 2018. </w:t>
      </w:r>
    </w:p>
    <w:p w14:paraId="54B096A1" w14:textId="77777777" w:rsidR="00867660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ČUKIĆ, A.; RAKONJAC, S.; DJOKOVIĆ, R.; CINCOVIĆ, M.; BOGOSAVLJEVIĆ-BOŠKOVIĆ, S.; PETROVIĆ, M.; SAVIĆ, Ž.; ANDJUŠIĆ, L.; ANDJELIĆ, B.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Influence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Heat Stress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Body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Temperatures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Measured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Infrared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Thermography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Blood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Metabolic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Parameters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Its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Correlation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Sheep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Metabolites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v. 13, (ed. 8), p. 957, 2023.</w:t>
      </w:r>
    </w:p>
    <w:sectPr w:rsidR="0086766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EA5A83" w14:textId="77777777" w:rsidR="00BE0B5C" w:rsidRDefault="00BE0B5C">
      <w:pPr>
        <w:spacing w:after="0" w:line="240" w:lineRule="auto"/>
      </w:pPr>
      <w:r>
        <w:separator/>
      </w:r>
    </w:p>
  </w:endnote>
  <w:endnote w:type="continuationSeparator" w:id="0">
    <w:p w14:paraId="6C1B9D27" w14:textId="77777777" w:rsidR="00BE0B5C" w:rsidRDefault="00BE0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80A0D34-1AD8-4086-B200-01543436EE64}"/>
    <w:embedBold r:id="rId2" w:fontKey="{FF1CE64F-4A66-41DE-A358-E6F86B0937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A843F797-CCB0-4BF2-8142-C55DE328B59E}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8168D89-9DE6-452D-860F-2C46F2FA07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096A5" w14:textId="1485A4E9" w:rsidR="008676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C6731">
      <w:rPr>
        <w:noProof/>
        <w:color w:val="000000"/>
      </w:rPr>
      <w:t>1</w:t>
    </w:r>
    <w:r>
      <w:rPr>
        <w:color w:val="000000"/>
      </w:rPr>
      <w:fldChar w:fldCharType="end"/>
    </w:r>
  </w:p>
  <w:p w14:paraId="54B096A6" w14:textId="77777777" w:rsidR="00867660" w:rsidRDefault="008676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574644" w14:textId="77777777" w:rsidR="00BE0B5C" w:rsidRDefault="00BE0B5C">
      <w:pPr>
        <w:spacing w:after="0" w:line="240" w:lineRule="auto"/>
      </w:pPr>
      <w:r>
        <w:separator/>
      </w:r>
    </w:p>
  </w:footnote>
  <w:footnote w:type="continuationSeparator" w:id="0">
    <w:p w14:paraId="3017BB6A" w14:textId="77777777" w:rsidR="00BE0B5C" w:rsidRDefault="00BE0B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B096A2" w14:textId="77777777" w:rsidR="0086766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4B096A7" wp14:editId="54B096A8">
          <wp:simplePos x="0" y="0"/>
          <wp:positionH relativeFrom="column">
            <wp:posOffset>765449</wp:posOffset>
          </wp:positionH>
          <wp:positionV relativeFrom="paragraph">
            <wp:posOffset>-449575</wp:posOffset>
          </wp:positionV>
          <wp:extent cx="4225757" cy="959272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25757" cy="95927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4B096A3" w14:textId="77777777" w:rsidR="00867660" w:rsidRDefault="008676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  <w:p w14:paraId="54B096A4" w14:textId="77777777" w:rsidR="00867660" w:rsidRDefault="0086766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7660"/>
    <w:rsid w:val="000325CF"/>
    <w:rsid w:val="001C6731"/>
    <w:rsid w:val="002435B2"/>
    <w:rsid w:val="005006A2"/>
    <w:rsid w:val="00602C48"/>
    <w:rsid w:val="00830985"/>
    <w:rsid w:val="00867660"/>
    <w:rsid w:val="009B441A"/>
    <w:rsid w:val="00BE0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09668"/>
  <w15:docId w15:val="{118335B3-6417-4414-AE7A-CD7B0D8AC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738D00-790F-415A-9335-933A13FA9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1065</Words>
  <Characters>5754</Characters>
  <Application>Microsoft Office Word</Application>
  <DocSecurity>0</DocSecurity>
  <Lines>47</Lines>
  <Paragraphs>13</Paragraphs>
  <ScaleCrop>false</ScaleCrop>
  <Company/>
  <LinksUpToDate>false</LinksUpToDate>
  <CharactersWithSpaces>6806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Isaac Almeida</cp:lastModifiedBy>
  <cp:revision>6</cp:revision>
  <cp:lastPrinted>2026-03-31T12:46:00Z</cp:lastPrinted>
  <dcterms:created xsi:type="dcterms:W3CDTF">2026-03-31T12:17:00Z</dcterms:created>
  <dcterms:modified xsi:type="dcterms:W3CDTF">2026-03-31T12:47:00Z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</Properties>
</file>