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tabs>
          <w:tab w:val="left" w:leader="none" w:pos="5955"/>
        </w:tabs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71"/>
        </w:tabs>
        <w:spacing w:after="0" w:before="0" w:line="259" w:lineRule="auto"/>
        <w:ind w:left="720" w:right="0" w:hanging="152.999999999999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rPr/>
      </w:pPr>
      <w:r w:rsidDel="00000000" w:rsidR="00000000" w:rsidRPr="00000000">
        <w:rPr>
          <w:rtl w:val="0"/>
        </w:rPr>
        <w:t xml:space="preserve">RESUMO EXPANDIDO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Grupo de Trabalho (GT): GT 8 – Novas Tecnologias na Educação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Modalidade do trabalho: comunicação oral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Formato de apresentação: on-line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rPr/>
      </w:pPr>
      <w:r w:rsidDel="00000000" w:rsidR="00000000" w:rsidRPr="00000000">
        <w:rPr>
          <w:rtl w:val="0"/>
        </w:rPr>
        <w:t xml:space="preserve">AUTORIA DIGITAL E EDUCAÇÃO MATEMÁTICA: desenvolvimento de competências cognitivas e socioemocionais nos anos iniciais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Kleidivaldo de Souza Rodrigues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left" w:leader="none" w:pos="5760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Educação Matemática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Habilidades Socioemocionais. Autoria Digital.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1 INTRODUÇÃO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ensino de Matemática no Brasil enfrenta grandes desafios em relação à aprendizagem dos estudantes. Avaliações nacionais, como o SAEB e a Prova Brasil, e internacionais, como o PISA, revelam baixo desempenho nessa área: na edição mais recente, o Brasil obteve média de 384 pontos em Matemática, enquanto a média da OCDE foi de 489, posicionando o país entre os últimos lugares (INEP, 2018). Segundo a plataforma QEdu, apenas 15% dos alunos do 9º ano têm domínio adequado em Matemática — percentual que cai para 9% no Rio Grande do Norte. Esses resultados são preocupantes, pois a Matemática é essencial para o desenvolvimento do raciocínio lógico, crítico e para a formação cidadã (BRASIL, 1997).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Diante desse cenário, é necessário repensar práticas pedagógicas que tornem o aprendizado mais significativo. Autores como Rogers (1973), Freire (1996) e Papert (1985) defendem a superação do ensino tradicional, colocando o aluno no centro do processo. Para Ausubel (1982), a aprendizagem significativa ocorre quando o estudante compreende genuinamente um conceito e consegue aplicá-lo em novas situações.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Nesse sentido, Morán (2015) propõe o uso de metodologias ativas — como ensino por projetos, ensino híbrido e sala de aula invertida — para promover maior engajamento. A BNCC (2016) reforça essa perspectiva ao destacar a importância de “compreender, utilizar e criar tecnologias digitais [...] de forma crítica, significativa e ética”. Contudo, como afirmam Almeida e Valente (2011), a simples presença da tecnologia na escola não garante inovação: é preciso usá-la de modo crítico e criativo, como defendia Papert (1985), que via o computador como ferramenta de construção do conhecimento.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Inspirado nessas ideias, Resnick (2014) propôs a aprendizagem criativa, baseada nos “4 Ps”: Projects (projetos), Peers (pares), Passion (paixão) e Play (brincar). Essa abordagem defende que aprender com propósito, colaboração, envolvimento emocional e ludicidade favorece o desenvolvimento do pensamento criativo e da aprendizagem significativa.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Nesse contexto, o objetivo deste trabalho é criar uma ferramenta digital de autoria docente e discente que permita a elaboração de materiais didáticos digitais interativos, relacionando conceitos matemáticos a situações reais do cotidiano dos estudantes dos anos iniciais. Essa proposta busca integrar aprendizagem matemática e desenvolvimento socioemocional, promovendo a autoconfiança, a empatia e a persistência, de modo que os alunos aprendam de forma significativa, criativa e humana, assumindo o papel de protagonistas de sua própria aprendizagem.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>
          <w:b w:val="0"/>
        </w:rPr>
      </w:pPr>
      <w:r w:rsidDel="00000000" w:rsidR="00000000" w:rsidRPr="00000000">
        <w:rPr>
          <w:rtl w:val="0"/>
        </w:rPr>
        <w:t xml:space="preserve">2 O Surgimento do Termo Socioemocional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escola é um espaço de diversidade, onde coexistem diferentes formas de pensar, agir e sentir. Essa pluralidade exige uma compreensão que inclua dimensões cognitivas, sociais, emocionais e culturais. Segundo Dolce (2005), o ser humano é complexo e dotado de múltiplas inteligências, o que torna essencial que a escola reconheça a importância do desenvolvimento socioemocional para a formação integral dos estudantes.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conceito de inteligência emocional surgiu com Salovey e Mayer (1990) e foi difundido por Goleman (1995) como um conjunto de habilidades relacionadas à autoconsciência, autocontrole, empatia e gestão de relacionamentos. Apesar de difundido nos anos 1990, sua incorporação à educação brasileira foi lenta. Entretanto, diante de desafios como a violência escolar e a intolerância, cresce a necessidade de compreender o papel das emoções na aprendizagem e nas relações humanas.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Mayer &amp; Salovey (1997), a inteligência emocional envolve perceber, avaliar e utilizar as emoções para favorecer o desenvolvimento intelectual e afetivo. De forma semelhante, Papert (1985) destaca que o aluno aprende melhor quando se envolve emocionalmente com o conteúdo, reforçando a importância do aspecto afetivo nas práticas pedagógicas.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Mayer (1990, apud GOLEMAN, 1995) organiza a inteligência emocional em cinco domínios — autoconsciência, lidar com emoções, motivar-se, reconhecer emoções nos outros e lidar com relacionamentos —, fundamentais para compreender o aluno em sua totalidade, sobretudo em contextos escolares desafiadores. Já Salovey &amp; Mayer (1990) apontam a importância de medir habilidades emocionais para avaliar sua influência no pensamento e na ação.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Teoria dos Big Five (Santo &amp; Prime, 2014) complementa essa discussão ao identificar cinco dimensões da personalidade — Abertura, Conscienciosidade, Extroversão, Amabilidade e Estabilidade emocional —, enquanto Paranhos (2017) destaca que o indivíduo emocionalmente inteligente reflete sobre suas emoções para tomar decisões equilibradas.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Assim, a dimensão socioemocional deve integrar o ensino da Matemática, reconhecendo que cada aluno possui um modo singular de aprender. Ignorar essas diferenças é negar aspectos essenciais da formação humana. A Educação Matemática, portanto, precisa acolher as emoções como parte do processo de ensinar e aprender, promovendo uma aprendizagem mais significativa e humana.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2.1 O Construtor de Materiais Didáticos Digitais: autoria, interatividade e aprendizagem significativa </w:t>
      </w:r>
    </w:p>
    <w:p w:rsidR="00000000" w:rsidDel="00000000" w:rsidP="00000000" w:rsidRDefault="00000000" w:rsidRPr="00000000" w14:paraId="00000026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A Educação STEAM (Science, Technology, Engineering, Arts and Mathematics) apresenta-se como uma proposta integradora e interdisciplinar que busca envolver os estudantes em projetos reais, estimulando a criatividade, a resolução de problemas e o protagonismo. O termo STEAM deriva do STEM (Science, Technology, Engineering and Mathematics), criado nos Estados Unidos para suprir a escassez de profissionais qualificados nessas áreas, incorporando posteriormente o “A” de Arts para incluir as dimensões humanas e sociais (PUGLIESE, 2017).</w:t>
      </w:r>
    </w:p>
    <w:p w:rsidR="00000000" w:rsidDel="00000000" w:rsidP="00000000" w:rsidRDefault="00000000" w:rsidRPr="00000000" w14:paraId="00000027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Nessa mesma direção, o uso do Construtor de Materiais Didáticos Digitais constitui-se como uma proposta de autoria pedagógica e também de autoria estudantil, permitindo que professores e alunos criem, de forma colaborativa e contextualizada, seus próprios recursos digitais sobre os conceitos matemáticos.</w:t>
      </w:r>
    </w:p>
    <w:p w:rsidR="00000000" w:rsidDel="00000000" w:rsidP="00000000" w:rsidRDefault="00000000" w:rsidRPr="00000000" w14:paraId="00000028">
      <w:pPr>
        <w:spacing w:line="240" w:lineRule="auto"/>
        <w:ind w:left="-566.9291338582675" w:firstLine="72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Figura 1: Construtor</w:t>
      </w:r>
    </w:p>
    <w:p w:rsidR="00000000" w:rsidDel="00000000" w:rsidP="00000000" w:rsidRDefault="00000000" w:rsidRPr="00000000" w14:paraId="00000029">
      <w:pPr>
        <w:spacing w:line="240" w:lineRule="auto"/>
        <w:ind w:left="-566.9291338582675" w:firstLine="72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3155153" cy="208326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153" cy="2083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-566.9291338582675" w:firstLine="72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Fonte:https://codepen.io/kleidivaldo-souza-rodrigues/pen/ZYQXPyz</w:t>
      </w:r>
    </w:p>
    <w:p w:rsidR="00000000" w:rsidDel="00000000" w:rsidP="00000000" w:rsidRDefault="00000000" w:rsidRPr="00000000" w14:paraId="0000002B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A ferramenta possibilita a integração de hipertextos, imagens, vídeos, questões discursivas e de múltipla escolha, além da inserção de simulações e atividades interativas por meio do menu embed, favorecendo a interdisciplinaridade e a aprendizagem criativa.</w:t>
      </w:r>
    </w:p>
    <w:p w:rsidR="00000000" w:rsidDel="00000000" w:rsidP="00000000" w:rsidRDefault="00000000" w:rsidRPr="00000000" w14:paraId="0000002D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     A aplicação web desenvolvida nessa pesquisa se encontra em repositório público e é de código aberto para o uso e readaptação para os diversos contextos de ensino aprendizagem, bastando acessar o link descrito na fonte e copiar ou modificar livremente seu código.</w:t>
      </w:r>
    </w:p>
    <w:p w:rsidR="00000000" w:rsidDel="00000000" w:rsidP="00000000" w:rsidRDefault="00000000" w:rsidRPr="00000000" w14:paraId="0000002E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Ao produzir materiais digitais baseados em problemas reais e no contexto sociocultural dos estudantes, o “construtor” promove o desenvolvimento de competências cognitivas, tecnológicas e socioemocionais, fortalecendo a autonomia, o pensamento crítico e a capacidade de expressão criativa — princípios que dialogam diretamente com a abordagem STEAM e com a formação integral do estudante.</w:t>
      </w:r>
    </w:p>
    <w:p w:rsidR="00000000" w:rsidDel="00000000" w:rsidP="00000000" w:rsidRDefault="00000000" w:rsidRPr="00000000" w14:paraId="0000002F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Além disso, o uso dessa ferramenta em atividades matemáticas contribui para o desenvolvimento de habilidades socioemocionais, como a autoconfiança, ao perceber-se capaz de criar e compartilhar produções digitais próprias; a colaboração e empatia, ao trabalhar de forma conjunta na construção dos materiais; a persistência e autorregulação emocional, ao enfrentar desafios durante o processo criativo; e a comunicação assertiva, ao expressar ideias e soluções com clareza. Dessa forma, o Construtor amplia o papel do estudante de mero consumidor de tecnologia para autor ativo de sua aprendizagem, integrando emoção, criatividade e raciocínio lógico no fazer matemático.</w:t>
      </w:r>
    </w:p>
    <w:p w:rsidR="00000000" w:rsidDel="00000000" w:rsidP="00000000" w:rsidRDefault="00000000" w:rsidRPr="00000000" w14:paraId="00000030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/>
      </w:pPr>
      <w:r w:rsidDel="00000000" w:rsidR="00000000" w:rsidRPr="00000000">
        <w:rPr>
          <w:rtl w:val="0"/>
        </w:rPr>
        <w:t xml:space="preserve">3 METODOLOGIA</w:t>
      </w:r>
    </w:p>
    <w:p w:rsidR="00000000" w:rsidDel="00000000" w:rsidP="00000000" w:rsidRDefault="00000000" w:rsidRPr="00000000" w14:paraId="00000032">
      <w:pPr>
        <w:pStyle w:val="Heading1"/>
        <w:ind w:firstLine="720"/>
        <w:rPr>
          <w:b w:val="0"/>
        </w:rPr>
      </w:pPr>
      <w:r w:rsidDel="00000000" w:rsidR="00000000" w:rsidRPr="00000000">
        <w:rPr>
          <w:b w:val="0"/>
          <w:rtl w:val="0"/>
        </w:rPr>
        <w:t xml:space="preserve">A pesquisa possui abordagem qualitativa, exploratória e descritiva, fundamentada nos princípios da Engenharia Didática em sua fase de análise preliminar e concepção. O estudo não envolveu aplicação em sala de aula, concentrando-se na proposição e desenvolvimento do Construtor de Materiais Didáticos Digitais, uma ferramenta de autoria pedagógica voltada ao ensino de Matemática nos anos iniciais.</w:t>
      </w:r>
    </w:p>
    <w:p w:rsidR="00000000" w:rsidDel="00000000" w:rsidP="00000000" w:rsidRDefault="00000000" w:rsidRPr="00000000" w14:paraId="00000033">
      <w:pPr>
        <w:pStyle w:val="Heading1"/>
        <w:ind w:firstLine="720"/>
        <w:rPr>
          <w:b w:val="0"/>
        </w:rPr>
      </w:pPr>
      <w:r w:rsidDel="00000000" w:rsidR="00000000" w:rsidRPr="00000000">
        <w:rPr>
          <w:b w:val="0"/>
          <w:rtl w:val="0"/>
        </w:rPr>
        <w:t xml:space="preserve">O processo metodológico foi organizado em três etapas: (1) levantamento teórico sobre tecnologias digitais, habilidades socioemocionais e Educação STEAM; (2) desenvolvimento da aplicação web em HTML, CSS e JavaScript, integrando textos, imagens, vídeos, questões discursivas, múltipla escolha e atividades interativas via menu embed; e (3) análise do potencial pedagógico da ferramenta.</w:t>
      </w:r>
    </w:p>
    <w:p w:rsidR="00000000" w:rsidDel="00000000" w:rsidP="00000000" w:rsidRDefault="00000000" w:rsidRPr="00000000" w14:paraId="00000034">
      <w:pPr>
        <w:pStyle w:val="Heading1"/>
        <w:ind w:firstLine="720"/>
        <w:rPr>
          <w:b w:val="0"/>
        </w:rPr>
      </w:pPr>
      <w:r w:rsidDel="00000000" w:rsidR="00000000" w:rsidRPr="00000000">
        <w:rPr>
          <w:b w:val="0"/>
          <w:rtl w:val="0"/>
        </w:rPr>
        <w:t xml:space="preserve">A análise enfatizou o papel do construtor como meio de autoria docente e estudantil, favorecendo a aprendizagem significativa e o desenvolvimento de competências cognitivas e socioemocionais, como criatividade, autonomia e colaboração.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tl w:val="0"/>
        </w:rPr>
        <w:t xml:space="preserve">5 CONSIDERAÇÕES FINAIS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reflexão sobre o uso das tecnologias digitais na Educação Básica, especialmente no ensino de Matemática nos anos iniciais, revela a necessidade de ir além da simples inserção de recursos tecnológicos em sala de aula. É fundamental que essas tecnologias estejam a serviço de práticas pedagógicas que promovam aprendizagem significativa, autonomia e protagonismo discente. Nesse sentido, a proposta do Construtor de Materiais Didáticos Digitais configura-se como uma ferramenta pedagógica capaz de favorecer a autoria docente e estudantil, permitindo que professores e alunos se tornem criadores de seus próprios conteúdos digitais, contextualizados à realidade em que estão inseridos.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desenvolvimento e a proposição dessa ferramenta reforçam a importância de compreender a tecnologia não apenas como um suporte técnico, mas como meio de expressão, criação e reflexão crítica. Quando o estudante é convidado a elaborar materiais didáticos digitais que relacionem conceitos matemáticos a situações do seu cotidiano, ele se envolve de forma mais ativa no processo de aprendizagem, mobilizando tanto o raciocínio lógico quanto competências socioemocionais, como autoconfiança, colaboração, empatia e persistência.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Assim, a autoria e o engajamento dos alunos na produção de materiais digitais representam caminhos promissores para o fortalecimento da aprendizagem em Matemática e para o desenvolvimento integral do sujeito. Tais práticas dialogam com os princípios da Educação STEAM, ao integrar pensamento crítico, criatividade e emoção no processo educativo. Conclui-se, portanto, que a incorporação consciente e reflexiva das tecnologias digitais pode contribuir de maneira efetiva para uma educação matemática mais significativa, inclusiva e conectada aos desafios contemporâneos, na qual o estudante se reconhece como autor e agente ativo da construção do próprio conhecimento.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ALMEIDA, M. E. B.; VALENTE; J. A. Tecnologias e Currículo: trajetórias convergentes ou divergentes? São Paulo: Paulus, 2011.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BELL, D.; MORRISON-LOVE, D.; WOOFF, D.; MCLAIN, M. STEM education in the twenty-first century: learning at work – na exploration of design and technology teacher perceptions and practices, 2018. International Journal of Technology and Design Education. n.10798, jun, p1-17.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BRASIL. MINISTÉRIO DA EDUCAÇÃO. Parâmetros curriculares Nacionais. Brasília: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MEC/SEF, 1997.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BRASIL. Base Nacional Comum Curricular (BNCC). Disponível em: http://basenacionalcomum.mec.gov.br/images/BNCC_EI_EF_110518_versaofinal_site.pdf. Acesso em: 28 out. 2025.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Dolce, Osvaldo. Fundamentos da Matemática Elementar 9: geometria plana. São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Paulo: Atual, 2005.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FREIRE, P. Cuidado, escola: desigualdade, domesticação e algumas saídas. 35a ed. São Paulo: Brasiliense, 1996.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MOREIRA, M. A., MASINI, E. A. F. S. Aprendizagem significativa: a teoria de David Ausubel. São Paulo, Moraes, 1982.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MORAN, J. Mudando a Educação com Metodologias Ativas. In: Coleção Mídias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Contemporâneas. Convergências Midiáticas, Educação e Cidadania: aproximações jovens. Vol. II] Carlos Alberto de Souza e Ofelia Elisa Torres Morales (orgs.). PG: Foca Foto- PROEX/UEPG, 2015.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PAPERT, S. Logo: computadores e educação. São Paulo: Editora Brasiliense, 1985.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Paranhos, Márcia Cristina Rocha. RELAÇÕES ENTRE HABILIDADES SOCIOEMOCIONAIS E INOVAÇÃO PARA ALGUNS LICENCIANDOS EM CIÊNCIAS BIOLÓGICAS. São Cristóvão, Sergipe, 2017.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PUGLIESE, P. G. Os modelos pedagógicos de ensino de ciências em dois programas educacionais baseados em STEM (Science, Technology, Engineering and Mathematics), 2017. 135 f. Dissertação (Mestrado de Genética e Biologia Molecular) - Universidade Estadual De Campinas, Campinas, 2017.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ROGERS, C. Liberdade para Aprender. Belo Horizonte: Ed. Interlivros, 1973.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Santos, Daniel, e Ricardo Primi. Desenvolvimento socioemocional e aprendizado escolar:Uma proposta de mensuração para apoiar políticas públicas. São Paulo: Instituto Ayrton Senna, 2014.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Salovey, Peter, e Jhon D. Mayer. “EMOTIONAL INTELLIGENCE .” Baywood Pub1ishlnl Co., Inc. , 1990: 185-212.</w:t>
      </w:r>
    </w:p>
    <w:sectPr>
      <w:headerReference r:id="rId11" w:type="default"/>
      <w:headerReference r:id="rId12" w:type="first"/>
      <w:headerReference r:id="rId13" w:type="even"/>
      <w:footerReference r:id="rId14" w:type="default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ind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Mestrando em Educação Matemática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rtl w:val="0"/>
        </w:rPr>
        <w:t xml:space="preserve">UNIR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rtl w:val="0"/>
        </w:rPr>
        <w:t xml:space="preserve">Ji-paraná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rtl w:val="0"/>
        </w:rPr>
        <w:t xml:space="preserve">Rondônia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rtl w:val="0"/>
        </w:rPr>
        <w:t xml:space="preserve">Brasil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rtl w:val="0"/>
        </w:rPr>
        <w:t xml:space="preserve">profkleidivaldo@gmail.com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1032" style="position:absolute;left:0;text-align:left;width:452.8pt;height:640.45pt;z-index:-251658239;mso-position-horizontal:center;mso-position-horizontal-relative:margin;mso-position-vertical:center;mso-position-vertical-relative:margin" o:allowincell="f" type="#_x0000_t75">
          <v:imagedata r:id="rId1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1033" style="position:absolute;left:0;text-align:left;margin-left:-70.45pt;margin-top:-101.55pt;width:571.45pt;height:866.35pt;z-index:-251658238;mso-position-horizontal-relative:margin;mso-position-vertical-relative:margin;mso-position-horizontal:absolute;mso-position-vertical:absolute;" o:allowincell="f" type="#_x0000_t75">
          <v:imagedata r:id="rId2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52.8pt;height:640.4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3" o:title="image4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line="259" w:lineRule="auto"/>
        <w:ind w:firstLine="567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firstLine="0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line="360" w:lineRule="auto"/>
      <w:ind w:firstLine="0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026BCD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026BCD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026BCD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4C446D"/>
    <w:rPr>
      <w:rFonts w:ascii="Arial" w:hAnsi="Arial" w:cstheme="majorBidi" w:eastAsiaTheme="majorEastAsia"/>
      <w:b w:val="1"/>
      <w:sz w:val="24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026BC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026BC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026BC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026BCD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026BC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026BCD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026BC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026BCD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link w:val="Ttulo"/>
    <w:uiPriority w:val="10"/>
    <w:rsid w:val="004C446D"/>
    <w:rPr>
      <w:rFonts w:ascii="Arial" w:hAnsi="Arial" w:cstheme="majorBidi" w:eastAsiaTheme="majorEastAsia"/>
      <w:b w:val="1"/>
      <w:spacing w:val="-10"/>
      <w:kern w:val="28"/>
      <w:sz w:val="24"/>
      <w:szCs w:val="56"/>
    </w:rPr>
  </w:style>
  <w:style w:type="character" w:styleId="SubttuloChar" w:customStyle="1">
    <w:name w:val="Subtítulo Char"/>
    <w:basedOn w:val="Fontepargpadro"/>
    <w:link w:val="Subttulo"/>
    <w:uiPriority w:val="11"/>
    <w:rsid w:val="00026BC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026BCD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026BCD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026BCD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026BCD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026BC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026BCD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026BCD"/>
    <w:rPr>
      <w:b w:val="1"/>
      <w:bCs w:val="1"/>
      <w:smallCaps w:val="1"/>
      <w:color w:val="0f4761" w:themeColor="accent1" w:themeShade="0000BF"/>
      <w:spacing w:val="5"/>
    </w:rPr>
  </w:style>
  <w:style w:type="paragraph" w:styleId="Textodenotadefim">
    <w:name w:val="endnote text"/>
    <w:basedOn w:val="Normal"/>
    <w:link w:val="Textodenotadefim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 w:val="1"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Notaderodap" w:customStyle="1">
    <w:name w:val="Nota de rodapé"/>
    <w:basedOn w:val="Textodenotaderodap"/>
    <w:qFormat w:val="1"/>
    <w:rsid w:val="004C446D"/>
    <w:pPr>
      <w:ind w:firstLine="0"/>
    </w:pPr>
    <w:rPr>
      <w:rFonts w:ascii="Arial" w:hAnsi="Arial"/>
      <w:sz w:val="22"/>
    </w:rPr>
  </w:style>
  <w:style w:type="paragraph" w:styleId="Texto" w:customStyle="1">
    <w:name w:val="Texto"/>
    <w:basedOn w:val="Normal"/>
    <w:qFormat w:val="1"/>
    <w:rsid w:val="004C446D"/>
    <w:pPr>
      <w:tabs>
        <w:tab w:val="center" w:pos="4819"/>
      </w:tabs>
      <w:spacing w:line="360" w:lineRule="auto"/>
      <w:ind w:firstLine="709"/>
    </w:pPr>
    <w:rPr>
      <w:rFonts w:ascii="Arial" w:cs="Arial" w:hAnsi="Arial"/>
      <w:sz w:val="24"/>
      <w:szCs w:val="24"/>
    </w:rPr>
  </w:style>
  <w:style w:type="paragraph" w:styleId="Resumo" w:customStyle="1">
    <w:name w:val="Resumo"/>
    <w:basedOn w:val="Normal"/>
    <w:qFormat w:val="1"/>
    <w:rsid w:val="004C446D"/>
    <w:pPr>
      <w:spacing w:line="240" w:lineRule="auto"/>
      <w:ind w:firstLine="0"/>
    </w:pPr>
    <w:rPr>
      <w:rFonts w:ascii="Arial" w:cs="Arial" w:hAnsi="Arial"/>
      <w:sz w:val="24"/>
      <w:szCs w:val="24"/>
    </w:rPr>
  </w:style>
  <w:style w:type="paragraph" w:styleId="TtulosNoNumerados" w:customStyle="1">
    <w:name w:val="Títulos Não Numerados"/>
    <w:basedOn w:val="Normal"/>
    <w:qFormat w:val="1"/>
    <w:rsid w:val="004C446D"/>
    <w:pPr>
      <w:spacing w:line="360" w:lineRule="auto"/>
      <w:ind w:firstLine="0"/>
      <w:jc w:val="left"/>
    </w:pPr>
    <w:rPr>
      <w:rFonts w:ascii="Arial" w:cs="Arial" w:hAnsi="Arial"/>
      <w:b w:val="1"/>
      <w:bCs w:val="1"/>
      <w:sz w:val="24"/>
      <w:szCs w:val="24"/>
    </w:rPr>
  </w:style>
  <w:style w:type="paragraph" w:styleId="Autoria" w:customStyle="1">
    <w:name w:val="Autoria"/>
    <w:basedOn w:val="Normal"/>
    <w:qFormat w:val="1"/>
    <w:rsid w:val="004C446D"/>
    <w:pPr>
      <w:spacing w:line="240" w:lineRule="auto"/>
      <w:ind w:firstLine="0"/>
      <w:jc w:val="right"/>
    </w:pPr>
    <w:rPr>
      <w:rFonts w:ascii="Arial" w:cs="Arial" w:hAnsi="Arial"/>
      <w:szCs w:val="24"/>
    </w:rPr>
  </w:style>
  <w:style w:type="paragraph" w:styleId="Referncias" w:customStyle="1">
    <w:name w:val="Referências"/>
    <w:basedOn w:val="Texto"/>
    <w:qFormat w:val="1"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 w:val="1"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D5392"/>
    <w:rPr>
      <w:color w:val="605e5c"/>
      <w:shd w:color="auto" w:fill="e1dfdd" w:val="clear"/>
    </w:rPr>
  </w:style>
  <w:style w:type="paragraph" w:styleId="Cabealho">
    <w:name w:val="header"/>
    <w:basedOn w:val="Normal"/>
    <w:link w:val="Cabealho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spacing w:after="160" w:lineRule="auto"/>
      <w:ind w:firstLine="567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9" Type="http://schemas.openxmlformats.org/officeDocument/2006/relationships/customXml" Target="../customXML/item1.xml"/><Relationship Id="rId1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Play-regular.ttf"/><Relationship Id="rId4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6oG0cXyECD5fP8ZVcl4EYs5rQ==">CgMxLjA4AHIhMVQ2TnJwRHhsMjFZVUFnZjBfdVRVb0YwQmplQWhoakNC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2025-10-13T17:17:00Z</dcterms:created>
  <dc:creator>Kelly Ayanna Peters Barros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