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34F032" w14:textId="77777777" w:rsidR="00606C2C" w:rsidRDefault="00000000">
      <w:pPr>
        <w:spacing w:before="0" w:after="0" w:line="240" w:lineRule="auto"/>
        <w:ind w:left="1" w:hanging="3"/>
        <w:jc w:val="center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>ADOLESCENTE COM NECESSIDADE ESPECIAL E O DESAFIO DE PROMOVER EDUCAÇÃO EM SAÚDE: relato de experiência</w:t>
      </w:r>
    </w:p>
    <w:p w14:paraId="36EF702D" w14:textId="77777777" w:rsidR="00606C2C" w:rsidRDefault="00606C2C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1AAF492A" w14:textId="06A57A80" w:rsidR="00606C2C" w:rsidRDefault="00000000">
      <w:pPr>
        <w:spacing w:before="0" w:after="0" w:line="276" w:lineRule="auto"/>
        <w:ind w:left="0" w:hanging="2"/>
        <w:jc w:val="right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Thulyo Monteiro Moraes, Universidade Federal do Norte do Tocantins,</w:t>
      </w:r>
    </w:p>
    <w:p w14:paraId="5196896D" w14:textId="77777777" w:rsidR="00606C2C" w:rsidRDefault="00000000">
      <w:pPr>
        <w:spacing w:before="0" w:after="0" w:line="276" w:lineRule="auto"/>
        <w:ind w:left="0" w:hanging="2"/>
        <w:jc w:val="right"/>
        <w:rPr>
          <w:rFonts w:ascii="Open Sans" w:eastAsia="Open Sans" w:hAnsi="Open Sans" w:cs="Open Sans"/>
        </w:rPr>
      </w:pPr>
      <w:hyperlink r:id="rId8">
        <w:r>
          <w:rPr>
            <w:rFonts w:ascii="Open Sans" w:eastAsia="Open Sans" w:hAnsi="Open Sans" w:cs="Open Sans"/>
            <w:color w:val="1155CC"/>
            <w:u w:val="single"/>
          </w:rPr>
          <w:t>thulyo.moraes@ufnt.edu.br</w:t>
        </w:r>
      </w:hyperlink>
    </w:p>
    <w:p w14:paraId="17230B25" w14:textId="77777777" w:rsidR="00606C2C" w:rsidRDefault="00000000">
      <w:pPr>
        <w:spacing w:before="0" w:after="0" w:line="276" w:lineRule="auto"/>
        <w:ind w:left="0" w:hanging="2"/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Lívia Maria Sousa Mesquita, Universidade Federal do Norte do Tocantins,</w:t>
      </w:r>
      <w:r>
        <w:rPr>
          <w:rFonts w:ascii="Open Sans" w:eastAsia="Open Sans" w:hAnsi="Open Sans" w:cs="Open Sans"/>
        </w:rPr>
        <w:t xml:space="preserve"> </w:t>
      </w:r>
      <w:hyperlink r:id="rId9">
        <w:r>
          <w:rPr>
            <w:rFonts w:ascii="Open Sans" w:eastAsia="Open Sans" w:hAnsi="Open Sans" w:cs="Open Sans"/>
            <w:color w:val="1155CC"/>
            <w:u w:val="single"/>
          </w:rPr>
          <w:t>livia.mesquita@ufnt.edu.br</w:t>
        </w:r>
      </w:hyperlink>
      <w:r>
        <w:rPr>
          <w:rFonts w:ascii="Open Sans" w:eastAsia="Open Sans" w:hAnsi="Open Sans" w:cs="Open Sans"/>
        </w:rPr>
        <w:t xml:space="preserve"> </w:t>
      </w:r>
    </w:p>
    <w:p w14:paraId="366F372D" w14:textId="77777777" w:rsidR="00606C2C" w:rsidRDefault="00000000">
      <w:pPr>
        <w:spacing w:before="0" w:after="0" w:line="276" w:lineRule="auto"/>
        <w:ind w:left="0" w:hanging="2"/>
        <w:jc w:val="right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Ana Beatriz Pereira de Souza, Universidade Federal do Norte do Tocantins,</w:t>
      </w:r>
    </w:p>
    <w:p w14:paraId="63A47DAE" w14:textId="77777777" w:rsidR="00606C2C" w:rsidRDefault="00000000">
      <w:pPr>
        <w:spacing w:before="0" w:after="0" w:line="276" w:lineRule="auto"/>
        <w:ind w:left="0" w:hanging="2"/>
        <w:jc w:val="right"/>
        <w:rPr>
          <w:rFonts w:ascii="Open Sans" w:eastAsia="Open Sans" w:hAnsi="Open Sans" w:cs="Open Sans"/>
        </w:rPr>
      </w:pPr>
      <w:hyperlink r:id="rId10">
        <w:r>
          <w:rPr>
            <w:rFonts w:ascii="Open Sans" w:eastAsia="Open Sans" w:hAnsi="Open Sans" w:cs="Open Sans"/>
            <w:color w:val="1155CC"/>
            <w:u w:val="single"/>
          </w:rPr>
          <w:t>ana.pereira@ufnt.edu.br</w:t>
        </w:r>
      </w:hyperlink>
      <w:r>
        <w:rPr>
          <w:rFonts w:ascii="Open Sans" w:eastAsia="Open Sans" w:hAnsi="Open Sans" w:cs="Open Sans"/>
        </w:rPr>
        <w:t xml:space="preserve"> </w:t>
      </w:r>
    </w:p>
    <w:p w14:paraId="38766F3A" w14:textId="77777777" w:rsidR="00606C2C" w:rsidRDefault="00000000">
      <w:pPr>
        <w:spacing w:before="0" w:after="0" w:line="276" w:lineRule="auto"/>
        <w:ind w:left="0" w:hanging="2"/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 xml:space="preserve">Joaquim Guerra de Oliveira Neto, Universidade Federal do Norte do Tocantins, </w:t>
      </w:r>
      <w:hyperlink r:id="rId11">
        <w:r>
          <w:rPr>
            <w:rFonts w:ascii="Open Sans" w:eastAsia="Open Sans" w:hAnsi="Open Sans" w:cs="Open Sans"/>
            <w:color w:val="1155CC"/>
            <w:u w:val="single"/>
          </w:rPr>
          <w:t>joaquim.neto@ufnt.edu.br</w:t>
        </w:r>
      </w:hyperlink>
      <w:r>
        <w:rPr>
          <w:rFonts w:ascii="Open Sans" w:eastAsia="Open Sans" w:hAnsi="Open Sans" w:cs="Open Sans"/>
        </w:rPr>
        <w:t xml:space="preserve">, </w:t>
      </w:r>
    </w:p>
    <w:p w14:paraId="3295D6F1" w14:textId="77777777" w:rsidR="00606C2C" w:rsidRDefault="00000000">
      <w:pPr>
        <w:spacing w:before="0" w:after="0" w:line="276" w:lineRule="auto"/>
        <w:ind w:left="0" w:hanging="2"/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 xml:space="preserve">Carolina Galgane Lage Miranda, Universidade Federal do Norte do Tocantins, </w:t>
      </w:r>
      <w:hyperlink r:id="rId12">
        <w:r>
          <w:rPr>
            <w:rFonts w:ascii="Open Sans" w:eastAsia="Open Sans" w:hAnsi="Open Sans" w:cs="Open Sans"/>
            <w:color w:val="1155CC"/>
            <w:u w:val="single"/>
          </w:rPr>
          <w:t>carolina.miranda@ufnt.edu.br</w:t>
        </w:r>
      </w:hyperlink>
    </w:p>
    <w:p w14:paraId="3963B158" w14:textId="77777777" w:rsidR="00606C2C" w:rsidRDefault="00606C2C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409755FC" w14:textId="77777777" w:rsidR="00606C2C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>I.</w:t>
      </w:r>
      <w:r>
        <w:rPr>
          <w:rFonts w:ascii="Open Sans" w:eastAsia="Open Sans" w:hAnsi="Open Sans" w:cs="Open Sans"/>
          <w:b/>
          <w:sz w:val="28"/>
          <w:szCs w:val="28"/>
        </w:rPr>
        <w:tab/>
      </w:r>
      <w:r>
        <w:rPr>
          <w:rFonts w:ascii="Open Sans" w:eastAsia="Open Sans" w:hAnsi="Open Sans" w:cs="Open Sans"/>
          <w:b/>
          <w:color w:val="000000"/>
          <w:sz w:val="28"/>
          <w:szCs w:val="28"/>
        </w:rPr>
        <w:t>Resumo</w:t>
      </w:r>
    </w:p>
    <w:p w14:paraId="08CA764C" w14:textId="22439ED0" w:rsidR="00606C2C" w:rsidRDefault="00000000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Objetivo: relatar a experiência de acadêmicos de medicina ao conduzir atividades educativas sobre Infecções Sexualmente Transmissíveis (</w:t>
      </w:r>
      <w:proofErr w:type="spellStart"/>
      <w:r>
        <w:rPr>
          <w:rFonts w:ascii="Open Sans" w:eastAsia="Open Sans" w:hAnsi="Open Sans" w:cs="Open Sans"/>
        </w:rPr>
        <w:t>ISTs</w:t>
      </w:r>
      <w:proofErr w:type="spellEnd"/>
      <w:r>
        <w:rPr>
          <w:rFonts w:ascii="Open Sans" w:eastAsia="Open Sans" w:hAnsi="Open Sans" w:cs="Open Sans"/>
        </w:rPr>
        <w:t xml:space="preserve">) e métodos contraceptivos em turma de aluno com necessidade especial. Método: trata-se de um estudo descritivo, tipo relato de experiência. O desenvolvimento da atividade foi </w:t>
      </w:r>
      <w:proofErr w:type="gramStart"/>
      <w:r>
        <w:rPr>
          <w:rFonts w:ascii="Open Sans" w:eastAsia="Open Sans" w:hAnsi="Open Sans" w:cs="Open Sans"/>
        </w:rPr>
        <w:t>baseada</w:t>
      </w:r>
      <w:proofErr w:type="gramEnd"/>
      <w:r>
        <w:rPr>
          <w:rFonts w:ascii="Open Sans" w:eastAsia="Open Sans" w:hAnsi="Open Sans" w:cs="Open Sans"/>
        </w:rPr>
        <w:t xml:space="preserve"> em rodas de conversa, com explicação e demonstração do uso correto de preservativos masculino e femi</w:t>
      </w:r>
      <w:r w:rsidR="003E15AF">
        <w:rPr>
          <w:rFonts w:ascii="Open Sans" w:eastAsia="Open Sans" w:hAnsi="Open Sans" w:cs="Open Sans"/>
        </w:rPr>
        <w:t>ni</w:t>
      </w:r>
      <w:r>
        <w:rPr>
          <w:rFonts w:ascii="Open Sans" w:eastAsia="Open Sans" w:hAnsi="Open Sans" w:cs="Open Sans"/>
        </w:rPr>
        <w:t>no, e demais métodos contraceptivos, tais como pílula anticoncepcional, pílula de emergência e dispositivo intrauterino (DIU). Resultados: Foram muitos desafios durante o desenvolvimento da atividade, o maior deles o aporte necessário para alunos com deficiência. Conclusão: os acadêmicos necessitam de preparo para se comunicar e interagir de forma mais adequada com alunos com comprometimento cognitivo, sendo importante como profissionais de saúde estarem aptos a atender as individualidades dessa parcela da população.</w:t>
      </w:r>
    </w:p>
    <w:p w14:paraId="71493369" w14:textId="011CD051" w:rsidR="00606C2C" w:rsidRDefault="00000000" w:rsidP="003E15AF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Palavras-chave</w:t>
      </w:r>
      <w:r>
        <w:rPr>
          <w:rFonts w:ascii="Open Sans" w:eastAsia="Open Sans" w:hAnsi="Open Sans" w:cs="Open Sans"/>
        </w:rPr>
        <w:t>: Educação em Saúde, Deficiência, Inclusão.</w:t>
      </w:r>
    </w:p>
    <w:p w14:paraId="78595B64" w14:textId="77777777" w:rsidR="003E15AF" w:rsidRDefault="003E15AF" w:rsidP="003E15AF">
      <w:pPr>
        <w:spacing w:before="0" w:after="0" w:line="240" w:lineRule="auto"/>
        <w:ind w:leftChars="0" w:left="0" w:firstLineChars="0" w:firstLine="0"/>
        <w:rPr>
          <w:rFonts w:ascii="Open Sans" w:eastAsia="Open Sans" w:hAnsi="Open Sans" w:cs="Open Sans"/>
        </w:rPr>
      </w:pPr>
    </w:p>
    <w:p w14:paraId="33ABA756" w14:textId="77777777" w:rsidR="003E15AF" w:rsidRDefault="003E15AF" w:rsidP="003E15AF">
      <w:pPr>
        <w:spacing w:before="0" w:after="0" w:line="240" w:lineRule="auto"/>
        <w:ind w:leftChars="0" w:left="0" w:firstLineChars="0" w:firstLine="0"/>
        <w:rPr>
          <w:rFonts w:ascii="Open Sans" w:eastAsia="Open Sans" w:hAnsi="Open Sans" w:cs="Open Sans"/>
        </w:rPr>
      </w:pPr>
    </w:p>
    <w:p w14:paraId="159417AE" w14:textId="77777777" w:rsidR="003E15AF" w:rsidRDefault="003E15AF" w:rsidP="003E15AF">
      <w:pPr>
        <w:spacing w:before="0" w:after="0" w:line="240" w:lineRule="auto"/>
        <w:ind w:leftChars="0" w:left="0" w:firstLineChars="0" w:firstLine="0"/>
        <w:rPr>
          <w:rFonts w:ascii="Open Sans" w:eastAsia="Open Sans" w:hAnsi="Open Sans" w:cs="Open Sans"/>
        </w:rPr>
      </w:pPr>
    </w:p>
    <w:p w14:paraId="2C26A8FA" w14:textId="77777777" w:rsidR="003E15AF" w:rsidRPr="003E15AF" w:rsidRDefault="003E15AF" w:rsidP="003E15AF">
      <w:pPr>
        <w:spacing w:before="0" w:after="0" w:line="240" w:lineRule="auto"/>
        <w:ind w:leftChars="0" w:left="0" w:firstLineChars="0" w:firstLine="0"/>
        <w:rPr>
          <w:rFonts w:ascii="Open Sans" w:eastAsia="Open Sans" w:hAnsi="Open Sans" w:cs="Open Sans"/>
        </w:rPr>
      </w:pPr>
    </w:p>
    <w:p w14:paraId="204635A3" w14:textId="77777777" w:rsidR="00606C2C" w:rsidRDefault="00000000">
      <w:pPr>
        <w:spacing w:before="0" w:after="0" w:line="36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lastRenderedPageBreak/>
        <w:t>II.</w:t>
      </w:r>
      <w:r>
        <w:rPr>
          <w:rFonts w:ascii="Open Sans" w:eastAsia="Open Sans" w:hAnsi="Open Sans" w:cs="Open Sans"/>
          <w:b/>
          <w:sz w:val="28"/>
          <w:szCs w:val="28"/>
        </w:rPr>
        <w:tab/>
        <w:t xml:space="preserve"> </w:t>
      </w:r>
      <w:r>
        <w:rPr>
          <w:rFonts w:ascii="Open Sans" w:eastAsia="Open Sans" w:hAnsi="Open Sans" w:cs="Open Sans"/>
          <w:b/>
          <w:color w:val="000000"/>
          <w:sz w:val="28"/>
          <w:szCs w:val="28"/>
        </w:rPr>
        <w:t>Introdução</w:t>
      </w:r>
    </w:p>
    <w:p w14:paraId="408476AC" w14:textId="77777777" w:rsidR="00606C2C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 lei define a pessoa com deficiência aquela que possui impedimentos a longo prazo seja nas formas física, mental, intelectual ou sensorial, que diante de uma ou mais barreiras pode minimizar sua participação plena e efetiva na sociedade com igualdade nas condições com as demais pessoas (PORTARIA Nº 1.526, 2023).</w:t>
      </w:r>
    </w:p>
    <w:p w14:paraId="34C970C3" w14:textId="77777777" w:rsidR="00606C2C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Nesse sentido, sendo a comunicação um elemento importante para estabelecer relações interpessoais, essa pode apresentar diversas barreiras quando relacionadas </w:t>
      </w:r>
      <w:proofErr w:type="gramStart"/>
      <w:r>
        <w:rPr>
          <w:rFonts w:ascii="Open Sans" w:eastAsia="Open Sans" w:hAnsi="Open Sans" w:cs="Open Sans"/>
        </w:rPr>
        <w:t>à</w:t>
      </w:r>
      <w:proofErr w:type="gramEnd"/>
      <w:r>
        <w:rPr>
          <w:rFonts w:ascii="Open Sans" w:eastAsia="Open Sans" w:hAnsi="Open Sans" w:cs="Open Sans"/>
        </w:rPr>
        <w:t xml:space="preserve"> pessoas com deficiência. Por conseguinte, o direito à saúde e à informação pode não ser atendido integralmente devido ao despreparo dos profissionais de saúde em promover uma comunicação satisfatória com esse público (Fernandes </w:t>
      </w:r>
      <w:r>
        <w:rPr>
          <w:rFonts w:ascii="Open Sans" w:eastAsia="Open Sans" w:hAnsi="Open Sans" w:cs="Open Sans"/>
          <w:i/>
        </w:rPr>
        <w:t>et al.</w:t>
      </w:r>
      <w:r>
        <w:rPr>
          <w:rFonts w:ascii="Open Sans" w:eastAsia="Open Sans" w:hAnsi="Open Sans" w:cs="Open Sans"/>
        </w:rPr>
        <w:t xml:space="preserve">, 2009; Trigueiro Filho </w:t>
      </w:r>
      <w:r>
        <w:rPr>
          <w:rFonts w:ascii="Open Sans" w:eastAsia="Open Sans" w:hAnsi="Open Sans" w:cs="Open Sans"/>
          <w:i/>
        </w:rPr>
        <w:t>et al.</w:t>
      </w:r>
      <w:r>
        <w:rPr>
          <w:rFonts w:ascii="Open Sans" w:eastAsia="Open Sans" w:hAnsi="Open Sans" w:cs="Open Sans"/>
        </w:rPr>
        <w:t xml:space="preserve">, 2013). </w:t>
      </w:r>
    </w:p>
    <w:p w14:paraId="2EF7BF3C" w14:textId="77777777" w:rsidR="00606C2C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Entre os assuntos relacionados à saúde, destaca-se entre eles as Infecções Sexualmente Transmissíveis, que podem ser contraídas por pessoas de diferentes faixas etárias e ambos os sexos, deficientes ou não. Nesse sentido, a pessoa deficiente pode apresentar um nível de aprendizagem comprometido, aumentando a probabilidade de tais pessoas adquirirem essas patologias (Fernandes </w:t>
      </w:r>
      <w:r>
        <w:rPr>
          <w:rFonts w:ascii="Open Sans" w:eastAsia="Open Sans" w:hAnsi="Open Sans" w:cs="Open Sans"/>
          <w:i/>
        </w:rPr>
        <w:t>et al</w:t>
      </w:r>
      <w:r>
        <w:rPr>
          <w:rFonts w:ascii="Open Sans" w:eastAsia="Open Sans" w:hAnsi="Open Sans" w:cs="Open Sans"/>
        </w:rPr>
        <w:t>., 2009).</w:t>
      </w:r>
    </w:p>
    <w:p w14:paraId="717024D4" w14:textId="77777777" w:rsidR="00606C2C" w:rsidRDefault="00606C2C">
      <w:p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0" w:hanging="2"/>
        <w:rPr>
          <w:rFonts w:ascii="Open Sans" w:eastAsia="Open Sans" w:hAnsi="Open Sans" w:cs="Open Sans"/>
        </w:rPr>
      </w:pPr>
    </w:p>
    <w:p w14:paraId="7641D684" w14:textId="77777777" w:rsidR="00606C2C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>III.</w:t>
      </w:r>
      <w:r>
        <w:rPr>
          <w:rFonts w:ascii="Open Sans" w:eastAsia="Open Sans" w:hAnsi="Open Sans" w:cs="Open Sans"/>
          <w:b/>
          <w:sz w:val="28"/>
          <w:szCs w:val="28"/>
        </w:rPr>
        <w:tab/>
      </w:r>
      <w:r>
        <w:rPr>
          <w:rFonts w:ascii="Open Sans" w:eastAsia="Open Sans" w:hAnsi="Open Sans" w:cs="Open Sans"/>
          <w:b/>
          <w:color w:val="000000"/>
          <w:sz w:val="28"/>
          <w:szCs w:val="28"/>
        </w:rPr>
        <w:t>Objetivos</w:t>
      </w:r>
    </w:p>
    <w:p w14:paraId="56CF8FBF" w14:textId="77777777" w:rsidR="00606C2C" w:rsidRDefault="00000000">
      <w:pPr>
        <w:numPr>
          <w:ilvl w:val="0"/>
          <w:numId w:val="1"/>
        </w:num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Relatar a experiência de acadêmicos de medicina ao conduzir atividades educativas </w:t>
      </w:r>
      <w:proofErr w:type="gramStart"/>
      <w:r>
        <w:rPr>
          <w:rFonts w:ascii="Open Sans" w:eastAsia="Open Sans" w:hAnsi="Open Sans" w:cs="Open Sans"/>
        </w:rPr>
        <w:t>sobre  Infecções</w:t>
      </w:r>
      <w:proofErr w:type="gramEnd"/>
      <w:r>
        <w:rPr>
          <w:rFonts w:ascii="Open Sans" w:eastAsia="Open Sans" w:hAnsi="Open Sans" w:cs="Open Sans"/>
        </w:rPr>
        <w:t xml:space="preserve"> Sexualmente Transmissíveis (</w:t>
      </w:r>
      <w:proofErr w:type="spellStart"/>
      <w:r>
        <w:rPr>
          <w:rFonts w:ascii="Open Sans" w:eastAsia="Open Sans" w:hAnsi="Open Sans" w:cs="Open Sans"/>
        </w:rPr>
        <w:t>ISTs</w:t>
      </w:r>
      <w:proofErr w:type="spellEnd"/>
      <w:r>
        <w:rPr>
          <w:rFonts w:ascii="Open Sans" w:eastAsia="Open Sans" w:hAnsi="Open Sans" w:cs="Open Sans"/>
        </w:rPr>
        <w:t xml:space="preserve">) e métodos contraceptivos em turma de aluno com necessidade especial. </w:t>
      </w:r>
    </w:p>
    <w:p w14:paraId="73CA6DB9" w14:textId="77777777" w:rsidR="00606C2C" w:rsidRDefault="00000000">
      <w:pPr>
        <w:numPr>
          <w:ilvl w:val="1"/>
          <w:numId w:val="1"/>
        </w:num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Descrever dificuldades encontradas pelos acadêmicos ao desenvolver atividades educativas com estudantes que apresentam limitações cognitivas.</w:t>
      </w:r>
    </w:p>
    <w:p w14:paraId="37E03C28" w14:textId="77777777" w:rsidR="00606C2C" w:rsidRDefault="00606C2C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30709E61" w14:textId="77777777" w:rsidR="00606C2C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lastRenderedPageBreak/>
        <w:t>IV.</w:t>
      </w:r>
      <w:r>
        <w:rPr>
          <w:rFonts w:ascii="Open Sans" w:eastAsia="Open Sans" w:hAnsi="Open Sans" w:cs="Open Sans"/>
          <w:b/>
          <w:sz w:val="28"/>
          <w:szCs w:val="28"/>
        </w:rPr>
        <w:tab/>
        <w:t>Metodologia</w:t>
      </w:r>
    </w:p>
    <w:p w14:paraId="6B78AC87" w14:textId="77777777" w:rsidR="00606C2C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Trata-se de um relato de experiência vivenciado a partir de uma atividade de extensão sobre Infecções Sexualmente Transmissível e Métodos Contraceptivos, realizada por acadêmicos do curso de Medicina da Universidade Federal no Norte do Tocantins (UFNT). Tal projeto era vinculado ao Programa Institucional de Extensão (PIBEX Norte 2023) e ocorreu de agosto de 2023 a agosto de 2024. </w:t>
      </w:r>
    </w:p>
    <w:p w14:paraId="0F7FA737" w14:textId="77777777" w:rsidR="00606C2C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As etapas de realização das atividades do projeto foram divididas em “Momentos”. No Momento 1 foi elaborado o mapeamento das escolas por região utilizando a ferramenta Google Maps. O Momento 2 procedeu-se com a confecção do Roteiro da Roda de Conversa que foi usado para guiar a apresentação dos acadêmicos, com perguntas que fomentam a interação do público de alunos, além disso foi produzido panfletos e um banner. O Momento 3 destinado às visitas in loco às escolas participantes do projeto para reunião com coordenador da escola com intuito de explicar sobre as atividades do projeto e verificar a quantidade de alunos matriculados. Nesse mesmo período realizou-se a reunião dos endereços das Unidades Básicas de Saúde (UBS) adscritas às escolas e quais faziam teste rápido para diagnóstico de IST’s. O Momento 4 foi destinado a adquirir as próteses genitais masculina e feminina, juntamente com os outros materiais como preservativos, dispositivo intrauterino (DIU), cartelas de anticoncepcionais e pílulas de emergência. No Momento 5 realizou a ida às escolas para realizar as ações de roda de conversa, separando meninos e meninas em salas diferentes, cada sala na responsabilidade de acadêmicos do devido gênero no intuito de não haver constrangimentos nas perguntas e dúvidas dos adolescentes. </w:t>
      </w:r>
    </w:p>
    <w:p w14:paraId="2F3E9950" w14:textId="77777777" w:rsidR="00606C2C" w:rsidRDefault="00606C2C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0F8C4B9C" w14:textId="77777777" w:rsidR="00606C2C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1" w:hanging="3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>V.</w:t>
      </w:r>
      <w:r>
        <w:rPr>
          <w:rFonts w:ascii="Open Sans" w:eastAsia="Open Sans" w:hAnsi="Open Sans" w:cs="Open Sans"/>
          <w:b/>
          <w:sz w:val="28"/>
          <w:szCs w:val="28"/>
        </w:rPr>
        <w:tab/>
        <w:t>Resultados e Discussões</w:t>
      </w:r>
    </w:p>
    <w:p w14:paraId="143D6655" w14:textId="77777777" w:rsidR="00606C2C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 xml:space="preserve">       O projeto de extensão foi realizado conforme o cronograma estabelecido, alcançando as escolas mapeadas para apresentação do projeto e realização das rodas de conversa sobre Infecções Sexualmente Transmissíveis (</w:t>
      </w:r>
      <w:proofErr w:type="spellStart"/>
      <w:r>
        <w:rPr>
          <w:rFonts w:ascii="Open Sans" w:eastAsia="Open Sans" w:hAnsi="Open Sans" w:cs="Open Sans"/>
        </w:rPr>
        <w:t>ISTs</w:t>
      </w:r>
      <w:proofErr w:type="spellEnd"/>
      <w:r>
        <w:rPr>
          <w:rFonts w:ascii="Open Sans" w:eastAsia="Open Sans" w:hAnsi="Open Sans" w:cs="Open Sans"/>
        </w:rPr>
        <w:t xml:space="preserve">) e Métodos Contraceptivos. </w:t>
      </w:r>
    </w:p>
    <w:p w14:paraId="128B895F" w14:textId="77777777" w:rsidR="00606C2C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         Ao longo do projeto de </w:t>
      </w:r>
      <w:proofErr w:type="gramStart"/>
      <w:r>
        <w:rPr>
          <w:rFonts w:ascii="Open Sans" w:eastAsia="Open Sans" w:hAnsi="Open Sans" w:cs="Open Sans"/>
        </w:rPr>
        <w:t>extensão ,</w:t>
      </w:r>
      <w:proofErr w:type="gramEnd"/>
      <w:r>
        <w:rPr>
          <w:rFonts w:ascii="Open Sans" w:eastAsia="Open Sans" w:hAnsi="Open Sans" w:cs="Open Sans"/>
        </w:rPr>
        <w:t xml:space="preserve"> muitos foram os desafios, imprevistos, ocorridos no decorrer das ações, especialmente em relação à inclusão de alunos com necessidades especiais. Em uma das escolas visitadas, durante a etapa de roda de conversa, em uma turma contendo cerca de 20 meninos, havia um aluno com necessidade especial e tal aluno estava acompanhado por uma cuidadora.</w:t>
      </w:r>
    </w:p>
    <w:p w14:paraId="0E21C7B9" w14:textId="77777777" w:rsidR="00606C2C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Com o propósito de mitigar constrangimentos, o projeto previa a separação dos alunos por gênero para evitar constrangimentos, logo, foi necessário solicitar que a cuidadora do aluno especial se retirasse da sala durante a atividade. No decorrer da exposição dos materiais tais como prótese genitais masculina e feminina (figura 1), preservativos e dispositivo intrauterino (DIU), usados para elucidação das dúvidas geradas, observou-se que o aluno em situação de necessidade especial passou a manusear as peças com curiosidade, causando dispersão dos demais estudantes no momento da palestra.</w:t>
      </w:r>
    </w:p>
    <w:p w14:paraId="40F7BF40" w14:textId="77777777" w:rsidR="00606C2C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Diante dessa situação, o acadêmico de medicina que guiava a ação, necessitou recolher os materiais na tentativa de controlar os demais adolescentes que perderam a atenção nos assuntos discutidos. Feito isto e embora tenha controlado por um momento, os acadêmicos perceberam a necessidade de uma atenção mais específica em casos como esse. Experienciou-se, ainda, a sensação de despreparo da equipe para lidar com esse tipo de situação, onde alunos com necessidades especiais demandam estratégias diferenciadas de educação em saúde.</w:t>
      </w:r>
    </w:p>
    <w:p w14:paraId="7B70D92E" w14:textId="77777777" w:rsidR="00606C2C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         Conhecer e compreender as várias </w:t>
      </w:r>
      <w:proofErr w:type="gramStart"/>
      <w:r>
        <w:rPr>
          <w:rFonts w:ascii="Open Sans" w:eastAsia="Open Sans" w:hAnsi="Open Sans" w:cs="Open Sans"/>
        </w:rPr>
        <w:t>questões que envolvem o atendimento às pessoas com deficiência vai</w:t>
      </w:r>
      <w:proofErr w:type="gramEnd"/>
      <w:r>
        <w:rPr>
          <w:rFonts w:ascii="Open Sans" w:eastAsia="Open Sans" w:hAnsi="Open Sans" w:cs="Open Sans"/>
        </w:rPr>
        <w:t xml:space="preserve"> favorecer a interação entre pacientes e médicos, reduzindo significativamente o desconforto de ambos (Chaveiro </w:t>
      </w:r>
      <w:r>
        <w:rPr>
          <w:rFonts w:ascii="Open Sans" w:eastAsia="Open Sans" w:hAnsi="Open Sans" w:cs="Open Sans"/>
          <w:i/>
        </w:rPr>
        <w:t>et al.</w:t>
      </w:r>
      <w:r>
        <w:rPr>
          <w:rFonts w:ascii="Open Sans" w:eastAsia="Open Sans" w:hAnsi="Open Sans" w:cs="Open Sans"/>
        </w:rPr>
        <w:t xml:space="preserve">,2009). Além disso, </w:t>
      </w:r>
      <w:r>
        <w:rPr>
          <w:rFonts w:ascii="Open Sans" w:eastAsia="Open Sans" w:hAnsi="Open Sans" w:cs="Open Sans"/>
          <w:highlight w:val="white"/>
        </w:rPr>
        <w:t xml:space="preserve">A grande </w:t>
      </w:r>
      <w:r>
        <w:rPr>
          <w:rFonts w:ascii="Open Sans" w:eastAsia="Open Sans" w:hAnsi="Open Sans" w:cs="Open Sans"/>
          <w:highlight w:val="white"/>
        </w:rPr>
        <w:lastRenderedPageBreak/>
        <w:t xml:space="preserve">maioria dos médicos se sente desconfortável por não conseguir uma comunicação efetiva com esses pacientes (Tavares: Cardoso: Brito, 2022). </w:t>
      </w:r>
      <w:r>
        <w:rPr>
          <w:rFonts w:ascii="Open Sans" w:eastAsia="Open Sans" w:hAnsi="Open Sans" w:cs="Open Sans"/>
        </w:rPr>
        <w:t>Nesse sentido, é fundamental que os acadêmicos de medicina reconheçam a singularidade de cada aluno e busque estratégias alternativas para garantir a inclusão e o aprendizado durante as ações.</w:t>
      </w:r>
    </w:p>
    <w:p w14:paraId="3348BF3C" w14:textId="77777777" w:rsidR="00606C2C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No caso específico relatado, percebeu-se a importância de capacitar a equipe para lidar com diferentes formas de interação e compreensão, utilizando abordagens ou recursos visuais adaptados que possam engajar o aluno sem desviar a atenção dos demais. Por outro lado, a falta de comunicação com a equipe escolar e os cuidadores, a fim de planejar, previamente, as ações, reforçam ainda mais a necessidade de um melhor preparo para lidar com esse tipo de situação e promover um ambiente de aprendizado mais inclusivo e acolhedor.</w:t>
      </w:r>
    </w:p>
    <w:p w14:paraId="08DD2EA7" w14:textId="77777777" w:rsidR="00606C2C" w:rsidRDefault="00000000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Figura 1 - Representação das próteses utilizadas na ação de extensão. Araguaína-TO, Brasil, 2024.</w:t>
      </w:r>
    </w:p>
    <w:p w14:paraId="28536595" w14:textId="77777777" w:rsidR="00606C2C" w:rsidRDefault="00000000">
      <w:pPr>
        <w:spacing w:before="0" w:after="200" w:line="360" w:lineRule="auto"/>
        <w:ind w:left="0" w:hanging="2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6AD25806" wp14:editId="2287C73B">
            <wp:extent cx="3590925" cy="2908281"/>
            <wp:effectExtent l="0" t="0" r="0" b="0"/>
            <wp:docPr id="99930681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t="21964" b="1067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9082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6CBF5A" w14:textId="77777777" w:rsidR="00606C2C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Fonte: Acervo Pessoal, 2024.</w:t>
      </w:r>
    </w:p>
    <w:p w14:paraId="40F59857" w14:textId="77777777" w:rsidR="00606C2C" w:rsidRDefault="00606C2C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28E227BC" w14:textId="77777777" w:rsidR="00606C2C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Desse modo, muito embora os membros da equipe tenham passado por capacitação prévia, o episódio demonstrou uma questão que não havia sido prevista durante o planejamento da ação e alertou para aprimoramento de execução em situações futuras de educação em saúde. Além disso, mesmo que o foco da ação fosse educar os adolescentes sobre </w:t>
      </w:r>
      <w:proofErr w:type="spellStart"/>
      <w:r>
        <w:rPr>
          <w:rFonts w:ascii="Open Sans" w:eastAsia="Open Sans" w:hAnsi="Open Sans" w:cs="Open Sans"/>
        </w:rPr>
        <w:t>ISTs</w:t>
      </w:r>
      <w:proofErr w:type="spellEnd"/>
      <w:r>
        <w:rPr>
          <w:rFonts w:ascii="Open Sans" w:eastAsia="Open Sans" w:hAnsi="Open Sans" w:cs="Open Sans"/>
        </w:rPr>
        <w:t xml:space="preserve"> e métodos contraceptivos, a presença de um aluno com necessidade especial evidenciou a importância de adaptar a metodologia para promover inclusão sem comprometer o aprendizado do restante da turma. Suspeita-se que a solicitação de saída da cuidadora da sala pode ter sido um fator que contribuiu para a dispersão do aluno, o que reforça a necessidade de reavaliar as estratégias a presença de acompanhante de aluno especial durante as atividades de educação em saúde.</w:t>
      </w:r>
    </w:p>
    <w:p w14:paraId="071B20E1" w14:textId="77777777" w:rsidR="00606C2C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  <w:highlight w:val="yellow"/>
        </w:rPr>
      </w:pPr>
      <w:r>
        <w:rPr>
          <w:rFonts w:ascii="Open Sans" w:eastAsia="Open Sans" w:hAnsi="Open Sans" w:cs="Open Sans"/>
        </w:rPr>
        <w:t xml:space="preserve">          </w:t>
      </w:r>
    </w:p>
    <w:p w14:paraId="36C91974" w14:textId="77777777" w:rsidR="00606C2C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>VI.</w:t>
      </w:r>
      <w:r>
        <w:rPr>
          <w:rFonts w:ascii="Open Sans" w:eastAsia="Open Sans" w:hAnsi="Open Sans" w:cs="Open Sans"/>
          <w:b/>
          <w:sz w:val="28"/>
          <w:szCs w:val="28"/>
        </w:rPr>
        <w:tab/>
      </w:r>
      <w:r>
        <w:rPr>
          <w:rFonts w:ascii="Open Sans" w:eastAsia="Open Sans" w:hAnsi="Open Sans" w:cs="Open Sans"/>
          <w:b/>
          <w:color w:val="000000"/>
          <w:sz w:val="28"/>
          <w:szCs w:val="28"/>
        </w:rPr>
        <w:t>Considerações Finais</w:t>
      </w:r>
    </w:p>
    <w:p w14:paraId="5BE23614" w14:textId="77777777" w:rsidR="00606C2C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 inclusão de alunos com comprometimento cognitivo em projetos de educação em saúde requer atenção especial e planejamento prévio para garantir que suas necessidades sejam atendidas de maneira adequada. A experiência relatada evidenciou a necessidade de ajustar a abordagem pedagógica e repensar o uso de materiais, de forma a evitar distrações e facilitar a participação efetiva desses alunos. Além disso, a presença de acompanhantes pode ser crucial para auxiliar no processo de aprendizado e garantir a interação positiva entre os alunos e o conteúdo apresentado. Assim, é fundamental que futuros projetos levem em consideração essas especificidades, promovendo uma educação em saúde inclusiva e acessível a todos.</w:t>
      </w:r>
    </w:p>
    <w:p w14:paraId="10418D49" w14:textId="77777777" w:rsidR="00606C2C" w:rsidRDefault="00606C2C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3DD5F233" w14:textId="77777777" w:rsidR="00606C2C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>VII.</w:t>
      </w:r>
      <w:r>
        <w:rPr>
          <w:rFonts w:ascii="Open Sans" w:eastAsia="Open Sans" w:hAnsi="Open Sans" w:cs="Open Sans"/>
          <w:b/>
          <w:sz w:val="28"/>
          <w:szCs w:val="28"/>
        </w:rPr>
        <w:tab/>
      </w:r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Referências </w:t>
      </w:r>
    </w:p>
    <w:p w14:paraId="53B96FB5" w14:textId="77777777" w:rsidR="00606C2C" w:rsidRDefault="00000000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 xml:space="preserve">BRASIL. Ministério da Saúde. Gabinete do Ministério. </w:t>
      </w:r>
      <w:r>
        <w:rPr>
          <w:rFonts w:ascii="Open Sans" w:eastAsia="Open Sans" w:hAnsi="Open Sans" w:cs="Open Sans"/>
          <w:b/>
        </w:rPr>
        <w:t>PORTARIA GM/MS Nº 1.526, DE 11 DE OUTUBRO DE 2023</w:t>
      </w:r>
      <w:r>
        <w:rPr>
          <w:rFonts w:ascii="Open Sans" w:eastAsia="Open Sans" w:hAnsi="Open Sans" w:cs="Open Sans"/>
        </w:rPr>
        <w:t xml:space="preserve">. Brasília, 2023. Disponível em &lt; </w:t>
      </w:r>
      <w:hyperlink r:id="rId14">
        <w:r>
          <w:rPr>
            <w:rFonts w:ascii="Open Sans" w:eastAsia="Open Sans" w:hAnsi="Open Sans" w:cs="Open Sans"/>
            <w:color w:val="1155CC"/>
            <w:u w:val="single"/>
          </w:rPr>
          <w:t>https://bvsms.saude.gov.br/bvs/saudelegis/gm/2023/prt1526_16_10_2023.html</w:t>
        </w:r>
      </w:hyperlink>
      <w:r>
        <w:rPr>
          <w:rFonts w:ascii="Open Sans" w:eastAsia="Open Sans" w:hAnsi="Open Sans" w:cs="Open Sans"/>
        </w:rPr>
        <w:t xml:space="preserve"> &gt;. Acesso em: 05 de outubro de 2024</w:t>
      </w:r>
    </w:p>
    <w:p w14:paraId="0BFF6326" w14:textId="77777777" w:rsidR="00606C2C" w:rsidRDefault="00606C2C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</w:p>
    <w:p w14:paraId="5F8B6DF6" w14:textId="77777777" w:rsidR="00606C2C" w:rsidRDefault="00000000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CHAVEIRO, N.; PORTO, C. C.; BARBOSA, M. A. Relação do paciente surdo com o médico. </w:t>
      </w:r>
      <w:r>
        <w:rPr>
          <w:rFonts w:ascii="Open Sans" w:eastAsia="Open Sans" w:hAnsi="Open Sans" w:cs="Open Sans"/>
          <w:b/>
        </w:rPr>
        <w:t xml:space="preserve">Revista brasileira de </w:t>
      </w:r>
      <w:proofErr w:type="spellStart"/>
      <w:r>
        <w:rPr>
          <w:rFonts w:ascii="Open Sans" w:eastAsia="Open Sans" w:hAnsi="Open Sans" w:cs="Open Sans"/>
          <w:b/>
        </w:rPr>
        <w:t>oto-rino-laringologia</w:t>
      </w:r>
      <w:proofErr w:type="spellEnd"/>
      <w:r>
        <w:rPr>
          <w:rFonts w:ascii="Open Sans" w:eastAsia="Open Sans" w:hAnsi="Open Sans" w:cs="Open Sans"/>
        </w:rPr>
        <w:t>, v. 75, n. 1, p. 147–150, 2009.</w:t>
      </w:r>
    </w:p>
    <w:p w14:paraId="03066950" w14:textId="77777777" w:rsidR="00606C2C" w:rsidRDefault="00606C2C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</w:p>
    <w:p w14:paraId="2802C79A" w14:textId="77777777" w:rsidR="00606C2C" w:rsidRDefault="00000000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FERNANDES, J. F. P. </w:t>
      </w:r>
      <w:r>
        <w:rPr>
          <w:rFonts w:ascii="Open Sans" w:eastAsia="Open Sans" w:hAnsi="Open Sans" w:cs="Open Sans"/>
          <w:i/>
        </w:rPr>
        <w:t>et al.</w:t>
      </w:r>
      <w:r>
        <w:rPr>
          <w:rFonts w:ascii="Open Sans" w:eastAsia="Open Sans" w:hAnsi="Open Sans" w:cs="Open Sans"/>
        </w:rPr>
        <w:t xml:space="preserve"> Conhecimento de alunos deficientes auditivos e de seus</w:t>
      </w:r>
    </w:p>
    <w:p w14:paraId="0DB038DD" w14:textId="77777777" w:rsidR="00606C2C" w:rsidRDefault="00000000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  <w:proofErr w:type="gramStart"/>
      <w:r>
        <w:rPr>
          <w:rFonts w:ascii="Open Sans" w:eastAsia="Open Sans" w:hAnsi="Open Sans" w:cs="Open Sans"/>
        </w:rPr>
        <w:t>educadores relacionado</w:t>
      </w:r>
      <w:proofErr w:type="gramEnd"/>
      <w:r>
        <w:rPr>
          <w:rFonts w:ascii="Open Sans" w:eastAsia="Open Sans" w:hAnsi="Open Sans" w:cs="Open Sans"/>
        </w:rPr>
        <w:t xml:space="preserve"> às doenças sexualmente transmissíveis. </w:t>
      </w:r>
      <w:r>
        <w:rPr>
          <w:rFonts w:ascii="Open Sans" w:eastAsia="Open Sans" w:hAnsi="Open Sans" w:cs="Open Sans"/>
          <w:b/>
        </w:rPr>
        <w:t>Revista de Enfermagem UERJ,</w:t>
      </w:r>
      <w:r>
        <w:rPr>
          <w:rFonts w:ascii="Open Sans" w:eastAsia="Open Sans" w:hAnsi="Open Sans" w:cs="Open Sans"/>
        </w:rPr>
        <w:t xml:space="preserve"> Rio de Janeiro, v. 17; n. 3; p. 338-43; julho de 2009. Disponível em &lt; </w:t>
      </w:r>
      <w:hyperlink r:id="rId15">
        <w:r>
          <w:rPr>
            <w:rFonts w:ascii="Open Sans" w:eastAsia="Open Sans" w:hAnsi="Open Sans" w:cs="Open Sans"/>
            <w:color w:val="1155CC"/>
            <w:u w:val="single"/>
          </w:rPr>
          <w:t>https://www.revenf.bvs.br/pdf/reuerj/v17n3/v17n3a07.pdf</w:t>
        </w:r>
      </w:hyperlink>
      <w:r>
        <w:rPr>
          <w:rFonts w:ascii="Open Sans" w:eastAsia="Open Sans" w:hAnsi="Open Sans" w:cs="Open Sans"/>
        </w:rPr>
        <w:t xml:space="preserve"> &gt;. Acesso em 05 de outubro de 2024. </w:t>
      </w:r>
    </w:p>
    <w:p w14:paraId="3C823F91" w14:textId="77777777" w:rsidR="00606C2C" w:rsidRDefault="00606C2C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</w:p>
    <w:p w14:paraId="6BCD69E0" w14:textId="77777777" w:rsidR="00606C2C" w:rsidRDefault="00000000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TRIGUEIRO FILHO, E. P. S. </w:t>
      </w:r>
      <w:r>
        <w:rPr>
          <w:rFonts w:ascii="Open Sans" w:eastAsia="Open Sans" w:hAnsi="Open Sans" w:cs="Open Sans"/>
          <w:i/>
        </w:rPr>
        <w:t>et al.</w:t>
      </w:r>
      <w:r>
        <w:rPr>
          <w:rFonts w:ascii="Open Sans" w:eastAsia="Open Sans" w:hAnsi="Open Sans" w:cs="Open Sans"/>
        </w:rPr>
        <w:t xml:space="preserve"> Percepção De Discentes De Enfermagem Sobre A Comunicação Com Pessoas Com Deficiências Visuais E Auditivas. </w:t>
      </w:r>
      <w:r>
        <w:rPr>
          <w:rFonts w:ascii="Open Sans" w:eastAsia="Open Sans" w:hAnsi="Open Sans" w:cs="Open Sans"/>
          <w:b/>
        </w:rPr>
        <w:t xml:space="preserve">Revista de Enfermagem UFPE </w:t>
      </w:r>
      <w:proofErr w:type="spellStart"/>
      <w:r>
        <w:rPr>
          <w:rFonts w:ascii="Open Sans" w:eastAsia="Open Sans" w:hAnsi="Open Sans" w:cs="Open Sans"/>
          <w:b/>
        </w:rPr>
        <w:t>on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line</w:t>
      </w:r>
      <w:proofErr w:type="spellEnd"/>
      <w:r>
        <w:rPr>
          <w:rFonts w:ascii="Open Sans" w:eastAsia="Open Sans" w:hAnsi="Open Sans" w:cs="Open Sans"/>
        </w:rPr>
        <w:t xml:space="preserve">, Recife, v. 7; n.1; p.747-54, março de 2013. Disponível em &lt; </w:t>
      </w:r>
      <w:hyperlink r:id="rId16">
        <w:r>
          <w:rPr>
            <w:rFonts w:ascii="Open Sans" w:eastAsia="Open Sans" w:hAnsi="Open Sans" w:cs="Open Sans"/>
            <w:color w:val="1155CC"/>
            <w:u w:val="single"/>
          </w:rPr>
          <w:t>https://periodicos.ufpe.br/revistas/revistaenfermagem/article/view/10288/10939</w:t>
        </w:r>
      </w:hyperlink>
      <w:r>
        <w:rPr>
          <w:rFonts w:ascii="Open Sans" w:eastAsia="Open Sans" w:hAnsi="Open Sans" w:cs="Open Sans"/>
        </w:rPr>
        <w:t xml:space="preserve"> &gt;. Acesso em 05 de outubro de 2024. </w:t>
      </w:r>
    </w:p>
    <w:p w14:paraId="4263AC2A" w14:textId="77777777" w:rsidR="00606C2C" w:rsidRDefault="00606C2C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</w:p>
    <w:p w14:paraId="04D08F6B" w14:textId="77777777" w:rsidR="00606C2C" w:rsidRDefault="00000000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TAVARES, L. F.; CARDOSO, K. B.; BRITO, C. V. B. Dificuldade do atendimento médico a pessoas com deficiência auditiva severa. </w:t>
      </w:r>
      <w:r>
        <w:rPr>
          <w:rFonts w:ascii="Open Sans" w:eastAsia="Open Sans" w:hAnsi="Open Sans" w:cs="Open Sans"/>
          <w:b/>
        </w:rPr>
        <w:t>Revista da Faculdade de Ciências Médicas de Sorocaba</w:t>
      </w:r>
      <w:r>
        <w:rPr>
          <w:rFonts w:ascii="Open Sans" w:eastAsia="Open Sans" w:hAnsi="Open Sans" w:cs="Open Sans"/>
        </w:rPr>
        <w:t>, v. 23, n. 1, p. 6–10, 2022.</w:t>
      </w:r>
    </w:p>
    <w:p w14:paraId="501AAC46" w14:textId="77777777" w:rsidR="00606C2C" w:rsidRDefault="00606C2C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2A4FE04F" w14:textId="73F1D5D8" w:rsidR="00606C2C" w:rsidRDefault="00000000">
      <w:pPr>
        <w:spacing w:before="0" w:after="0" w:line="360" w:lineRule="auto"/>
        <w:ind w:left="1" w:hanging="3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>VI</w:t>
      </w:r>
      <w:r w:rsidR="003E15AF">
        <w:rPr>
          <w:rFonts w:ascii="Open Sans" w:eastAsia="Open Sans" w:hAnsi="Open Sans" w:cs="Open Sans"/>
          <w:b/>
          <w:sz w:val="28"/>
          <w:szCs w:val="28"/>
        </w:rPr>
        <w:t>II</w:t>
      </w:r>
      <w:r>
        <w:rPr>
          <w:rFonts w:ascii="Open Sans" w:eastAsia="Open Sans" w:hAnsi="Open Sans" w:cs="Open Sans"/>
          <w:b/>
          <w:sz w:val="28"/>
          <w:szCs w:val="28"/>
        </w:rPr>
        <w:t>. Agradecimentos</w:t>
      </w:r>
    </w:p>
    <w:p w14:paraId="555CF93C" w14:textId="77777777" w:rsidR="00606C2C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Agradecemos, á </w:t>
      </w:r>
      <w:proofErr w:type="spellStart"/>
      <w:r>
        <w:rPr>
          <w:rFonts w:ascii="Open Sans" w:eastAsia="Open Sans" w:hAnsi="Open Sans" w:cs="Open Sans"/>
        </w:rPr>
        <w:t>Pró-Reitoria</w:t>
      </w:r>
      <w:proofErr w:type="spellEnd"/>
      <w:r>
        <w:rPr>
          <w:rFonts w:ascii="Open Sans" w:eastAsia="Open Sans" w:hAnsi="Open Sans" w:cs="Open Sans"/>
        </w:rPr>
        <w:t xml:space="preserve"> de Extensão, Cultura e Assuntos Comunitários (PROEX) da Universidade Federal do Norte do Tocantins (UFNT) pela taxa de bancada e uma bolsa de extensão proveniente do EDITAL PROEX/UFNT Nº 003/2023; </w:t>
      </w:r>
      <w:proofErr w:type="gramStart"/>
      <w:r>
        <w:rPr>
          <w:rFonts w:ascii="Open Sans" w:eastAsia="Open Sans" w:hAnsi="Open Sans" w:cs="Open Sans"/>
        </w:rPr>
        <w:t>Agradecemos</w:t>
      </w:r>
      <w:proofErr w:type="gramEnd"/>
      <w:r>
        <w:rPr>
          <w:rFonts w:ascii="Open Sans" w:eastAsia="Open Sans" w:hAnsi="Open Sans" w:cs="Open Sans"/>
        </w:rPr>
        <w:t>, ainda, aos professores orientadores, às escolas de ensino médio participantes do projeto que dispuseram horários de aulas para que fossem efetuadas as rodas de conversa e aos adolescentes participantes e seus respectivos responsáveis legais.</w:t>
      </w:r>
    </w:p>
    <w:sectPr w:rsidR="00606C2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62B006" w14:textId="77777777" w:rsidR="00702082" w:rsidRDefault="00702082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14:paraId="69C415C6" w14:textId="77777777" w:rsidR="00702082" w:rsidRDefault="00702082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BE3E22CE-F6FC-4784-8ABD-57D25BA35490}"/>
    <w:embedBold r:id="rId2" w:fontKey="{A6AA9593-1298-47D2-97F3-D1DBA4191F89}"/>
    <w:embedItalic r:id="rId3" w:fontKey="{74B64335-1107-4FE2-B386-47048BDE97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CB2CE5B-31E8-469F-BED4-9C700E6C8013}"/>
    <w:embedBold r:id="rId5" w:fontKey="{1563B654-8777-4B31-94A8-BD6541C9C32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  <w:embedRegular r:id="rId6" w:fontKey="{547D53E9-803E-40FC-9D94-895C794E7306}"/>
  </w:font>
  <w:font w:name="Georgia">
    <w:panose1 w:val="02040502050405020303"/>
    <w:charset w:val="00"/>
    <w:family w:val="auto"/>
    <w:pitch w:val="default"/>
    <w:embedRegular r:id="rId7" w:fontKey="{82150185-B75F-4601-B0F8-3CB44F73723E}"/>
    <w:embedItalic r:id="rId8" w:fontKey="{FBF38845-54B8-4483-AFDE-1C3B41F609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8EDF67E7-CBC0-42BD-A597-78CC94C25E95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0" w:fontKey="{5BF34656-738F-49D8-B343-9AB292CFB284}"/>
    <w:embedBold r:id="rId11" w:fontKey="{2F9AFD90-9057-45C5-8704-B214321AF4BD}"/>
    <w:embedItalic r:id="rId12" w:fontKey="{BCAD0086-BB20-4FA4-900F-A69106BAF5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F1A2D8" w14:textId="77777777" w:rsidR="00606C2C" w:rsidRDefault="00606C2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737D0A" w14:textId="77777777" w:rsidR="00606C2C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E15AF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9C8B22" w14:textId="77777777" w:rsidR="00606C2C" w:rsidRDefault="00606C2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46AC66" w14:textId="77777777" w:rsidR="00702082" w:rsidRDefault="00702082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14:paraId="3C2911A8" w14:textId="77777777" w:rsidR="00702082" w:rsidRDefault="00702082">
      <w:pPr>
        <w:spacing w:before="0"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231E09" w14:textId="77777777" w:rsidR="00606C2C" w:rsidRDefault="00606C2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69E2FC" w14:textId="77777777" w:rsidR="00606C2C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0B1EAC2" wp14:editId="2487FC08">
          <wp:extent cx="5274945" cy="1758315"/>
          <wp:effectExtent l="0" t="0" r="0" b="0"/>
          <wp:docPr id="9993068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945" cy="1758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F35D761" w14:textId="77777777" w:rsidR="00606C2C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5" w:hanging="7"/>
      <w:jc w:val="center"/>
      <w:rPr>
        <w:rFonts w:ascii="Open Sans" w:eastAsia="Open Sans" w:hAnsi="Open Sans" w:cs="Open Sans"/>
        <w:color w:val="BFBFBF"/>
        <w:sz w:val="72"/>
        <w:szCs w:val="72"/>
      </w:rPr>
    </w:pPr>
    <w:r>
      <w:rPr>
        <w:rFonts w:ascii="Open Sans" w:eastAsia="Open Sans" w:hAnsi="Open Sans" w:cs="Open Sans"/>
        <w:color w:val="BFBFBF"/>
        <w:sz w:val="72"/>
        <w:szCs w:val="72"/>
      </w:rPr>
      <w:t>Relato de Experiência</w:t>
    </w:r>
  </w:p>
  <w:p w14:paraId="7F948B90" w14:textId="77777777" w:rsidR="00606C2C" w:rsidRDefault="00606C2C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color w:val="000000"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29C4D" w14:textId="77777777" w:rsidR="00606C2C" w:rsidRDefault="00606C2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0C50D2"/>
    <w:multiLevelType w:val="multilevel"/>
    <w:tmpl w:val="9DDC88B4"/>
    <w:lvl w:ilvl="0">
      <w:start w:val="1"/>
      <w:numFmt w:val="bullet"/>
      <w:pStyle w:val="Ttulo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3807B46"/>
    <w:multiLevelType w:val="multilevel"/>
    <w:tmpl w:val="E760092E"/>
    <w:lvl w:ilvl="0">
      <w:start w:val="1"/>
      <w:numFmt w:val="decimal"/>
      <w:pStyle w:val="Commarcadore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94748697">
    <w:abstractNumId w:val="0"/>
  </w:num>
  <w:num w:numId="2" w16cid:durableId="9021767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C2C"/>
    <w:rsid w:val="003E15AF"/>
    <w:rsid w:val="00606C2C"/>
    <w:rsid w:val="00702082"/>
    <w:rsid w:val="00C74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52977"/>
  <w15:docId w15:val="{986C0A7B-4F69-4D7E-9529-C9FD30FEB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lang w:val="pt-BR" w:eastAsia="pt-BR" w:bidi="ar-SA"/>
      </w:rPr>
    </w:rPrDefault>
    <w:pPrDefault>
      <w:pPr>
        <w:spacing w:before="60" w:after="60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next w:val="Normal"/>
    <w:uiPriority w:val="9"/>
    <w:qFormat/>
    <w:pPr>
      <w:numPr>
        <w:numId w:val="1"/>
      </w:numPr>
      <w:autoSpaceDE w:val="0"/>
      <w:spacing w:after="8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position w:val="-1"/>
      <w:sz w:val="44"/>
      <w:szCs w:val="4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autoSpaceDE w:val="0"/>
      <w:spacing w:before="240" w:after="120"/>
      <w:ind w:left="274" w:hanging="274"/>
      <w:outlineLvl w:val="1"/>
    </w:pPr>
    <w:rPr>
      <w:rFonts w:cs="Arial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0"/>
      <w:ind w:left="720" w:firstLine="0"/>
      <w:outlineLvl w:val="3"/>
    </w:pPr>
    <w:rPr>
      <w:rFonts w:ascii="Arial" w:hAnsi="Arial"/>
      <w:b/>
      <w:bCs/>
      <w:sz w:val="24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/>
      <w:jc w:val="center"/>
    </w:pPr>
    <w:rPr>
      <w:rFonts w:ascii="Cambria" w:hAnsi="Cambria"/>
      <w:b/>
      <w:bCs/>
      <w:kern w:val="1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1z2">
    <w:name w:val="WW8Num3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1">
    <w:name w:val="WW8Num3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3">
    <w:name w:val="WW8Num4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3z2">
    <w:name w:val="WW8Num4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rFonts w:ascii="Century Gothic" w:hAnsi="Century Gothic" w:cs="Arial"/>
      <w:w w:val="100"/>
      <w:position w:val="-1"/>
      <w:sz w:val="44"/>
      <w:szCs w:val="44"/>
      <w:effect w:val="none"/>
      <w:vertAlign w:val="baseline"/>
      <w:cs w:val="0"/>
      <w:em w:val="none"/>
      <w:lang w:val="en-US" w:eastAsia="ar-SA" w:bidi="ar-SA"/>
    </w:rPr>
  </w:style>
  <w:style w:type="character" w:customStyle="1" w:styleId="ProposalChar">
    <w:name w:val="Proposal Char"/>
    <w:rPr>
      <w:rFonts w:ascii="Century Gothic" w:hAnsi="Century Gothic" w:cs="Arial"/>
      <w:color w:val="C0C0C0"/>
      <w:w w:val="100"/>
      <w:position w:val="-1"/>
      <w:sz w:val="88"/>
      <w:szCs w:val="44"/>
      <w:effect w:val="none"/>
      <w:vertAlign w:val="baseline"/>
      <w:cs w:val="0"/>
      <w:em w:val="none"/>
      <w:lang w:val="en-US" w:eastAsia="ar-SA" w:bidi="ar-SA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FootnoteCharacters">
    <w:name w:val="Footnote Characters"/>
    <w:rPr>
      <w:w w:val="100"/>
      <w:position w:val="-1"/>
      <w:effect w:val="none"/>
      <w:vertAlign w:val="superscript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Pr-formataoHTMLChar">
    <w:name w:val="Pré-formatação HTML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val="pt-BR" w:eastAsia="ar-SA" w:bidi="ar-SA"/>
    </w:rPr>
  </w:style>
  <w:style w:type="character" w:customStyle="1" w:styleId="RodapChar">
    <w:name w:val="Rodapé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 w:bidi="ar-SA"/>
    </w:rPr>
  </w:style>
  <w:style w:type="character" w:customStyle="1" w:styleId="Ttulo2Char">
    <w:name w:val="Título 2 Char"/>
    <w:rPr>
      <w:rFonts w:ascii="Century Gothic" w:hAnsi="Century Gothic" w:cs="Arial"/>
      <w:w w:val="100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Pr-formataoHTMLChar1">
    <w:name w:val="Pré-formatação HTML Char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entury Gothic" w:hAnsi="Century Gothic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extodenotaderodapChar">
    <w:name w:val="Texto de nota de rodapé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-FootnoteCharacters">
    <w:name w:val="WW-Footnote Characters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MTDisplayEquationChar">
    <w:name w:val="MTDisplayEquation Char"/>
    <w:rPr>
      <w:rFonts w:ascii="Century Gothic" w:hAnsi="Century Gothic"/>
      <w:w w:val="100"/>
      <w:position w:val="-1"/>
      <w:effect w:val="none"/>
      <w:vertAlign w:val="baseline"/>
      <w:cs w:val="0"/>
      <w:em w:val="none"/>
    </w:rPr>
  </w:style>
  <w:style w:type="character" w:customStyle="1" w:styleId="nfakpe">
    <w:name w:val="nfakpe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Cambria" w:eastAsia="Times New Roman" w:hAnsi="Cambria" w:cs="Times New Roman"/>
      <w:b/>
      <w:bCs/>
      <w:w w:val="100"/>
      <w:kern w:val="1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SubttuloChar">
    <w:name w:val="Subtítulo Char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nfase">
    <w:name w:val="Emphasis"/>
    <w:rPr>
      <w:iCs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FootnoteChar">
    <w:name w:val="Footnote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 w:val="en-US"/>
    </w:rPr>
  </w:style>
  <w:style w:type="character" w:customStyle="1" w:styleId="texto">
    <w:name w:val="texto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1">
    <w:name w:val="text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style41">
    <w:name w:val="style4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abeladeGrade1Clara1">
    <w:name w:val="Tabela de Grade 1 Clara1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character" w:customStyle="1" w:styleId="longtext">
    <w:name w:val="long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mediumtext">
    <w:name w:val="medium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pPr>
      <w:spacing w:after="200" w:line="260" w:lineRule="atLeast"/>
      <w:ind w:left="864"/>
    </w:pPr>
    <w:rPr>
      <w:sz w:val="18"/>
    </w:rPr>
  </w:style>
  <w:style w:type="paragraph" w:styleId="Lista">
    <w:name w:val="List"/>
    <w:basedOn w:val="Corpodetexto"/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  <w:spacing w:before="120" w:after="0" w:line="360" w:lineRule="auto"/>
      <w:ind w:firstLine="709"/>
    </w:pPr>
    <w:rPr>
      <w:rFonts w:ascii="Arial" w:hAnsi="Arial" w:cs="Tahoma"/>
      <w:sz w:val="24"/>
      <w:szCs w:val="24"/>
    </w:rPr>
  </w:style>
  <w:style w:type="paragraph" w:customStyle="1" w:styleId="Proposal">
    <w:name w:val="Proposal"/>
    <w:pPr>
      <w:pBdr>
        <w:top w:val="single" w:sz="8" w:space="0" w:color="C0C0C0"/>
      </w:pBdr>
      <w:spacing w:before="1100" w:line="1" w:lineRule="atLeast"/>
      <w:ind w:leftChars="-1" w:left="-1" w:hangingChars="1"/>
      <w:textDirection w:val="btLr"/>
      <w:textAlignment w:val="top"/>
      <w:outlineLvl w:val="0"/>
    </w:pPr>
    <w:rPr>
      <w:rFonts w:eastAsia="Arial" w:cs="Arial"/>
      <w:color w:val="C0C0C0"/>
      <w:position w:val="-1"/>
      <w:sz w:val="88"/>
      <w:szCs w:val="44"/>
      <w:lang w:eastAsia="ar-SA"/>
    </w:rPr>
  </w:style>
  <w:style w:type="paragraph" w:customStyle="1" w:styleId="OrgNameandDate">
    <w:name w:val="Org Name and Date"/>
    <w:pPr>
      <w:spacing w:line="1" w:lineRule="atLeast"/>
      <w:ind w:leftChars="-1" w:left="-1" w:hangingChars="1"/>
      <w:textDirection w:val="btLr"/>
      <w:textAlignment w:val="top"/>
      <w:outlineLvl w:val="0"/>
    </w:pPr>
    <w:rPr>
      <w:rFonts w:eastAsia="Arial"/>
      <w:position w:val="-1"/>
      <w:sz w:val="28"/>
      <w:szCs w:val="28"/>
      <w:lang w:eastAsia="ar-SA"/>
    </w:rPr>
  </w:style>
  <w:style w:type="paragraph" w:customStyle="1" w:styleId="ProjectName">
    <w:name w:val="Project Name"/>
    <w:pPr>
      <w:spacing w:before="100" w:line="1" w:lineRule="atLeast"/>
      <w:ind w:leftChars="-1" w:left="-1" w:hangingChars="1"/>
      <w:textDirection w:val="btLr"/>
      <w:textAlignment w:val="top"/>
      <w:outlineLvl w:val="0"/>
    </w:pPr>
    <w:rPr>
      <w:rFonts w:eastAsia="Arial"/>
      <w:position w:val="-1"/>
      <w:sz w:val="44"/>
      <w:lang w:eastAsia="ar-SA"/>
    </w:rPr>
  </w:style>
  <w:style w:type="paragraph" w:styleId="Cabealho">
    <w:name w:val="header"/>
    <w:basedOn w:val="Normal"/>
  </w:style>
  <w:style w:type="paragraph" w:styleId="Sumrio1">
    <w:name w:val="toc 1"/>
    <w:next w:val="Normal"/>
    <w:pPr>
      <w:tabs>
        <w:tab w:val="left" w:pos="720"/>
        <w:tab w:val="right" w:leader="dot" w:pos="8630"/>
      </w:tabs>
      <w:spacing w:before="360" w:line="1" w:lineRule="atLeast"/>
      <w:ind w:leftChars="-1" w:left="-1" w:hangingChars="1"/>
      <w:textDirection w:val="btLr"/>
      <w:textAlignment w:val="top"/>
      <w:outlineLvl w:val="0"/>
    </w:pPr>
    <w:rPr>
      <w:rFonts w:eastAsia="Arial" w:cs="Arial"/>
      <w:bCs/>
      <w:caps/>
      <w:position w:val="-1"/>
      <w:lang w:eastAsia="ar-SA"/>
    </w:rPr>
  </w:style>
  <w:style w:type="paragraph" w:customStyle="1" w:styleId="TableText">
    <w:name w:val="Table Text"/>
    <w:pPr>
      <w:spacing w:line="1" w:lineRule="atLeast"/>
      <w:ind w:leftChars="-1" w:left="-1" w:hangingChars="1"/>
      <w:textDirection w:val="btLr"/>
      <w:textAlignment w:val="top"/>
      <w:outlineLvl w:val="0"/>
    </w:pPr>
    <w:rPr>
      <w:rFonts w:eastAsia="Arial"/>
      <w:position w:val="-1"/>
      <w:sz w:val="16"/>
      <w:lang w:eastAsia="ar-SA"/>
    </w:rPr>
  </w:style>
  <w:style w:type="paragraph" w:customStyle="1" w:styleId="Total">
    <w:name w:val="Total"/>
    <w:basedOn w:val="TableText"/>
    <w:pPr>
      <w:jc w:val="right"/>
    </w:pPr>
    <w:rPr>
      <w:b/>
      <w:bCs/>
    </w:rPr>
  </w:style>
  <w:style w:type="paragraph" w:styleId="Sumrio2">
    <w:name w:val="toc 2"/>
    <w:basedOn w:val="Normal"/>
    <w:next w:val="Normal"/>
    <w:pPr>
      <w:spacing w:before="240"/>
    </w:pPr>
    <w:rPr>
      <w:b/>
      <w:bCs/>
    </w:rPr>
  </w:style>
  <w:style w:type="paragraph" w:styleId="Sumrio3">
    <w:name w:val="toc 3"/>
    <w:basedOn w:val="Normal"/>
    <w:next w:val="Normal"/>
    <w:pPr>
      <w:ind w:left="240"/>
    </w:pPr>
  </w:style>
  <w:style w:type="paragraph" w:styleId="Sumrio4">
    <w:name w:val="toc 4"/>
    <w:basedOn w:val="Normal"/>
    <w:next w:val="Normal"/>
    <w:pPr>
      <w:ind w:left="480"/>
    </w:pPr>
  </w:style>
  <w:style w:type="paragraph" w:styleId="Sumrio5">
    <w:name w:val="toc 5"/>
    <w:basedOn w:val="Normal"/>
    <w:next w:val="Normal"/>
    <w:pPr>
      <w:ind w:left="720"/>
    </w:pPr>
  </w:style>
  <w:style w:type="paragraph" w:styleId="Sumrio6">
    <w:name w:val="toc 6"/>
    <w:basedOn w:val="Normal"/>
    <w:next w:val="Normal"/>
    <w:pPr>
      <w:ind w:left="960"/>
    </w:pPr>
  </w:style>
  <w:style w:type="paragraph" w:styleId="Sumrio7">
    <w:name w:val="toc 7"/>
    <w:basedOn w:val="Normal"/>
    <w:next w:val="Normal"/>
    <w:pPr>
      <w:ind w:left="1200"/>
    </w:pPr>
  </w:style>
  <w:style w:type="paragraph" w:styleId="Sumrio8">
    <w:name w:val="toc 8"/>
    <w:basedOn w:val="Normal"/>
    <w:next w:val="Normal"/>
    <w:pPr>
      <w:ind w:left="1440"/>
    </w:pPr>
  </w:style>
  <w:style w:type="paragraph" w:styleId="Sumrio9">
    <w:name w:val="toc 9"/>
    <w:basedOn w:val="Normal"/>
    <w:next w:val="Normal"/>
    <w:pPr>
      <w:ind w:left="1680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mmarcadores1">
    <w:name w:val="Com marcadores1"/>
    <w:basedOn w:val="Normal"/>
    <w:pPr>
      <w:numPr>
        <w:numId w:val="2"/>
      </w:numPr>
      <w:ind w:left="1152" w:firstLine="720"/>
    </w:pPr>
  </w:style>
  <w:style w:type="paragraph" w:customStyle="1" w:styleId="TableTextBold">
    <w:name w:val="Table Text Bold"/>
    <w:basedOn w:val="TableText"/>
    <w:rPr>
      <w:b/>
      <w:color w:val="000000"/>
      <w:szCs w:val="16"/>
    </w:rPr>
  </w:style>
  <w:style w:type="paragraph" w:styleId="Textodenotaderodap">
    <w:name w:val="footnote text"/>
    <w:basedOn w:val="Normal"/>
    <w:pPr>
      <w:spacing w:before="120" w:after="0"/>
    </w:pPr>
    <w:rPr>
      <w:rFonts w:ascii="Arial" w:hAnsi="Arial"/>
      <w:color w:val="000000"/>
      <w:sz w:val="18"/>
    </w:rPr>
  </w:style>
  <w:style w:type="paragraph" w:customStyle="1" w:styleId="Legenda1">
    <w:name w:val="Legenda1"/>
    <w:basedOn w:val="Normal"/>
    <w:next w:val="Normal"/>
    <w:pPr>
      <w:ind w:firstLine="0"/>
      <w:jc w:val="center"/>
    </w:pPr>
    <w:rPr>
      <w:b/>
      <w:bCs/>
    </w:rPr>
  </w:style>
  <w:style w:type="paragraph" w:customStyle="1" w:styleId="StyleCaptionCentered">
    <w:name w:val="Style Caption + Centered"/>
    <w:basedOn w:val="Legenda1"/>
  </w:style>
  <w:style w:type="paragraph" w:styleId="Pr-formataoHTML">
    <w:name w:val="HTML Preformatted"/>
    <w:basedOn w:val="Normal"/>
    <w:pPr>
      <w:spacing w:before="0" w:after="0"/>
      <w:ind w:firstLine="0"/>
      <w:jc w:val="left"/>
    </w:pPr>
    <w:rPr>
      <w:rFonts w:ascii="Courier New" w:hAnsi="Courier New" w:cs="Courier New"/>
    </w:rPr>
  </w:style>
  <w:style w:type="paragraph" w:styleId="Rodap">
    <w:name w:val="footer"/>
    <w:basedOn w:val="Normal"/>
  </w:style>
  <w:style w:type="paragraph" w:customStyle="1" w:styleId="WW-Default">
    <w:name w:val="WW-Default"/>
    <w:pPr>
      <w:autoSpaceDE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ar-SA"/>
    </w:rPr>
  </w:style>
  <w:style w:type="paragraph" w:customStyle="1" w:styleId="ListParagraph1">
    <w:name w:val="List Paragraph1"/>
    <w:basedOn w:val="Normal"/>
    <w:pPr>
      <w:spacing w:before="0" w:after="0"/>
      <w:ind w:left="720" w:firstLine="0"/>
      <w:jc w:val="left"/>
    </w:pPr>
    <w:rPr>
      <w:rFonts w:ascii="Times New Roman" w:hAnsi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WW-Footnote">
    <w:name w:val="WW-Footnote"/>
    <w:basedOn w:val="Textodenotaderodap"/>
  </w:style>
  <w:style w:type="paragraph" w:styleId="NormalWeb">
    <w:name w:val="Normal (Web)"/>
    <w:basedOn w:val="Normal"/>
    <w:rPr>
      <w:rFonts w:ascii="Times New Roman" w:hAnsi="Times New Roman"/>
      <w:sz w:val="24"/>
      <w:szCs w:val="24"/>
    </w:rPr>
  </w:style>
  <w:style w:type="paragraph" w:customStyle="1" w:styleId="StyleNormalWebArialNotBold">
    <w:name w:val="Style Normal (Web) + Arial Not Bold"/>
    <w:basedOn w:val="NormalWeb"/>
    <w:pPr>
      <w:spacing w:before="280" w:after="120" w:line="360" w:lineRule="auto"/>
      <w:ind w:firstLine="706"/>
    </w:pPr>
    <w:rPr>
      <w:rFonts w:ascii="Arial" w:hAnsi="Arial" w:cs="Arial"/>
      <w:color w:val="000000"/>
    </w:rPr>
  </w:style>
  <w:style w:type="paragraph" w:customStyle="1" w:styleId="StyletituloArial14pt">
    <w:name w:val="Style titulo + Arial 14 pt"/>
    <w:basedOn w:val="Normal"/>
    <w:pPr>
      <w:spacing w:before="240" w:after="120" w:line="336" w:lineRule="atLeast"/>
      <w:ind w:firstLine="0"/>
    </w:pPr>
    <w:rPr>
      <w:rFonts w:ascii="Arial" w:hAnsi="Arial" w:cs="Arial"/>
      <w:b/>
      <w:bCs/>
      <w:color w:val="000000"/>
      <w:sz w:val="28"/>
      <w:szCs w:val="24"/>
    </w:rPr>
  </w:style>
  <w:style w:type="paragraph" w:customStyle="1" w:styleId="StyleStyleNormalWebArialNotBoldLinespacingsingle">
    <w:name w:val="Style Style Normal (Web) + Arial Not Bold + Line spacing:  single"/>
    <w:basedOn w:val="StyleNormalWebArialNotBold"/>
    <w:pPr>
      <w:tabs>
        <w:tab w:val="num" w:pos="720"/>
      </w:tabs>
      <w:spacing w:after="60" w:line="240" w:lineRule="auto"/>
      <w:ind w:left="1080" w:hanging="432"/>
      <w:jc w:val="left"/>
    </w:pPr>
    <w:rPr>
      <w:rFonts w:cs="Times New Roman"/>
      <w:szCs w:val="20"/>
    </w:rPr>
  </w:style>
  <w:style w:type="paragraph" w:customStyle="1" w:styleId="ListaColorida-nfase11">
    <w:name w:val="Lista Colorida - Ênfase 11"/>
    <w:basedOn w:val="Normal"/>
    <w:pPr>
      <w:spacing w:before="0" w:after="200" w:line="276" w:lineRule="auto"/>
      <w:ind w:left="720" w:firstLine="0"/>
      <w:jc w:val="left"/>
    </w:pPr>
    <w:rPr>
      <w:rFonts w:ascii="Calibri" w:hAnsi="Calibri"/>
      <w:sz w:val="22"/>
      <w:szCs w:val="22"/>
    </w:rPr>
  </w:style>
  <w:style w:type="paragraph" w:customStyle="1" w:styleId="Contents10">
    <w:name w:val="Contents 10"/>
    <w:basedOn w:val="Index"/>
    <w:pPr>
      <w:ind w:left="2547" w:firstLine="0"/>
    </w:pPr>
  </w:style>
  <w:style w:type="paragraph" w:customStyle="1" w:styleId="Framecontents">
    <w:name w:val="Frame contents"/>
    <w:basedOn w:val="Corpodetexto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able">
    <w:name w:val="Table"/>
    <w:basedOn w:val="Caption1"/>
  </w:style>
  <w:style w:type="paragraph" w:customStyle="1" w:styleId="Illustration">
    <w:name w:val="Illustration"/>
    <w:basedOn w:val="Caption1"/>
  </w:style>
  <w:style w:type="paragraph" w:customStyle="1" w:styleId="Figure">
    <w:name w:val="Figure"/>
    <w:basedOn w:val="Caption1"/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qFormat/>
  </w:style>
  <w:style w:type="character" w:customStyle="1" w:styleId="TextodenotadefimChar">
    <w:name w:val="Texto de nota de fim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</w:style>
  <w:style w:type="character" w:customStyle="1" w:styleId="TextodecomentrioChar">
    <w:name w:val="Texto de comentári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entury Gothic" w:hAnsi="Century Gothic"/>
      <w:b/>
      <w:bCs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customStyle="1" w:styleId="CabealhoChar">
    <w:name w:val="Cabeçalh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ulyo.moraes@ufnt.edu.br" TargetMode="External"/><Relationship Id="rId13" Type="http://schemas.openxmlformats.org/officeDocument/2006/relationships/image" Target="media/image1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mailto:carolina.miranda@ufnt.edu.br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periodicos.ufpe.br/revistas/revistaenfermagem/article/view/10288/10939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oaquim.neto@ufnt.edu.br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revenf.bvs.br/pdf/reuerj/v17n3/v17n3a07.pdf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ana.pereira@ufnt.edu.br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livia.mesquita@ufnt.edu.br" TargetMode="External"/><Relationship Id="rId14" Type="http://schemas.openxmlformats.org/officeDocument/2006/relationships/hyperlink" Target="https://bvsms.saude.gov.br/bvs/saudelegis/gm/2023/prt1526_16_10_2023.html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MqCSZWtMCGgXkSU2w4YYh5ArIQ==">CgMxLjA4AHIhMU5ScFJDSlRhUVAxVzFUVHZ3NjNVVHpSeDNzcE4wSVpu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1843</Words>
  <Characters>9956</Characters>
  <Application>Microsoft Office Word</Application>
  <DocSecurity>0</DocSecurity>
  <Lines>82</Lines>
  <Paragraphs>23</Paragraphs>
  <ScaleCrop>false</ScaleCrop>
  <Company/>
  <LinksUpToDate>false</LinksUpToDate>
  <CharactersWithSpaces>11776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F. Novaes</dc:creator>
  <cp:lastModifiedBy>CLIENTE</cp:lastModifiedBy>
  <cp:revision>2</cp:revision>
  <dcterms:created xsi:type="dcterms:W3CDTF">2024-10-04T13:49:00Z</dcterms:created>
  <dcterms:modified xsi:type="dcterms:W3CDTF">2024-10-18T21:36:00Z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lpwstr>true</vt:lpwstr>
  </property>
  <property fmtid="{D5CDD505-2E9C-101B-9397-08002B2CF9AE}" pid="3" name="_TemplateID">
    <vt:lpwstr>TC060891651033</vt:lpwstr>
  </property>
</Properties>
</file>