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34" w:rsidRDefault="00780B9C">
      <w:pPr>
        <w:tabs>
          <w:tab w:val="left" w:pos="24807"/>
        </w:tabs>
        <w:spacing w:after="0" w:line="360" w:lineRule="auto"/>
        <w:jc w:val="center"/>
        <w:rPr>
          <w:rFonts w:ascii="Times New Roman" w:eastAsia="Times New Roman" w:hAnsi="Times New Roman" w:cs="Times New Roman"/>
          <w:b/>
          <w:sz w:val="28"/>
          <w:szCs w:val="28"/>
        </w:rPr>
      </w:pPr>
      <w:r>
        <w:t xml:space="preserve">     </w:t>
      </w:r>
      <w:r>
        <w:rPr>
          <w:rFonts w:ascii="Times New Roman" w:eastAsia="Times New Roman" w:hAnsi="Times New Roman" w:cs="Times New Roman"/>
          <w:b/>
          <w:sz w:val="28"/>
          <w:szCs w:val="28"/>
        </w:rPr>
        <w:t>COMORBIDADES PREEXISTENTES EM PACIENTES PEDIÁTRICOS E ADULTOS ACOMETIDOS PELO SARS-CoV-2</w:t>
      </w:r>
    </w:p>
    <w:p w:rsidR="00557834" w:rsidRDefault="00557834">
      <w:pPr>
        <w:tabs>
          <w:tab w:val="left" w:pos="24807"/>
        </w:tabs>
        <w:spacing w:after="0" w:line="360" w:lineRule="auto"/>
        <w:jc w:val="center"/>
        <w:rPr>
          <w:rFonts w:ascii="Times New Roman" w:eastAsia="Times New Roman" w:hAnsi="Times New Roman" w:cs="Times New Roman"/>
          <w:b/>
          <w:sz w:val="24"/>
          <w:szCs w:val="24"/>
        </w:rPr>
      </w:pPr>
    </w:p>
    <w:p w:rsidR="00557834" w:rsidRDefault="00780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p>
    <w:p w:rsidR="00557834" w:rsidRDefault="00780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é uma doença respiratória viral provocada pelo vírus SARS-CoV-2, responsável pela atual pandemia global mediante elevada facilidade de propagação. Os mecanismos fisiopatológicos ainda não estão totalmente elucidados, e a presença de comorbidades p</w:t>
      </w:r>
      <w:r>
        <w:rPr>
          <w:rFonts w:ascii="Times New Roman" w:eastAsia="Times New Roman" w:hAnsi="Times New Roman" w:cs="Times New Roman"/>
          <w:sz w:val="24"/>
          <w:szCs w:val="24"/>
        </w:rPr>
        <w:t>arece ser um fator de risco para formas mais graves e um pior prognóstico da doença. O presente estudo tem como objetivo descrever a frequência de doenças prévias em pacientes adultos e pediátricos acometidos pelo SARS-CoV-2. Trata-se de um estudo transver</w:t>
      </w:r>
      <w:r>
        <w:rPr>
          <w:rFonts w:ascii="Times New Roman" w:eastAsia="Times New Roman" w:hAnsi="Times New Roman" w:cs="Times New Roman"/>
          <w:sz w:val="24"/>
          <w:szCs w:val="24"/>
        </w:rPr>
        <w:t>sal, realizado, de forma remota, com 83 indivíduos com diagnóstico laboratorial de COVID-19. As análises dos resultados foram realizadas com auxílio do pacote estatístico SPSS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versão 22.0. Dos pacientes avaliados, 28 eram crianças e adolescentes e 55 adul</w:t>
      </w:r>
      <w:r>
        <w:rPr>
          <w:rFonts w:ascii="Times New Roman" w:eastAsia="Times New Roman" w:hAnsi="Times New Roman" w:cs="Times New Roman"/>
          <w:sz w:val="24"/>
          <w:szCs w:val="24"/>
        </w:rPr>
        <w:t>tos e idosos. Dente os adultos, as comorbidades mais prevalentes foram hipertensão arterial (54,5%), diabetes mellitus (34,5%) e doenças cardíacas (23,6%); na população pediátrica foi câncer (35,7%), seguido de hipertensão arterial (7,1%), havendo maior he</w:t>
      </w:r>
      <w:r>
        <w:rPr>
          <w:rFonts w:ascii="Times New Roman" w:eastAsia="Times New Roman" w:hAnsi="Times New Roman" w:cs="Times New Roman"/>
          <w:sz w:val="24"/>
          <w:szCs w:val="24"/>
        </w:rPr>
        <w:t>terogeneidade entre as comorbidades prévias. Precauções extras se fazem necessárias para a população com comorbidades, o que inclui monitoramento do estado nutricional e alimentação saudável, como possibilidade de atenuar o agravamento da infecção pelo SAR</w:t>
      </w:r>
      <w:r>
        <w:rPr>
          <w:rFonts w:ascii="Times New Roman" w:eastAsia="Times New Roman" w:hAnsi="Times New Roman" w:cs="Times New Roman"/>
          <w:sz w:val="24"/>
          <w:szCs w:val="24"/>
        </w:rPr>
        <w:t xml:space="preserve">S-CoV-2.  </w:t>
      </w:r>
    </w:p>
    <w:p w:rsidR="00557834" w:rsidRDefault="00557834">
      <w:pPr>
        <w:spacing w:after="0" w:line="240" w:lineRule="auto"/>
        <w:rPr>
          <w:rFonts w:ascii="Times New Roman" w:eastAsia="Times New Roman" w:hAnsi="Times New Roman" w:cs="Times New Roman"/>
          <w:b/>
          <w:sz w:val="24"/>
          <w:szCs w:val="24"/>
        </w:rPr>
      </w:pPr>
    </w:p>
    <w:p w:rsidR="00557834" w:rsidRDefault="00780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COVID-19, Doenças Crônicas não Transmissíveis, Fatores de risco.</w:t>
      </w:r>
    </w:p>
    <w:p w:rsidR="00557834" w:rsidRDefault="00557834">
      <w:pPr>
        <w:spacing w:after="0" w:line="240" w:lineRule="auto"/>
        <w:rPr>
          <w:rFonts w:ascii="Times New Roman" w:eastAsia="Times New Roman" w:hAnsi="Times New Roman" w:cs="Times New Roman"/>
          <w:sz w:val="24"/>
          <w:szCs w:val="24"/>
        </w:rPr>
      </w:pPr>
    </w:p>
    <w:p w:rsidR="00557834" w:rsidRDefault="00557834">
      <w:pPr>
        <w:spacing w:after="0" w:line="240" w:lineRule="auto"/>
        <w:rPr>
          <w:rFonts w:ascii="Times New Roman" w:eastAsia="Times New Roman" w:hAnsi="Times New Roman" w:cs="Times New Roman"/>
          <w:sz w:val="24"/>
          <w:szCs w:val="24"/>
        </w:rPr>
      </w:pPr>
    </w:p>
    <w:p w:rsidR="00557834" w:rsidRDefault="00780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síndrome respiratória aguda grave (SARS-CoV-2) é um vírus novo pertencente a classe do coronavírus e agente etiológico da doença respiratória vi</w:t>
      </w:r>
      <w:r>
        <w:rPr>
          <w:rFonts w:ascii="Times New Roman" w:eastAsia="Times New Roman" w:hAnsi="Times New Roman" w:cs="Times New Roman"/>
          <w:sz w:val="24"/>
          <w:szCs w:val="24"/>
        </w:rPr>
        <w:t>ral COVID-19 (JUTZELER et al., 2020). O SARS-CoV-2 tem uma alta taxa de propagação mediante a elevada facilidade de transmissão via gotículas produzidas por pessoas contaminadas ao falar, tossir e espirrar, embora, seja possível que existam outras formas d</w:t>
      </w:r>
      <w:r>
        <w:rPr>
          <w:rFonts w:ascii="Times New Roman" w:eastAsia="Times New Roman" w:hAnsi="Times New Roman" w:cs="Times New Roman"/>
          <w:sz w:val="24"/>
          <w:szCs w:val="24"/>
        </w:rPr>
        <w:t>e transmissão, pois análises recentes detectaram a presença do vírus em amostras de fezes e urina de indivíduos infectados (GUPTA et al., 2020).</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vírus ocasionou o estado de pandemia global, ainda em andamento, declarada pela Organização Mundial da Saúde</w:t>
      </w:r>
      <w:r>
        <w:rPr>
          <w:rFonts w:ascii="Times New Roman" w:eastAsia="Times New Roman" w:hAnsi="Times New Roman" w:cs="Times New Roman"/>
          <w:sz w:val="24"/>
          <w:szCs w:val="24"/>
        </w:rPr>
        <w:t xml:space="preserve"> (OMS) em março de 2020. Em outubro desse mesmo ano, o mundo já registrava mais de 37 milhões de casos confirmados para o COVID-19 e mais de 1 milhão de óbitos subsequentes (WHO, 2020). O espectro clínico da doença pode ser classificado como casos sintomát</w:t>
      </w:r>
      <w:r>
        <w:rPr>
          <w:rFonts w:ascii="Times New Roman" w:eastAsia="Times New Roman" w:hAnsi="Times New Roman" w:cs="Times New Roman"/>
          <w:sz w:val="24"/>
          <w:szCs w:val="24"/>
        </w:rPr>
        <w:t xml:space="preserve">icos categorizado mediante a gravidade dos sintomas de leve a grave e, casos assintomáticos (YAMAMOTO et al., 2020).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Apesar dos mecanismos fisiopatológicos do COVID-19 ainda não estarem totalmente elucidados, parece existir, uma associação entre manifest</w:t>
      </w:r>
      <w:r>
        <w:rPr>
          <w:rFonts w:ascii="Times New Roman" w:eastAsia="Times New Roman" w:hAnsi="Times New Roman" w:cs="Times New Roman"/>
          <w:sz w:val="24"/>
          <w:szCs w:val="24"/>
        </w:rPr>
        <w:t xml:space="preserve">ações clínicas mais graves e maior taxa de letalidade em indivíduos infectados com doenças pré-existentes, a exemplo de diabetes mellitus, hipertensão arterial, doença pulmonar crônica, doença renal e câncer (HUSSAIN; BHOWMIK; MOREIRA, 2020).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Uma revisão</w:t>
      </w:r>
      <w:r>
        <w:rPr>
          <w:rFonts w:ascii="Times New Roman" w:eastAsia="Times New Roman" w:hAnsi="Times New Roman" w:cs="Times New Roman"/>
          <w:sz w:val="24"/>
          <w:szCs w:val="24"/>
        </w:rPr>
        <w:t xml:space="preserve"> sistemática que envolveu 12.149 pacientes adultos jovens, adultos e idosos, com média de idade 47 anos, em que, 3.766 (31%) destes indivíduos apresentaram comorbidades, verificou-se uma forte associação entre as doenças pré-existentes com maior gravidade </w:t>
      </w:r>
      <w:r>
        <w:rPr>
          <w:rFonts w:ascii="Times New Roman" w:eastAsia="Times New Roman" w:hAnsi="Times New Roman" w:cs="Times New Roman"/>
          <w:sz w:val="24"/>
          <w:szCs w:val="24"/>
        </w:rPr>
        <w:t>dos sintomas e elevada taxa de mortalidade hospitalar. Em especial, as comorbidades: diabetes mellitus, hipertensão arterial e qualquer condição cardíaca foram as doenças mais frequentes associadas aos piores desfechos (</w:t>
      </w:r>
      <w:r>
        <w:rPr>
          <w:rFonts w:ascii="Times New Roman" w:eastAsia="Times New Roman" w:hAnsi="Times New Roman" w:cs="Times New Roman"/>
          <w:color w:val="222222"/>
          <w:highlight w:val="white"/>
        </w:rPr>
        <w:t>JUTZELER et al., 2020)</w:t>
      </w:r>
      <w:r>
        <w:rPr>
          <w:rFonts w:ascii="Times New Roman" w:eastAsia="Times New Roman" w:hAnsi="Times New Roman" w:cs="Times New Roman"/>
          <w:sz w:val="24"/>
          <w:szCs w:val="24"/>
        </w:rPr>
        <w:t xml:space="preserve">.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que con</w:t>
      </w:r>
      <w:r>
        <w:rPr>
          <w:rFonts w:ascii="Times New Roman" w:eastAsia="Times New Roman" w:hAnsi="Times New Roman" w:cs="Times New Roman"/>
          <w:sz w:val="24"/>
          <w:szCs w:val="24"/>
        </w:rPr>
        <w:t xml:space="preserve">cerne ao público pediátrico, os estudos que relacionam a presença de comorbidades as manifestações clínicas do COVID-19, até então, apresentam resultados heterogêneos. </w:t>
      </w:r>
      <w:r>
        <w:rPr>
          <w:rFonts w:ascii="Times New Roman" w:eastAsia="Times New Roman" w:hAnsi="Times New Roman" w:cs="Times New Roman"/>
          <w:sz w:val="24"/>
          <w:szCs w:val="24"/>
        </w:rPr>
        <w:tab/>
        <w:t>Revisão narrativa, que analisou crianças acometidas pelo SARS-CoV-2 verificou que aquel</w:t>
      </w:r>
      <w:r>
        <w:rPr>
          <w:rFonts w:ascii="Times New Roman" w:eastAsia="Times New Roman" w:hAnsi="Times New Roman" w:cs="Times New Roman"/>
          <w:sz w:val="24"/>
          <w:szCs w:val="24"/>
        </w:rPr>
        <w:t>as com diagnóstico coexistente para câncer e COVID-19 não apresentaram sintomatologia mais grave, embora, situações de imunossupressão tenham apresentado prognóstico pior e, diante dos resultados controversos perante outras comorbidades, os autores concluí</w:t>
      </w:r>
      <w:r>
        <w:rPr>
          <w:rFonts w:ascii="Times New Roman" w:eastAsia="Times New Roman" w:hAnsi="Times New Roman" w:cs="Times New Roman"/>
          <w:sz w:val="24"/>
          <w:szCs w:val="24"/>
        </w:rPr>
        <w:t>ram que de maneira geral a presença de doenças prévias eleva o risco para sintomatologias mais graves e óbitos (YAMAMOTO et al., 2020). Do mesmo modo, outros autores referiram tal constatação (HARMAN et al., 2020).</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exposto, e mediante o obscurant</w:t>
      </w:r>
      <w:r>
        <w:rPr>
          <w:rFonts w:ascii="Times New Roman" w:eastAsia="Times New Roman" w:hAnsi="Times New Roman" w:cs="Times New Roman"/>
          <w:sz w:val="24"/>
          <w:szCs w:val="24"/>
        </w:rPr>
        <w:t>ismo ocasionado pelo panorama pandêmico, ainda em desenvolvimento, o presente estudo torna-se relevante à medida que, caracteriza os indivíduos infectados pelo SARS-Cov-2. Por conseguinte, este objetiva-se em descrever a frequência de doenças prévias em pa</w:t>
      </w:r>
      <w:r>
        <w:rPr>
          <w:rFonts w:ascii="Times New Roman" w:eastAsia="Times New Roman" w:hAnsi="Times New Roman" w:cs="Times New Roman"/>
          <w:sz w:val="24"/>
          <w:szCs w:val="24"/>
        </w:rPr>
        <w:t>cientes adultos e pediátricos acometidos pelo SARS-CoV-2.</w:t>
      </w:r>
    </w:p>
    <w:p w:rsidR="004E5B88" w:rsidRDefault="004E5B88">
      <w:pPr>
        <w:spacing w:after="0" w:line="360" w:lineRule="auto"/>
        <w:ind w:firstLine="720"/>
        <w:jc w:val="both"/>
        <w:rPr>
          <w:rFonts w:ascii="Times New Roman" w:eastAsia="Times New Roman" w:hAnsi="Times New Roman" w:cs="Times New Roman"/>
          <w:sz w:val="24"/>
          <w:szCs w:val="24"/>
        </w:rPr>
      </w:pPr>
      <w:bookmarkStart w:id="0" w:name="_GoBack"/>
      <w:bookmarkEnd w:id="0"/>
    </w:p>
    <w:p w:rsidR="00557834" w:rsidRDefault="00780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 estudo transversal realizado como parte de um estudo maior intitulado “Aspectos sociodemográficos, clínicos e nutricionais associados à gravidade em pacientes c</w:t>
      </w:r>
      <w:r>
        <w:rPr>
          <w:rFonts w:ascii="Times New Roman" w:eastAsia="Times New Roman" w:hAnsi="Times New Roman" w:cs="Times New Roman"/>
          <w:sz w:val="24"/>
          <w:szCs w:val="24"/>
        </w:rPr>
        <w:t>om COVID-19: um estudo multicêntrico no Nordeste brasileiro”, aprovado pelo Comitê de Ética em Pesquisa da Escola de Nutrição da Universidade Federal da Bahia, sob parecer número 4.121.810. No presente trabalho, os pacientes foram aqueles assistidos por ho</w:t>
      </w:r>
      <w:r>
        <w:rPr>
          <w:rFonts w:ascii="Times New Roman" w:eastAsia="Times New Roman" w:hAnsi="Times New Roman" w:cs="Times New Roman"/>
          <w:sz w:val="24"/>
          <w:szCs w:val="24"/>
        </w:rPr>
        <w:t>spitais e unidades de saúde parceiros do centro participante na Bahia.</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Participaram do estudo indivíduos com diagnóstico de COVID-19 determinado por teste sorológico ou PCR em tempo real, por coleta de swab de orofaringe, sem restrição de idade ou sexo. Co</w:t>
      </w:r>
      <w:r>
        <w:rPr>
          <w:rFonts w:ascii="Times New Roman" w:eastAsia="Times New Roman" w:hAnsi="Times New Roman" w:cs="Times New Roman"/>
          <w:sz w:val="24"/>
          <w:szCs w:val="24"/>
        </w:rPr>
        <w:t>m a finalidade de categorizar o público em estudo considerou-se a idade de zero a dezoito anos incompletos como faixa etária pediátrica, e 18 anos ou mais como adultos, o que inclui, também, idosos. Não foram incluídos aqueles com hipótese diagnóstica de C</w:t>
      </w:r>
      <w:r>
        <w:rPr>
          <w:rFonts w:ascii="Times New Roman" w:eastAsia="Times New Roman" w:hAnsi="Times New Roman" w:cs="Times New Roman"/>
          <w:sz w:val="24"/>
          <w:szCs w:val="24"/>
        </w:rPr>
        <w:t xml:space="preserve">OVID-19 por outros métodos (apenas clínico ou tomografia computadorizada de tórax) ou pacientes e/ou responsáveis que não aceitaram em participar voluntariamente do estudo.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termo de consentimento livre e esclarecido foi aplicado remotamente, via ligaç</w:t>
      </w:r>
      <w:r>
        <w:rPr>
          <w:rFonts w:ascii="Times New Roman" w:eastAsia="Times New Roman" w:hAnsi="Times New Roman" w:cs="Times New Roman"/>
          <w:sz w:val="24"/>
          <w:szCs w:val="24"/>
        </w:rPr>
        <w:t>ão ou por aplicativo de troca de mensagens, através de formulário eletrônico.  Para crianças com idade igual ou superior a sete anos foi também aplicado o termo de assentimento livre e esclarecido. Seguidamente realizou-se uma entrevista estruturada via li</w:t>
      </w:r>
      <w:r>
        <w:rPr>
          <w:rFonts w:ascii="Times New Roman" w:eastAsia="Times New Roman" w:hAnsi="Times New Roman" w:cs="Times New Roman"/>
          <w:sz w:val="24"/>
          <w:szCs w:val="24"/>
        </w:rPr>
        <w:t xml:space="preserve">gação telefônica, onde foram obtidas informações sobre dados demográficos e informações de comorbidades preexistentes ao diagnóstico de infecção pelo SARS-Cov-2.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dados obtidos foram apresentados como frequências absolutas e relativas. Teste do qui-qua</w:t>
      </w:r>
      <w:r>
        <w:rPr>
          <w:rFonts w:ascii="Times New Roman" w:eastAsia="Times New Roman" w:hAnsi="Times New Roman" w:cs="Times New Roman"/>
          <w:sz w:val="24"/>
          <w:szCs w:val="24"/>
        </w:rPr>
        <w:t xml:space="preserve">drado ou exato de Fisher foram utilizados para comparar as frequências de sintomas observados nos indivíduos das diferentes faixas etárias, sendo utilizado para as análises o programa </w:t>
      </w:r>
      <w:r>
        <w:rPr>
          <w:rFonts w:ascii="Times New Roman" w:eastAsia="Times New Roman" w:hAnsi="Times New Roman" w:cs="Times New Roman"/>
          <w:i/>
          <w:sz w:val="24"/>
          <w:szCs w:val="24"/>
        </w:rPr>
        <w:t>Statistical Package For The Social Science for Windows</w:t>
      </w:r>
      <w:r>
        <w:rPr>
          <w:rFonts w:ascii="Times New Roman" w:eastAsia="Times New Roman" w:hAnsi="Times New Roman" w:cs="Times New Roman"/>
          <w:sz w:val="24"/>
          <w:szCs w:val="24"/>
        </w:rPr>
        <w:t>- SPSS, versão 22.0.</w:t>
      </w:r>
    </w:p>
    <w:p w:rsidR="00557834" w:rsidRDefault="00780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público adulto pode-se constatar que, dentre os 55 indivíduos que compuseram a amostra, as comorbidades mais prevalentes foram hipertensão arterial (54,5%), diabetes mellitus (34,5%), doenças cardíacas (23,</w:t>
      </w:r>
      <w:r>
        <w:rPr>
          <w:rFonts w:ascii="Times New Roman" w:eastAsia="Times New Roman" w:hAnsi="Times New Roman" w:cs="Times New Roman"/>
          <w:sz w:val="24"/>
          <w:szCs w:val="24"/>
        </w:rPr>
        <w:t xml:space="preserve">6%) e doenças respiratórias (18,2%).  Dentre os que preencheram a categoria “outras” foram registradas doenças psiquiátricas (5,5%), doenças cerebrovasculares (5,5%), anemia (1,8%), tuberculose (1,8%), conforme demonstrado na Tabela 1. </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 que avaliou </w:t>
      </w:r>
      <w:r>
        <w:rPr>
          <w:rFonts w:ascii="Times New Roman" w:eastAsia="Times New Roman" w:hAnsi="Times New Roman" w:cs="Times New Roman"/>
          <w:sz w:val="24"/>
          <w:szCs w:val="24"/>
        </w:rPr>
        <w:t xml:space="preserve">o impacto da presença de comorbidades em 1590 indivíduos adultos e idosos também diagnosticados com COVID-19, constataram que 399 (25,1%) deles apresentavam alguma doença prévia e, similarmente aos resultados encontrados neste estudo, as comorbidades mais </w:t>
      </w:r>
      <w:r>
        <w:rPr>
          <w:rFonts w:ascii="Times New Roman" w:eastAsia="Times New Roman" w:hAnsi="Times New Roman" w:cs="Times New Roman"/>
          <w:sz w:val="24"/>
          <w:szCs w:val="24"/>
        </w:rPr>
        <w:t>frequentes foram hipertensão arterial (16,9%), seguido de diabetes (8,2%) e verificou-se que doenças coexistentes ao diagnóstico do COVID-19 elevam o risco de desfecho negativo e, aqueles indivíduos com duas ou mais comorbidades os desfechos são ainda pior</w:t>
      </w:r>
      <w:r>
        <w:rPr>
          <w:rFonts w:ascii="Times New Roman" w:eastAsia="Times New Roman" w:hAnsi="Times New Roman" w:cs="Times New Roman"/>
          <w:sz w:val="24"/>
          <w:szCs w:val="24"/>
        </w:rPr>
        <w:t>es (GUAN et al., 2020).</w:t>
      </w:r>
    </w:p>
    <w:p w:rsidR="00557834" w:rsidRDefault="00780B9C">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Revisão sistemática que analisou a presença de comorbidades e incluiu 1576 pessoas adultas com média de 49,6 anos e infectadas pelo SARS-CoV-2, do mesmo modo, os achados corroboram com os encontrados, dentre as comorbidades mais frequentes estiveram hipert</w:t>
      </w:r>
      <w:r>
        <w:rPr>
          <w:rFonts w:ascii="Times New Roman" w:eastAsia="Times New Roman" w:hAnsi="Times New Roman" w:cs="Times New Roman"/>
          <w:sz w:val="24"/>
          <w:szCs w:val="24"/>
        </w:rPr>
        <w:t>ensão arterial (</w:t>
      </w:r>
      <w:r>
        <w:rPr>
          <w:rFonts w:ascii="Times New Roman" w:eastAsia="Times New Roman" w:hAnsi="Times New Roman" w:cs="Times New Roman"/>
          <w:sz w:val="24"/>
          <w:szCs w:val="24"/>
          <w:highlight w:val="white"/>
        </w:rPr>
        <w:t>21,1%) e diabetes (9,7%), e doença cardiovascular (8,4%) (YANG et al., 2020).</w:t>
      </w:r>
    </w:p>
    <w:p w:rsidR="00557834" w:rsidRDefault="00557834">
      <w:pPr>
        <w:spacing w:after="0" w:line="360" w:lineRule="auto"/>
        <w:jc w:val="both"/>
        <w:rPr>
          <w:rFonts w:ascii="Times New Roman" w:eastAsia="Times New Roman" w:hAnsi="Times New Roman" w:cs="Times New Roman"/>
          <w:sz w:val="24"/>
          <w:szCs w:val="24"/>
          <w:highlight w:val="white"/>
        </w:rPr>
      </w:pPr>
    </w:p>
    <w:p w:rsidR="00557834" w:rsidRDefault="00780B9C">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Tabela 1. </w:t>
      </w:r>
      <w:r>
        <w:rPr>
          <w:rFonts w:ascii="Times New Roman" w:eastAsia="Times New Roman" w:hAnsi="Times New Roman" w:cs="Times New Roman"/>
          <w:sz w:val="20"/>
          <w:szCs w:val="20"/>
        </w:rPr>
        <w:t xml:space="preserve">Frequência de doenças prévias em pacientes pediátricos, adultos e idosos acometidos pelo SARS-CoV-2. Bahia, Brasil, 2020. </w:t>
      </w:r>
    </w:p>
    <w:tbl>
      <w:tblPr>
        <w:tblStyle w:val="a"/>
        <w:tblW w:w="92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1380"/>
        <w:gridCol w:w="1290"/>
        <w:gridCol w:w="1380"/>
        <w:gridCol w:w="1410"/>
        <w:gridCol w:w="1395"/>
      </w:tblGrid>
      <w:tr w:rsidR="00557834">
        <w:trPr>
          <w:trHeight w:val="284"/>
          <w:jc w:val="center"/>
        </w:trPr>
        <w:tc>
          <w:tcPr>
            <w:tcW w:w="2385" w:type="dxa"/>
            <w:tcBorders>
              <w:left w:val="single" w:sz="8" w:space="0" w:color="FFFFFF"/>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Comorbidade</w:t>
            </w:r>
          </w:p>
        </w:tc>
        <w:tc>
          <w:tcPr>
            <w:tcW w:w="2670" w:type="dxa"/>
            <w:gridSpan w:val="2"/>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Pediátricos (n=2</w:t>
            </w:r>
            <w:r>
              <w:rPr>
                <w:rFonts w:ascii="Times New Roman" w:eastAsia="Times New Roman" w:hAnsi="Times New Roman" w:cs="Times New Roman"/>
                <w:b/>
                <w:sz w:val="24"/>
                <w:szCs w:val="24"/>
              </w:rPr>
              <w:t>8)</w:t>
            </w:r>
          </w:p>
        </w:tc>
        <w:tc>
          <w:tcPr>
            <w:tcW w:w="4185" w:type="dxa"/>
            <w:gridSpan w:val="3"/>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Adultos (n=55)</w:t>
            </w:r>
          </w:p>
        </w:tc>
      </w:tr>
      <w:tr w:rsidR="00557834">
        <w:trPr>
          <w:trHeight w:val="284"/>
          <w:jc w:val="center"/>
        </w:trPr>
        <w:tc>
          <w:tcPr>
            <w:tcW w:w="2385" w:type="dxa"/>
            <w:tcBorders>
              <w:left w:val="single" w:sz="8" w:space="0" w:color="FFFFFF"/>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Comorbidade</w:t>
            </w:r>
          </w:p>
        </w:tc>
        <w:tc>
          <w:tcPr>
            <w:tcW w:w="1380" w:type="dxa"/>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w:t>
            </w:r>
          </w:p>
        </w:tc>
        <w:tc>
          <w:tcPr>
            <w:tcW w:w="1290" w:type="dxa"/>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Não</w:t>
            </w:r>
          </w:p>
        </w:tc>
        <w:tc>
          <w:tcPr>
            <w:tcW w:w="1380" w:type="dxa"/>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w:t>
            </w:r>
          </w:p>
        </w:tc>
        <w:tc>
          <w:tcPr>
            <w:tcW w:w="1410" w:type="dxa"/>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Não</w:t>
            </w:r>
          </w:p>
        </w:tc>
        <w:tc>
          <w:tcPr>
            <w:tcW w:w="1395" w:type="dxa"/>
            <w:tcBorders>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Não informado</w:t>
            </w:r>
          </w:p>
        </w:tc>
      </w:tr>
      <w:tr w:rsidR="00557834">
        <w:trPr>
          <w:trHeight w:val="284"/>
          <w:jc w:val="center"/>
        </w:trPr>
        <w:tc>
          <w:tcPr>
            <w:tcW w:w="2385" w:type="dxa"/>
            <w:tcBorders>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Hipertensão Arterial</w:t>
            </w:r>
          </w:p>
        </w:tc>
        <w:tc>
          <w:tcPr>
            <w:tcW w:w="1380" w:type="dxa"/>
            <w:tcBorders>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(7,1%)</w:t>
            </w:r>
          </w:p>
        </w:tc>
        <w:tc>
          <w:tcPr>
            <w:tcW w:w="1290" w:type="dxa"/>
            <w:tcBorders>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 (92,9%)</w:t>
            </w:r>
          </w:p>
        </w:tc>
        <w:tc>
          <w:tcPr>
            <w:tcW w:w="1380" w:type="dxa"/>
            <w:tcBorders>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(54,5%)</w:t>
            </w:r>
          </w:p>
        </w:tc>
        <w:tc>
          <w:tcPr>
            <w:tcW w:w="1410" w:type="dxa"/>
            <w:tcBorders>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(43,6%)</w:t>
            </w:r>
          </w:p>
        </w:tc>
        <w:tc>
          <w:tcPr>
            <w:tcW w:w="1395" w:type="dxa"/>
            <w:tcBorders>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Câncer</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(35,7%)</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(64,3%)</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(7,3%)</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 (87,3%)</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(5,5%)</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Diabetes Mellitus</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(3,6%)</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(96,4%)</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 (34,5%)</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 (61,8%)</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Doenças cardíacas</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(3,6%)</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(96,4%)</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(23,6%)</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 (72,7%)</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DPOC</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(3,6%)</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(96,4%)</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(85,5%)</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(10,9%)</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Doenças respiratórias</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 (100%)</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(18,2%)</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 (80%)</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Fibrose cística</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 (100%)</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(90,9%)</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(7,3%)</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HIV</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 (100%)</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 (98,2%)</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IRC - tratamento conservador</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(3,6%)</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(96,4%)</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 (92,7%)</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r>
      <w:tr w:rsidR="00557834">
        <w:trPr>
          <w:trHeight w:val="284"/>
          <w:jc w:val="center"/>
        </w:trPr>
        <w:tc>
          <w:tcPr>
            <w:tcW w:w="2385" w:type="dxa"/>
            <w:tcBorders>
              <w:top w:val="nil"/>
              <w:left w:val="single" w:sz="8" w:space="0" w:color="FFFFFF"/>
              <w:bottom w:val="nil"/>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IRC - hemodiálise</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29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 (100%)</w:t>
            </w:r>
          </w:p>
        </w:tc>
        <w:tc>
          <w:tcPr>
            <w:tcW w:w="138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c>
          <w:tcPr>
            <w:tcW w:w="1410"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 (94,6%)</w:t>
            </w:r>
          </w:p>
        </w:tc>
        <w:tc>
          <w:tcPr>
            <w:tcW w:w="1395" w:type="dxa"/>
            <w:tcBorders>
              <w:top w:val="nil"/>
              <w:left w:val="nil"/>
              <w:bottom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(1,8%)</w:t>
            </w:r>
          </w:p>
        </w:tc>
      </w:tr>
      <w:tr w:rsidR="00557834">
        <w:trPr>
          <w:trHeight w:val="284"/>
          <w:jc w:val="center"/>
        </w:trPr>
        <w:tc>
          <w:tcPr>
            <w:tcW w:w="2385" w:type="dxa"/>
            <w:tcBorders>
              <w:top w:val="nil"/>
              <w:left w:val="single" w:sz="8" w:space="0" w:color="FFFFFF"/>
              <w:right w:val="nil"/>
            </w:tcBorders>
            <w:shd w:val="clear" w:color="auto" w:fill="auto"/>
            <w:tcMar>
              <w:top w:w="100" w:type="dxa"/>
              <w:left w:w="100" w:type="dxa"/>
              <w:bottom w:w="100" w:type="dxa"/>
              <w:right w:w="100" w:type="dxa"/>
            </w:tcMar>
            <w:vAlign w:val="center"/>
          </w:tcPr>
          <w:p w:rsidR="00557834" w:rsidRDefault="00780B9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Outros</w:t>
            </w:r>
          </w:p>
        </w:tc>
        <w:tc>
          <w:tcPr>
            <w:tcW w:w="1380" w:type="dxa"/>
            <w:tcBorders>
              <w:top w:val="nil"/>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(25%)</w:t>
            </w:r>
          </w:p>
        </w:tc>
        <w:tc>
          <w:tcPr>
            <w:tcW w:w="1290" w:type="dxa"/>
            <w:tcBorders>
              <w:top w:val="nil"/>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 (75%)</w:t>
            </w:r>
          </w:p>
        </w:tc>
        <w:tc>
          <w:tcPr>
            <w:tcW w:w="1380" w:type="dxa"/>
            <w:tcBorders>
              <w:top w:val="nil"/>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(29,1%)</w:t>
            </w:r>
          </w:p>
        </w:tc>
        <w:tc>
          <w:tcPr>
            <w:tcW w:w="1410" w:type="dxa"/>
            <w:tcBorders>
              <w:top w:val="nil"/>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 (67,3%)</w:t>
            </w:r>
          </w:p>
        </w:tc>
        <w:tc>
          <w:tcPr>
            <w:tcW w:w="1395" w:type="dxa"/>
            <w:tcBorders>
              <w:top w:val="nil"/>
              <w:left w:val="nil"/>
              <w:right w:val="nil"/>
            </w:tcBorders>
            <w:shd w:val="clear" w:color="auto" w:fill="auto"/>
            <w:tcMar>
              <w:top w:w="100" w:type="dxa"/>
              <w:left w:w="100" w:type="dxa"/>
              <w:bottom w:w="100" w:type="dxa"/>
              <w:right w:w="100" w:type="dxa"/>
            </w:tcMar>
          </w:tcPr>
          <w:p w:rsidR="00557834" w:rsidRDefault="00780B9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(3,6%)</w:t>
            </w:r>
          </w:p>
        </w:tc>
      </w:tr>
    </w:tbl>
    <w:p w:rsidR="00557834" w:rsidRDefault="00780B9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DPOC - Doença pulmonar obstrutiva crônica HIV – vírus da imunodeficiência humana; IRC- insuficiência renal crônica</w:t>
      </w:r>
    </w:p>
    <w:p w:rsidR="00557834" w:rsidRDefault="00557834">
      <w:pPr>
        <w:spacing w:after="0" w:line="360" w:lineRule="auto"/>
        <w:rPr>
          <w:rFonts w:ascii="Times New Roman" w:eastAsia="Times New Roman" w:hAnsi="Times New Roman" w:cs="Times New Roman"/>
          <w:sz w:val="20"/>
          <w:szCs w:val="20"/>
        </w:rPr>
      </w:pP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20 (71,4%) pacientes pediátricos foram verificadas comorbidades prévias. Pode-se observar na Tabela 1, que dentre as comorbidades registradas, as mais prevalentes foram câncer (35,7%), seguida de hipertensão arterial (7,1%). Dentre os 7 (25%) que compun</w:t>
      </w:r>
      <w:r>
        <w:rPr>
          <w:rFonts w:ascii="Times New Roman" w:eastAsia="Times New Roman" w:hAnsi="Times New Roman" w:cs="Times New Roman"/>
          <w:sz w:val="24"/>
          <w:szCs w:val="24"/>
        </w:rPr>
        <w:t xml:space="preserve">ha outras doenças, foram aplasia muscular, hidrocefalia, paralisia cerebral, tuberculose, lúpus eritematoso sistêmico e hemofilia. </w:t>
      </w:r>
    </w:p>
    <w:p w:rsidR="00557834" w:rsidRDefault="00780B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Estudo que analisou 27 crianças e adolescentes, com idades entre 1 mês a 18 anos, constatou a presença de comorbidades em 19</w:t>
      </w:r>
      <w:r>
        <w:rPr>
          <w:rFonts w:ascii="Times New Roman" w:eastAsia="Times New Roman" w:hAnsi="Times New Roman" w:cs="Times New Roman"/>
          <w:sz w:val="24"/>
          <w:szCs w:val="24"/>
        </w:rPr>
        <w:t xml:space="preserve"> delas (70,0%), um percentual semelhante ao que foi encontrado no presente estudo. E, entre as comorbidades observadas, as doenças mais frequentes foram as de caráter neurológico, respiratório e doença falciforme. Houve também, o registro de outras comorbi</w:t>
      </w:r>
      <w:r>
        <w:rPr>
          <w:rFonts w:ascii="Times New Roman" w:eastAsia="Times New Roman" w:hAnsi="Times New Roman" w:cs="Times New Roman"/>
          <w:sz w:val="24"/>
          <w:szCs w:val="24"/>
        </w:rPr>
        <w:t xml:space="preserve">dades de caráter genético, imunológico e renal (OUALHA et al., 2020).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Revisão sistemática que envolveu 2.914 pacientes pediátricos infectados pelo SARS-CoV-2 com faixa etária entre 1 dia a 17 anos, das 444 crianças que tinham dados de comorbidades dispon</w:t>
      </w:r>
      <w:r>
        <w:rPr>
          <w:rFonts w:ascii="Times New Roman" w:eastAsia="Times New Roman" w:hAnsi="Times New Roman" w:cs="Times New Roman"/>
          <w:sz w:val="24"/>
          <w:szCs w:val="24"/>
        </w:rPr>
        <w:t>íveis 349 (78,6%) não apresentavam comorbidades, das 84 com dados disponíveis sobre comorbidades os resultados, também, divergiram dos encontrados e, as comorbidades mais frequentes foram asma, doenças cardiovasculares e imunossupressão. Os, os autores con</w:t>
      </w:r>
      <w:r>
        <w:rPr>
          <w:rFonts w:ascii="Times New Roman" w:eastAsia="Times New Roman" w:hAnsi="Times New Roman" w:cs="Times New Roman"/>
          <w:sz w:val="24"/>
          <w:szCs w:val="24"/>
        </w:rPr>
        <w:t xml:space="preserve">cluíram que o público pediátrico com comorbidades merece maior atenção (PATEL, 2020). </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resultados encontrados no público pediátrico foram muito heterogêneos, embora, deva-se frisar que os nossos achados possam ter um viés de seleção no caso destes paci</w:t>
      </w:r>
      <w:r>
        <w:rPr>
          <w:rFonts w:ascii="Times New Roman" w:eastAsia="Times New Roman" w:hAnsi="Times New Roman" w:cs="Times New Roman"/>
          <w:sz w:val="24"/>
          <w:szCs w:val="24"/>
        </w:rPr>
        <w:t>entes, uma vez que, uma das unidades hospitalares parceiras do estudo trata-se de um hospital pediátrico de referência para pacientes oncológicos. Apesar do provável fator de risco aumentado para as formas graves da COVID-19, na coexistência de comorbidade</w:t>
      </w:r>
      <w:r>
        <w:rPr>
          <w:rFonts w:ascii="Times New Roman" w:eastAsia="Times New Roman" w:hAnsi="Times New Roman" w:cs="Times New Roman"/>
          <w:sz w:val="24"/>
          <w:szCs w:val="24"/>
        </w:rPr>
        <w:t>s em pacientes de diferentes faixas etárias, os casos de ausência de doenças pré-existentes não podem ser desprezados, considerando-se o comportamento heterogêneo da doença, com uma caracterização ampla de sintomas e desfechos (OUALHA et al., 2020).</w:t>
      </w:r>
    </w:p>
    <w:p w:rsidR="00557834" w:rsidRDefault="00557834">
      <w:pPr>
        <w:spacing w:after="0" w:line="360" w:lineRule="auto"/>
        <w:jc w:val="both"/>
        <w:rPr>
          <w:rFonts w:ascii="Times New Roman" w:eastAsia="Times New Roman" w:hAnsi="Times New Roman" w:cs="Times New Roman"/>
          <w:sz w:val="24"/>
          <w:szCs w:val="24"/>
        </w:rPr>
      </w:pPr>
    </w:p>
    <w:p w:rsidR="00557834" w:rsidRDefault="00780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CONCLUSÕES</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Pode-se concluir que a população adulta e idosa acometida pelo SARS-CoV-2, apresenta mais frequentemente as comorbidades hipertensão arterial, diabetes mellitus e/ou doenças cardiovasculares. Os pacientes pediátricos infectados, apesar da maior frequência </w:t>
      </w:r>
      <w:r>
        <w:rPr>
          <w:rFonts w:ascii="Times New Roman" w:eastAsia="Times New Roman" w:hAnsi="Times New Roman" w:cs="Times New Roman"/>
          <w:sz w:val="24"/>
          <w:szCs w:val="24"/>
        </w:rPr>
        <w:t>de doença oncológica, apresentam grande heterogeneidade entre as doenças prévias, sendo hipertensão arterial a segunda mais frequentemente encontrada. Medidas preventivas, quanto a doenças que envolvam o monitoramento do estado nutricional e alimentação sa</w:t>
      </w:r>
      <w:r>
        <w:rPr>
          <w:rFonts w:ascii="Times New Roman" w:eastAsia="Times New Roman" w:hAnsi="Times New Roman" w:cs="Times New Roman"/>
          <w:sz w:val="24"/>
          <w:szCs w:val="24"/>
        </w:rPr>
        <w:t>udável, podem ser formas de controle do agravamento das comorbidades e, por consequência, do quadro clínico decorrente da infecção pelo SARS-CoV-2.</w:t>
      </w:r>
    </w:p>
    <w:p w:rsidR="00557834" w:rsidRDefault="00780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7834" w:rsidRDefault="00780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REFERÊNCIAS</w:t>
      </w:r>
    </w:p>
    <w:p w:rsidR="00557834" w:rsidRDefault="00780B9C">
      <w:pPr>
        <w:spacing w:after="0" w:line="24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GUAN, W.; LIANG, W.; ZHAO, Y.; LIANG, H.; CHEN, Z.; LI, Y.; LIU, X.; CHEN, R.; TANG, C.; W</w:t>
      </w:r>
      <w:r>
        <w:rPr>
          <w:rFonts w:ascii="Times New Roman" w:eastAsia="Times New Roman" w:hAnsi="Times New Roman" w:cs="Times New Roman"/>
          <w:color w:val="222222"/>
          <w:highlight w:val="white"/>
        </w:rPr>
        <w:t xml:space="preserve">ANG, T. Comorbidity and its impact on 1590 patients with COVID-19 in China: a nationwide analysis. </w:t>
      </w:r>
      <w:r>
        <w:rPr>
          <w:rFonts w:ascii="Times New Roman" w:eastAsia="Times New Roman" w:hAnsi="Times New Roman" w:cs="Times New Roman"/>
          <w:b/>
          <w:color w:val="222222"/>
          <w:highlight w:val="white"/>
        </w:rPr>
        <w:t>European Respiratory Journal</w:t>
      </w:r>
      <w:r>
        <w:rPr>
          <w:rFonts w:ascii="Times New Roman" w:eastAsia="Times New Roman" w:hAnsi="Times New Roman" w:cs="Times New Roman"/>
          <w:color w:val="222222"/>
          <w:highlight w:val="white"/>
        </w:rPr>
        <w:t xml:space="preserve">, [S.L.], v. 55, n. 5, 26 mar. 2020. </w:t>
      </w:r>
    </w:p>
    <w:p w:rsidR="00557834" w:rsidRDefault="00557834">
      <w:pPr>
        <w:spacing w:after="0" w:line="240" w:lineRule="auto"/>
        <w:jc w:val="both"/>
        <w:rPr>
          <w:rFonts w:ascii="Times New Roman" w:eastAsia="Times New Roman" w:hAnsi="Times New Roman" w:cs="Times New Roman"/>
          <w:color w:val="222222"/>
          <w:highlight w:val="white"/>
        </w:rPr>
      </w:pPr>
    </w:p>
    <w:p w:rsidR="00557834" w:rsidRDefault="00780B9C">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GUPTA, R.; GHOSH, A.; SINGH, A.; MISRA, A. Clinical considerations for patients with diabe</w:t>
      </w:r>
      <w:r>
        <w:rPr>
          <w:rFonts w:ascii="Times New Roman" w:eastAsia="Times New Roman" w:hAnsi="Times New Roman" w:cs="Times New Roman"/>
          <w:color w:val="222222"/>
          <w:highlight w:val="white"/>
        </w:rPr>
        <w:t xml:space="preserve">tes in times of COVID-19 epidemic. </w:t>
      </w:r>
      <w:r>
        <w:rPr>
          <w:rFonts w:ascii="Times New Roman" w:eastAsia="Times New Roman" w:hAnsi="Times New Roman" w:cs="Times New Roman"/>
          <w:b/>
          <w:color w:val="222222"/>
          <w:highlight w:val="white"/>
        </w:rPr>
        <w:t>Diabetes &amp; Metabolic Syndrome</w:t>
      </w:r>
      <w:r>
        <w:rPr>
          <w:rFonts w:ascii="Times New Roman" w:eastAsia="Times New Roman" w:hAnsi="Times New Roman" w:cs="Times New Roman"/>
          <w:color w:val="222222"/>
          <w:highlight w:val="white"/>
        </w:rPr>
        <w:t xml:space="preserve">: Clinical Research &amp; Reviews, [S.L.], v. 14, n. 3, p. 211-212, maio 2020. </w:t>
      </w:r>
    </w:p>
    <w:p w:rsidR="00557834" w:rsidRDefault="00780B9C">
      <w:p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highlight w:val="white"/>
        </w:rPr>
        <w:t>HARMAN, K.; VERMA, A.; COOK, J.; RADIA, T.; ZUCKERMAN, M.; DEEP, A.; DHAWAN, A.; GUPTA, A. Ethnicity and COVID-19 in</w:t>
      </w:r>
      <w:r>
        <w:rPr>
          <w:rFonts w:ascii="Times New Roman" w:eastAsia="Times New Roman" w:hAnsi="Times New Roman" w:cs="Times New Roman"/>
          <w:color w:val="222222"/>
          <w:highlight w:val="white"/>
        </w:rPr>
        <w:t xml:space="preserve"> children with comorbidities. </w:t>
      </w:r>
      <w:r>
        <w:rPr>
          <w:rFonts w:ascii="Times New Roman" w:eastAsia="Times New Roman" w:hAnsi="Times New Roman" w:cs="Times New Roman"/>
          <w:b/>
          <w:color w:val="222222"/>
          <w:highlight w:val="white"/>
        </w:rPr>
        <w:t>The Lancet Child &amp; Adolescent Health</w:t>
      </w:r>
      <w:r>
        <w:rPr>
          <w:rFonts w:ascii="Times New Roman" w:eastAsia="Times New Roman" w:hAnsi="Times New Roman" w:cs="Times New Roman"/>
          <w:color w:val="222222"/>
          <w:highlight w:val="white"/>
        </w:rPr>
        <w:t xml:space="preserve">, [S.L.], v. 4, n. 7, p. 24-25, jul. 2020. </w:t>
      </w:r>
    </w:p>
    <w:p w:rsidR="00557834" w:rsidRDefault="00780B9C">
      <w:p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highlight w:val="white"/>
        </w:rPr>
        <w:t xml:space="preserve">HUSSAIN, A.; BHOWMIK, Bishwajit; MOREIRA, Nayla Cristina do Vale. COVID-19 and diabetes: knowledge in progress. </w:t>
      </w:r>
      <w:r>
        <w:rPr>
          <w:rFonts w:ascii="Times New Roman" w:eastAsia="Times New Roman" w:hAnsi="Times New Roman" w:cs="Times New Roman"/>
          <w:b/>
          <w:color w:val="222222"/>
          <w:highlight w:val="white"/>
        </w:rPr>
        <w:t>Diabetes Research And Clinical Pra</w:t>
      </w:r>
      <w:r>
        <w:rPr>
          <w:rFonts w:ascii="Times New Roman" w:eastAsia="Times New Roman" w:hAnsi="Times New Roman" w:cs="Times New Roman"/>
          <w:b/>
          <w:color w:val="222222"/>
          <w:highlight w:val="white"/>
        </w:rPr>
        <w:t>ctice</w:t>
      </w:r>
      <w:r>
        <w:rPr>
          <w:rFonts w:ascii="Times New Roman" w:eastAsia="Times New Roman" w:hAnsi="Times New Roman" w:cs="Times New Roman"/>
          <w:color w:val="222222"/>
          <w:highlight w:val="white"/>
        </w:rPr>
        <w:t xml:space="preserve">, [S.L.], v. 162, p. 108142-1108142, abr. 2020. </w:t>
      </w:r>
    </w:p>
    <w:p w:rsidR="00557834" w:rsidRDefault="00780B9C">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JUTZELER, C. R.; BOURGUIGNON, L.; WEIS, C. V.; TONG, B.; WONG, C.; RIECK, B.; PARGGER, H.; TSCHUDIN-SUTTER, S.; EGLI, A.; BORGWARDT, K. Comorbidities, clinical signs and symptoms, laboratory findings, i</w:t>
      </w:r>
      <w:r>
        <w:rPr>
          <w:rFonts w:ascii="Times New Roman" w:eastAsia="Times New Roman" w:hAnsi="Times New Roman" w:cs="Times New Roman"/>
          <w:color w:val="222222"/>
          <w:highlight w:val="white"/>
        </w:rPr>
        <w:t xml:space="preserve">maging features, treatment strategies, and outcomes in adult and pediatric patients with COVID-19: a systematic review and meta-analysis. </w:t>
      </w:r>
      <w:r>
        <w:rPr>
          <w:rFonts w:ascii="Times New Roman" w:eastAsia="Times New Roman" w:hAnsi="Times New Roman" w:cs="Times New Roman"/>
          <w:b/>
          <w:color w:val="222222"/>
          <w:highlight w:val="white"/>
        </w:rPr>
        <w:t>Travel Medicine And Infectious Disease</w:t>
      </w:r>
      <w:r>
        <w:rPr>
          <w:rFonts w:ascii="Times New Roman" w:eastAsia="Times New Roman" w:hAnsi="Times New Roman" w:cs="Times New Roman"/>
          <w:color w:val="222222"/>
          <w:highlight w:val="white"/>
        </w:rPr>
        <w:t xml:space="preserve">, [S.L.], v. 37, set. 2020. </w:t>
      </w:r>
    </w:p>
    <w:p w:rsidR="00557834" w:rsidRDefault="00780B9C">
      <w:pPr>
        <w:spacing w:line="240" w:lineRule="auto"/>
        <w:rPr>
          <w:rFonts w:ascii="Times New Roman" w:eastAsia="Times New Roman" w:hAnsi="Times New Roman" w:cs="Times New Roman"/>
          <w:color w:val="222222"/>
          <w:highlight w:val="white"/>
        </w:rPr>
      </w:pPr>
      <w:bookmarkStart w:id="1" w:name="_gjdgxs" w:colFirst="0" w:colLast="0"/>
      <w:bookmarkEnd w:id="1"/>
      <w:r>
        <w:rPr>
          <w:rFonts w:ascii="Times New Roman" w:eastAsia="Times New Roman" w:hAnsi="Times New Roman" w:cs="Times New Roman"/>
          <w:color w:val="222222"/>
          <w:highlight w:val="white"/>
        </w:rPr>
        <w:t>OUALHA, M.; BENDAVID, M.; BERTELOOT, L.; CORSIA, A.</w:t>
      </w:r>
      <w:r>
        <w:rPr>
          <w:rFonts w:ascii="Times New Roman" w:eastAsia="Times New Roman" w:hAnsi="Times New Roman" w:cs="Times New Roman"/>
          <w:color w:val="222222"/>
          <w:highlight w:val="white"/>
        </w:rPr>
        <w:t xml:space="preserve">; LESAGE, F.; VEDRENNE, M.; SALVADOR, E.; GRIMAUD, M.; CHAREYRE, J.; MARCELLUS, C. de. Severe and fatal forms of COVID-19 in children. </w:t>
      </w:r>
      <w:r>
        <w:rPr>
          <w:rFonts w:ascii="Times New Roman" w:eastAsia="Times New Roman" w:hAnsi="Times New Roman" w:cs="Times New Roman"/>
          <w:b/>
          <w:color w:val="222222"/>
          <w:highlight w:val="white"/>
        </w:rPr>
        <w:t>Archives de Pédiatrie</w:t>
      </w:r>
      <w:r>
        <w:rPr>
          <w:rFonts w:ascii="Times New Roman" w:eastAsia="Times New Roman" w:hAnsi="Times New Roman" w:cs="Times New Roman"/>
          <w:color w:val="222222"/>
          <w:highlight w:val="white"/>
        </w:rPr>
        <w:t xml:space="preserve">, [S.L.], v. 27, n. 5, p. 235-238, jul. 2020. Elsevier BV. </w:t>
      </w:r>
    </w:p>
    <w:p w:rsidR="00557834" w:rsidRDefault="00780B9C">
      <w:p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highlight w:val="white"/>
        </w:rPr>
        <w:t>PATEL, Neha A. Pediatric COVID-19: syste</w:t>
      </w:r>
      <w:r>
        <w:rPr>
          <w:rFonts w:ascii="Times New Roman" w:eastAsia="Times New Roman" w:hAnsi="Times New Roman" w:cs="Times New Roman"/>
          <w:color w:val="222222"/>
          <w:highlight w:val="white"/>
        </w:rPr>
        <w:t xml:space="preserve">matic review of the literature. </w:t>
      </w:r>
      <w:r>
        <w:rPr>
          <w:rFonts w:ascii="Times New Roman" w:eastAsia="Times New Roman" w:hAnsi="Times New Roman" w:cs="Times New Roman"/>
          <w:b/>
          <w:color w:val="222222"/>
          <w:highlight w:val="white"/>
        </w:rPr>
        <w:t>American Journal Of Otolaryngology</w:t>
      </w:r>
      <w:r>
        <w:rPr>
          <w:rFonts w:ascii="Times New Roman" w:eastAsia="Times New Roman" w:hAnsi="Times New Roman" w:cs="Times New Roman"/>
          <w:color w:val="222222"/>
          <w:highlight w:val="white"/>
        </w:rPr>
        <w:t>, [S.L.], v. 41, n. 5, p. 102573-102573, set. 2020.</w:t>
      </w:r>
    </w:p>
    <w:p w:rsidR="00557834" w:rsidRDefault="00780B9C">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WHO, World Health Organization. </w:t>
      </w:r>
      <w:r>
        <w:rPr>
          <w:rFonts w:ascii="Times New Roman" w:eastAsia="Times New Roman" w:hAnsi="Times New Roman" w:cs="Times New Roman"/>
          <w:b/>
          <w:color w:val="222222"/>
          <w:highlight w:val="white"/>
        </w:rPr>
        <w:t>Coronavirus disease (COVID-19): Data as received by WHO from national authorities,as of 11October 2020, 10</w:t>
      </w:r>
      <w:r>
        <w:rPr>
          <w:rFonts w:ascii="Times New Roman" w:eastAsia="Times New Roman" w:hAnsi="Times New Roman" w:cs="Times New Roman"/>
          <w:b/>
          <w:color w:val="222222"/>
          <w:highlight w:val="white"/>
        </w:rPr>
        <w:t xml:space="preserve"> am CEST</w:t>
      </w:r>
      <w:r>
        <w:rPr>
          <w:rFonts w:ascii="Times New Roman" w:eastAsia="Times New Roman" w:hAnsi="Times New Roman" w:cs="Times New Roman"/>
          <w:color w:val="222222"/>
          <w:highlight w:val="white"/>
        </w:rPr>
        <w:t>. 2020. Disponível em: https://www.who.int/docs/default-source/coronaviruse/situation-reports/20201012-weekly-epi-update-9.pdf. Acesso em: 14 out. 2020 (a).</w:t>
      </w:r>
    </w:p>
    <w:p w:rsidR="00557834" w:rsidRDefault="00780B9C">
      <w:pPr>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YAMAMOTO, L.; SANTOS, E.; PINTO, L.; ROCHA, M.; KANUNFRE, K.; VALLADA, M.; OKAY, Thelma Sue</w:t>
      </w:r>
      <w:r>
        <w:rPr>
          <w:rFonts w:ascii="Times New Roman" w:eastAsia="Times New Roman" w:hAnsi="Times New Roman" w:cs="Times New Roman"/>
          <w:color w:val="222222"/>
          <w:highlight w:val="white"/>
        </w:rPr>
        <w:t xml:space="preserve">ly. SARS-CoV-2 infections with emphasis on pediatric patients: a narrative review. </w:t>
      </w:r>
      <w:r>
        <w:rPr>
          <w:rFonts w:ascii="Times New Roman" w:eastAsia="Times New Roman" w:hAnsi="Times New Roman" w:cs="Times New Roman"/>
          <w:b/>
          <w:color w:val="222222"/>
          <w:highlight w:val="white"/>
        </w:rPr>
        <w:t>Revista do Instituto de Medicina Tropical de São Paulo</w:t>
      </w:r>
      <w:r>
        <w:rPr>
          <w:rFonts w:ascii="Times New Roman" w:eastAsia="Times New Roman" w:hAnsi="Times New Roman" w:cs="Times New Roman"/>
          <w:color w:val="222222"/>
          <w:highlight w:val="white"/>
        </w:rPr>
        <w:t xml:space="preserve">, [S.L.], v. 62, 2020. </w:t>
      </w:r>
    </w:p>
    <w:p w:rsidR="00557834" w:rsidRDefault="00780B9C">
      <w:p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highlight w:val="white"/>
        </w:rPr>
        <w:t>YANG, J.; ZHENG, Y.; GOU, XI; PU, Ke; CHEN, Z.; GUO, Q.; JI, R.; WANG, H.; WANG, Y.; ZHOU, Y. P</w:t>
      </w:r>
      <w:r>
        <w:rPr>
          <w:rFonts w:ascii="Times New Roman" w:eastAsia="Times New Roman" w:hAnsi="Times New Roman" w:cs="Times New Roman"/>
          <w:color w:val="222222"/>
          <w:highlight w:val="white"/>
        </w:rPr>
        <w:t xml:space="preserve">revalence of comorbidities and its effects in patients infected with SARS-CoV-2: a systematic review and meta-analysis. </w:t>
      </w:r>
      <w:r>
        <w:rPr>
          <w:rFonts w:ascii="Times New Roman" w:eastAsia="Times New Roman" w:hAnsi="Times New Roman" w:cs="Times New Roman"/>
          <w:b/>
          <w:color w:val="222222"/>
          <w:highlight w:val="white"/>
        </w:rPr>
        <w:t>International Journal Of Infectious Diseases</w:t>
      </w:r>
      <w:r>
        <w:rPr>
          <w:rFonts w:ascii="Times New Roman" w:eastAsia="Times New Roman" w:hAnsi="Times New Roman" w:cs="Times New Roman"/>
          <w:color w:val="222222"/>
          <w:highlight w:val="white"/>
        </w:rPr>
        <w:t xml:space="preserve">, [S.L.], v. 94, p. 91-95, maio 2020. </w:t>
      </w:r>
    </w:p>
    <w:p w:rsidR="00557834" w:rsidRDefault="00557834">
      <w:pPr>
        <w:spacing w:line="240" w:lineRule="auto"/>
        <w:rPr>
          <w:rFonts w:ascii="Times New Roman" w:eastAsia="Times New Roman" w:hAnsi="Times New Roman" w:cs="Times New Roman"/>
          <w:color w:val="222222"/>
          <w:sz w:val="20"/>
          <w:szCs w:val="20"/>
          <w:highlight w:val="white"/>
        </w:rPr>
      </w:pPr>
    </w:p>
    <w:sectPr w:rsidR="00557834">
      <w:headerReference w:type="default" r:id="rId6"/>
      <w:foot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0B9C">
      <w:pPr>
        <w:spacing w:after="0" w:line="240" w:lineRule="auto"/>
      </w:pPr>
      <w:r>
        <w:separator/>
      </w:r>
    </w:p>
  </w:endnote>
  <w:endnote w:type="continuationSeparator" w:id="0">
    <w:p w:rsidR="00000000" w:rsidRDefault="0078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da">
    <w:charset w:val="00"/>
    <w:family w:val="auto"/>
    <w:pitch w:val="default"/>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34" w:rsidRDefault="00780B9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4E5B88">
      <w:rPr>
        <w:color w:val="000000"/>
      </w:rPr>
      <w:fldChar w:fldCharType="separate"/>
    </w:r>
    <w:r>
      <w:rPr>
        <w:noProof/>
        <w:color w:val="000000"/>
      </w:rPr>
      <w:t>4</w:t>
    </w:r>
    <w:r>
      <w:rPr>
        <w:color w:val="000000"/>
      </w:rPr>
      <w:fldChar w:fldCharType="end"/>
    </w:r>
  </w:p>
  <w:p w:rsidR="00557834" w:rsidRDefault="0055783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0B9C">
      <w:pPr>
        <w:spacing w:after="0" w:line="240" w:lineRule="auto"/>
      </w:pPr>
      <w:r>
        <w:separator/>
      </w:r>
    </w:p>
  </w:footnote>
  <w:footnote w:type="continuationSeparator" w:id="0">
    <w:p w:rsidR="00000000" w:rsidRDefault="0078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34" w:rsidRDefault="00780B9C">
    <w:pPr>
      <w:spacing w:after="0"/>
      <w:rPr>
        <w:rFonts w:ascii="Monda" w:eastAsia="Monda" w:hAnsi="Monda" w:cs="Monda"/>
      </w:rPr>
    </w:pPr>
    <w:r>
      <w:rPr>
        <w:noProof/>
      </w:rPr>
      <w:drawing>
        <wp:anchor distT="0" distB="0" distL="114300" distR="114300" simplePos="0" relativeHeight="251658240" behindDoc="0" locked="0" layoutInCell="1" hidden="0" allowOverlap="1">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91" b="47786"/>
                  <a:stretch>
                    <a:fillRect/>
                  </a:stretch>
                </pic:blipFill>
                <pic:spPr>
                  <a:xfrm>
                    <a:off x="0" y="0"/>
                    <a:ext cx="1806575" cy="5251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-482599</wp:posOffset>
              </wp:positionH>
              <wp:positionV relativeFrom="paragraph">
                <wp:posOffset>-12699</wp:posOffset>
              </wp:positionV>
              <wp:extent cx="6337300" cy="860425"/>
              <wp:effectExtent l="0" t="0" r="0" b="0"/>
              <wp:wrapNone/>
              <wp:docPr id="1" name=""/>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rsidR="00557834" w:rsidRDefault="005578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6337300" cy="8604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37300" cy="860425"/>
                      </a:xfrm>
                      <a:prstGeom prst="rect"/>
                      <a:ln/>
                    </pic:spPr>
                  </pic:pic>
                </a:graphicData>
              </a:graphic>
            </wp:anchor>
          </w:drawing>
        </mc:Fallback>
      </mc:AlternateContent>
    </w:r>
  </w:p>
  <w:p w:rsidR="00557834" w:rsidRDefault="00780B9C">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rsidR="00557834" w:rsidRDefault="00780B9C">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rsidR="00557834" w:rsidRDefault="00557834">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rsidR="00557834" w:rsidRDefault="00557834">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34"/>
    <w:rsid w:val="004E5B88"/>
    <w:rsid w:val="00557834"/>
    <w:rsid w:val="00780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8DF6"/>
  <w15:docId w15:val="{1370D292-9B14-46BF-9633-89BAC1A6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12041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Tamires Carvalho</dc:creator>
  <cp:lastModifiedBy>Tamires Carvalho</cp:lastModifiedBy>
  <cp:revision>2</cp:revision>
  <dcterms:created xsi:type="dcterms:W3CDTF">2020-10-21T02:05:00Z</dcterms:created>
  <dcterms:modified xsi:type="dcterms:W3CDTF">2020-10-21T02:05:00Z</dcterms:modified>
</cp:coreProperties>
</file>