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7C" w:rsidRDefault="00163D7C">
      <w:pPr>
        <w:spacing w:line="360" w:lineRule="auto"/>
        <w:rPr>
          <w:b/>
          <w:sz w:val="24"/>
          <w:szCs w:val="24"/>
        </w:rPr>
      </w:pPr>
    </w:p>
    <w:p w:rsidR="00163D7C" w:rsidRDefault="00B24F49">
      <w:pPr>
        <w:tabs>
          <w:tab w:val="left" w:pos="1540"/>
        </w:tabs>
        <w:spacing w:line="360" w:lineRule="auto"/>
        <w:ind w:lef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ENTRE FÉ E FRAUDE: DESINFORMAÇÃO E AUSÊNCIA DE TIPIFICAÇÃO ESPECÍFICA NO ESTELIONATO RELIGIOSO</w:t>
      </w:r>
    </w:p>
    <w:p w:rsidR="00163D7C" w:rsidRDefault="00B24F49">
      <w:pPr>
        <w:tabs>
          <w:tab w:val="left" w:pos="1540"/>
        </w:tabs>
        <w:spacing w:line="360" w:lineRule="auto"/>
        <w:ind w:left="-360"/>
        <w:jc w:val="right"/>
        <w:rPr>
          <w:vertAlign w:val="superscript"/>
        </w:rPr>
      </w:pPr>
      <w:r w:rsidRPr="00C33BDE">
        <w:t>Ana Kédma Macêdo Félix</w:t>
      </w:r>
      <w:r>
        <w:rPr>
          <w:sz w:val="24"/>
          <w:szCs w:val="24"/>
          <w:vertAlign w:val="superscript"/>
        </w:rPr>
        <w:footnoteReference w:id="1"/>
      </w:r>
    </w:p>
    <w:p w:rsidR="00163D7C" w:rsidRDefault="00B24F49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Maria Eduarda de Melo Cruz</w:t>
      </w:r>
      <w:r>
        <w:rPr>
          <w:sz w:val="24"/>
          <w:szCs w:val="24"/>
          <w:vertAlign w:val="superscript"/>
        </w:rPr>
        <w:footnoteReference w:id="2"/>
      </w:r>
    </w:p>
    <w:p w:rsidR="00163D7C" w:rsidRDefault="00B24F49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Lucélia Keila Bittencourt Gomes</w:t>
      </w:r>
      <w:r>
        <w:rPr>
          <w:sz w:val="24"/>
          <w:szCs w:val="24"/>
          <w:vertAlign w:val="superscript"/>
        </w:rPr>
        <w:footnoteReference w:id="3"/>
      </w:r>
    </w:p>
    <w:p w:rsidR="00163D7C" w:rsidRDefault="00B24F49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João de Deus Carvalho Filho</w:t>
      </w:r>
      <w:r>
        <w:rPr>
          <w:sz w:val="24"/>
          <w:szCs w:val="24"/>
          <w:vertAlign w:val="superscript"/>
        </w:rPr>
        <w:footnoteReference w:id="4"/>
      </w:r>
    </w:p>
    <w:p w:rsidR="007867CC" w:rsidRDefault="007867CC" w:rsidP="007867CC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Luana da Cunha Lopes</w:t>
      </w:r>
      <w:r w:rsidRPr="007867CC">
        <w:rPr>
          <w:sz w:val="24"/>
          <w:szCs w:val="24"/>
          <w:vertAlign w:val="superscript"/>
        </w:rPr>
        <w:t>5</w:t>
      </w:r>
    </w:p>
    <w:p w:rsidR="00163D7C" w:rsidRDefault="00163D7C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:rsidR="00163D7C" w:rsidRDefault="00B24F49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163D7C" w:rsidRDefault="00B24F49">
      <w:pPr>
        <w:jc w:val="both"/>
        <w:rPr>
          <w:sz w:val="24"/>
          <w:szCs w:val="24"/>
        </w:rPr>
      </w:pPr>
      <w:r>
        <w:rPr>
          <w:sz w:val="24"/>
          <w:szCs w:val="24"/>
        </w:rPr>
        <w:t>O presente artigo analisa criticamente o fenômeno do estelionato religioso no ordenamento jurídico brasileiro, discutindo a ausência de tipificação penal específica e</w:t>
      </w:r>
      <w:bookmarkStart w:id="0" w:name="_GoBack"/>
      <w:bookmarkEnd w:id="0"/>
      <w:r>
        <w:rPr>
          <w:sz w:val="24"/>
          <w:szCs w:val="24"/>
        </w:rPr>
        <w:t xml:space="preserve"> os impactos dessa lacuna na proteção da fé e da dignidade da pessoa humana. A religião, e</w:t>
      </w:r>
      <w:r>
        <w:rPr>
          <w:sz w:val="24"/>
          <w:szCs w:val="24"/>
        </w:rPr>
        <w:t>lemento constitutivo da vida social, cultural e política, ocupa posição central na identidade brasileira, mas sua relevância também a torna suscetível a práticas de manipulação e fraude. Em determinados contextos, líderes espirituais e instituições religio</w:t>
      </w:r>
      <w:r>
        <w:rPr>
          <w:sz w:val="24"/>
          <w:szCs w:val="24"/>
        </w:rPr>
        <w:t>sas instrumentalizam a credulidade popular para obtenção de vantagens ilícitas, explorando a liberdade de crença assegurada no art. 5º, VI, da Constituição Federal. A literatura especializada tem apontado três eixos principais de análise: a fragilidade nor</w:t>
      </w:r>
      <w:r>
        <w:rPr>
          <w:sz w:val="24"/>
          <w:szCs w:val="24"/>
        </w:rPr>
        <w:t>mativa, decorrente da ausência de previsão legal autônoma para o estelionato religioso; a exploração da vulnerabilidade da fé, frequentemente intensificada pela desinformação e pelas promessas de curas ou prosperidade em troca de contribuições financeiras;</w:t>
      </w:r>
      <w:r>
        <w:rPr>
          <w:sz w:val="24"/>
          <w:szCs w:val="24"/>
        </w:rPr>
        <w:t xml:space="preserve"> e os limites da liberdade religiosa, que, embora constitucionalmente assegurada, não possui caráter absoluto e deve ser harmonizada com outros direitos fundamentais, como patrimônio, saúde e dignidade da pessoa humana. Nesse sentido, a doutrina demonstra </w:t>
      </w:r>
      <w:r>
        <w:rPr>
          <w:sz w:val="24"/>
          <w:szCs w:val="24"/>
        </w:rPr>
        <w:t xml:space="preserve">que, embora o art. 171 do Código Penal proteja não apenas o patrimônio, mas também a confiança social e a boa-fé, mostrando-se insuficiente para abarcar a complexidade das fraudes religiosas. A análise sustenta que a função do Direito Penal como </w:t>
      </w:r>
      <w:r>
        <w:rPr>
          <w:i/>
          <w:sz w:val="24"/>
          <w:szCs w:val="24"/>
        </w:rPr>
        <w:t>ultima rat</w:t>
      </w:r>
      <w:r>
        <w:rPr>
          <w:i/>
          <w:sz w:val="24"/>
          <w:szCs w:val="24"/>
        </w:rPr>
        <w:t>io</w:t>
      </w:r>
      <w:r>
        <w:rPr>
          <w:sz w:val="24"/>
          <w:szCs w:val="24"/>
        </w:rPr>
        <w:t>, mas reconhece a necessidade de sua atuação diante de condutas que violam gravemente bens jurídicos essenciais. A jurisprudência do Superior Tribunal de Justiça, por sua vez, oferece importante contribuição ao reafirmar que a liberdade de crença não pod</w:t>
      </w:r>
      <w:r>
        <w:rPr>
          <w:sz w:val="24"/>
          <w:szCs w:val="24"/>
        </w:rPr>
        <w:t>e ser utilizada como escudo para práticas ilícitas, mantendo condenações em casos de estelionato cometido mediante manipulação da fé e afastando a aplicação de institutos despenalizadores previstos na Lei nº 9.099/95, em razão da gravidade e do impacto soc</w:t>
      </w:r>
      <w:r>
        <w:rPr>
          <w:sz w:val="24"/>
          <w:szCs w:val="24"/>
        </w:rPr>
        <w:t>ial do delito. Constata-se, assim, que o estelionato religioso, embora possa ser subsumido ao tipo penal genérico de estelionato, apresenta peculiaridades que dificultam sua repressão penal e favorecem espaços de impunidade. A problemática que se impõe con</w:t>
      </w:r>
      <w:r>
        <w:rPr>
          <w:sz w:val="24"/>
          <w:szCs w:val="24"/>
        </w:rPr>
        <w:t>siste, portanto, em compreender de que forma a manipulação da fé, potencializada pelo fenômeno contemporâneo da desinformação, pode configurar o crime de estelionato diante da ausência de tipificação específica. Conclui-se que o debate acerca do tema exige</w:t>
      </w:r>
      <w:r>
        <w:rPr>
          <w:sz w:val="24"/>
          <w:szCs w:val="24"/>
        </w:rPr>
        <w:t xml:space="preserve"> uma </w:t>
      </w:r>
      <w:r>
        <w:rPr>
          <w:sz w:val="24"/>
          <w:szCs w:val="24"/>
        </w:rPr>
        <w:lastRenderedPageBreak/>
        <w:t>reflexão crítica e multidisciplinar, a fim de avaliar a suficiência do modelo penal vigente e fomentar discussões legislativas voltadas à proteção da dignidade da pessoa humana e da liberdade religiosa contra práticas fraudulentas que instrumentalizam</w:t>
      </w:r>
      <w:r>
        <w:rPr>
          <w:sz w:val="24"/>
          <w:szCs w:val="24"/>
        </w:rPr>
        <w:t xml:space="preserve"> a fé.</w:t>
      </w:r>
    </w:p>
    <w:p w:rsidR="00163D7C" w:rsidRDefault="00163D7C">
      <w:pPr>
        <w:jc w:val="both"/>
        <w:rPr>
          <w:b/>
          <w:sz w:val="24"/>
          <w:szCs w:val="24"/>
        </w:rPr>
      </w:pP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Estelionato religioso; Direito Penal; Liberdade religiosa.</w:t>
      </w:r>
    </w:p>
    <w:p w:rsidR="00163D7C" w:rsidRDefault="00163D7C">
      <w:pPr>
        <w:spacing w:line="360" w:lineRule="auto"/>
        <w:rPr>
          <w:sz w:val="24"/>
          <w:szCs w:val="24"/>
        </w:rPr>
      </w:pPr>
    </w:p>
    <w:p w:rsidR="00163D7C" w:rsidRDefault="00B24F49">
      <w:pPr>
        <w:spacing w:line="360" w:lineRule="auto"/>
        <w:rPr>
          <w:sz w:val="24"/>
          <w:szCs w:val="24"/>
        </w:rPr>
      </w:pPr>
      <w:bookmarkStart w:id="1" w:name="bookmark=id.fy287jhb1e5b" w:colFirst="0" w:colLast="0"/>
      <w:bookmarkEnd w:id="1"/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INTRODUÇÃO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rPr>
          <w:sz w:val="24"/>
          <w:szCs w:val="24"/>
        </w:rPr>
        <w:t>Em suas diversas faces, formas e contextos, a religião e a fé, constituem parte essencial da vida em sociedade, pois exercem não apenas um papel espiritual, co</w:t>
      </w:r>
      <w:r>
        <w:rPr>
          <w:sz w:val="24"/>
          <w:szCs w:val="24"/>
        </w:rPr>
        <w:t xml:space="preserve">mo também social, político e cultural. </w:t>
      </w:r>
      <w:r>
        <w:t>Conforme observa Mircea Eliade (1992), a experiência do sagrado acompanha a humanidade desde os seus primórdios, orientando comportamentos, valores e práticas coletivas. Portanto, a fé, por sua natureza subjetiva, é c</w:t>
      </w:r>
      <w:r>
        <w:t>apaz de orientar condutas e valores, ao mesmo tempo em que se revela vulnerável a manipulações externas. Nesse sentido, práticas ilícitas que instrumentalizam a religiosidade para fins de obtenção de vantagem patrimonial encontram terreno fértil, explorand</w:t>
      </w:r>
      <w:r>
        <w:t>o justamente a confiança depositada pelos fiéis em seus líderes ou instituições (Bitencourt, 2020).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t>Direitos fundamentais, como a liberdade religiosa, quando não adequadamente tutelados pelo ordenamento jurídico, podem ser instrumentalizados para fins opostos àqueles que justificaram sua proteção (Barroso, 2005). É nesse cenário que surge o chamado estel</w:t>
      </w:r>
      <w:r>
        <w:t xml:space="preserve">ionato religioso, em que a fé popular é explorada por indivíduos ou instituições que, sob o pretexto de exercer atividade espiritual legítima, visam obter vantagens ilícitas. 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t xml:space="preserve">O problema assume nuances ainda mais graves diante do fenômeno contemporâneo da </w:t>
      </w:r>
      <w:r>
        <w:t>desinformação, acrescido com a circulação massiva de informações falsas, sobretudo em plataformas digitais, fragiliza os mecanismos de crítica e discernimento da população. Sunstein (2017) destaca que a manipulação informacional amplia a vulnerabilidade do</w:t>
      </w:r>
      <w:r>
        <w:t>s indivíduos e cria terreno fértil para a distorção de crenças e decisões pessoais. Aplicado ao campo religioso, esse contexto torna a fé, elemento já marcado por subjetividade e transcendência, ainda mais suscetível ao abuso. Como ressalta Nucci (2021), a</w:t>
      </w:r>
      <w:r>
        <w:t xml:space="preserve"> credulidade popular, quando aliada a uma crença de fundo religioso, torna-se particularmente eficaz para a prática de fraudes.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t>O ordenamento jurídico brasileiro tipifica o estelionato genérico no artigo 171 do Código Penal, definido como obter vantagem il</w:t>
      </w:r>
      <w:r>
        <w:t xml:space="preserve">ícita em prejuízo alheio mediante artifício, ardil ou qualquer outro meio fraudulento. Todavia, não contempla de forma expressa a fraude religiosa. Para Greco (2022), a aplicação desse tipo penal às situações em que a fé é manipulada não consegue abranger </w:t>
      </w:r>
      <w:r>
        <w:t>toda a complexidade moral e social envolvida. A ausência de uma previsão normativa clara, como enfatiza Capez (2019), contribui para a insegurança jurídica e, em muitos casos, inviabiliza a responsabilização penal, permitindo a perpetuação da impunidade.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t>D</w:t>
      </w:r>
      <w:r>
        <w:t xml:space="preserve">iante dessa lacuna normativa e da necessidade de discutir os limites e as possibilidades do Direito Penal Brasileiro na proteção da fé e da dignidade da pessoa humana, formula-se a questão central </w:t>
      </w:r>
      <w:r>
        <w:lastRenderedPageBreak/>
        <w:t>dessa pesquisa: de que forma a manipulação da fé, potencial</w:t>
      </w:r>
      <w:r>
        <w:t xml:space="preserve">izada pela desinformação, pode configurar o crime de estelionato no Brasil, diante da ausência de tipificação específica para o estelionato religioso? 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t>A relevância deste estudo está justamente em analisar a fragilidade do sistema penal diante dessa modali</w:t>
      </w:r>
      <w:r>
        <w:t>dade de fraude, fomentando o debate acadêmico e legislativo sobre a pertinência de instrumentos normativos mais eficazes. Como observa Zaffaroni (2003), o Direito Penal deve ser utilizado de forma excepcional e racional, mas não pode se omitir frente a prá</w:t>
      </w:r>
      <w:r>
        <w:t>ticas que lesam gravemente bens jurídicos relevantes. Nesse sentido, a fé, enquanto direito fundamental consagrado no art. 5º, VI, da Constituição Federal de 1988, merece não apenas proteção como liberdade de crença, mas também salvaguarda contra sua explo</w:t>
      </w:r>
      <w:r>
        <w:t>ração indevida para fins ilícitos.</w:t>
      </w:r>
    </w:p>
    <w:p w:rsidR="00163D7C" w:rsidRDefault="00B24F49">
      <w:pPr>
        <w:tabs>
          <w:tab w:val="left" w:pos="1540"/>
        </w:tabs>
        <w:spacing w:line="360" w:lineRule="auto"/>
        <w:ind w:firstLine="708"/>
        <w:jc w:val="both"/>
      </w:pPr>
      <w:r>
        <w:t>Portanto, este artigo propõe-se a contribuir para a reflexão crítica sobre a possibilidade e pertinência da criminalização específica do estelionato religioso, examinando os limites da intervenção penal e possíveis altern</w:t>
      </w:r>
      <w:r>
        <w:t>ativas de política criminal. Trata-se de um tema situado na interseção entre direito, religião e sociedade, exigindo abordagem multidisciplinar e diálogo entre doutrina, jurisprudência e realidade social.</w:t>
      </w:r>
    </w:p>
    <w:p w:rsidR="00163D7C" w:rsidRDefault="00B24F49">
      <w:pPr>
        <w:spacing w:line="36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2 OBJETIVO</w:t>
      </w:r>
    </w:p>
    <w:p w:rsidR="00163D7C" w:rsidRDefault="00B24F49" w:rsidP="007867CC">
      <w:pPr>
        <w:spacing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Investigar a ausência de tipificação pen</w:t>
      </w:r>
      <w:r>
        <w:rPr>
          <w:sz w:val="24"/>
          <w:szCs w:val="24"/>
        </w:rPr>
        <w:t>al específica para o estelionato religioso no Brasil, avaliando os impactos dessa lacuna normativa na responsabilização de condutas que manipulam a fé por meio da desinformação.</w:t>
      </w:r>
    </w:p>
    <w:p w:rsidR="00163D7C" w:rsidRDefault="00B24F49" w:rsidP="007867CC">
      <w:pPr>
        <w:spacing w:before="240"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Objetivos Específicos</w:t>
      </w:r>
    </w:p>
    <w:p w:rsidR="00163D7C" w:rsidRDefault="00B24F49" w:rsidP="00786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Investigar os fatores sociais e jurídicos que tornam</w:t>
      </w:r>
      <w:r>
        <w:rPr>
          <w:color w:val="000000"/>
          <w:sz w:val="24"/>
          <w:szCs w:val="24"/>
        </w:rPr>
        <w:t xml:space="preserve"> a fé um campo vulnerável a práticas fraudulentas;</w:t>
      </w:r>
    </w:p>
    <w:p w:rsidR="00163D7C" w:rsidRDefault="00B24F49" w:rsidP="00786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Analisar a eficácia do estelionato genérico (art. 171, CP) na repressão às condutas de fraude religiosa;</w:t>
      </w:r>
    </w:p>
    <w:p w:rsidR="00163D7C" w:rsidRDefault="00B24F49" w:rsidP="00786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bookmarkStart w:id="2" w:name="_heading=h.gifdx2nqqtvh" w:colFirst="0" w:colLast="0"/>
      <w:bookmarkEnd w:id="2"/>
      <w:r>
        <w:rPr>
          <w:color w:val="000000"/>
          <w:sz w:val="24"/>
          <w:szCs w:val="24"/>
        </w:rPr>
        <w:t>Discutir a função e os limites do Direito Penal na tutela da fé e da dignidade da pessoa;</w:t>
      </w:r>
    </w:p>
    <w:p w:rsidR="00163D7C" w:rsidRDefault="00B24F49" w:rsidP="00786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 w:line="360" w:lineRule="auto"/>
        <w:ind w:left="0"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Avaliar a pertinência de medidas legislativas ou de política criminal para enfrentar o estelionato religioso;</w:t>
      </w:r>
    </w:p>
    <w:p w:rsidR="00163D7C" w:rsidRDefault="00B24F49">
      <w:pPr>
        <w:spacing w:line="36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3 MÉTODO</w:t>
      </w:r>
    </w:p>
    <w:p w:rsidR="00163D7C" w:rsidRDefault="00B24F49" w:rsidP="007867CC">
      <w:pPr>
        <w:spacing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trabalho adotará uma abordagem qualitativa descritiva, valendo-se de um estudo interpretativo do mundo social que buscará compreender o</w:t>
      </w:r>
      <w:r>
        <w:rPr>
          <w:sz w:val="24"/>
          <w:szCs w:val="24"/>
        </w:rPr>
        <w:t xml:space="preserve">s fenômenos e seus significados mais diversos e complexos.  Na opinião de Cleber e Ernani (2013, p. 70), estes tipos de abordagem andam em conjunto, afirmando ainda que a pesquisa tem o ambiente como fonte direta dos </w:t>
      </w:r>
      <w:r>
        <w:rPr>
          <w:sz w:val="24"/>
          <w:szCs w:val="24"/>
        </w:rPr>
        <w:lastRenderedPageBreak/>
        <w:t>dados, mantendo o pesquisador em contat</w:t>
      </w:r>
      <w:r>
        <w:rPr>
          <w:sz w:val="24"/>
          <w:szCs w:val="24"/>
        </w:rPr>
        <w:t>o direto com o ambiente e o objeto de estudo em questão, necessitando de um trabalho mais intensivo de campo, analisando, registrando, observando, classificando e interpretando seus dados e fatos, sem que o pesquisador interfira sobre eles. Com caráter exp</w:t>
      </w:r>
      <w:r>
        <w:rPr>
          <w:sz w:val="24"/>
          <w:szCs w:val="24"/>
        </w:rPr>
        <w:t>loratório e bibliográfico, aprofundará o tema por meio de uma análise fundamentada na consulta de dados já publicados, incluindo doutrina penal, artigos científicos, jurisprudência e documentos normativos, permitindo um exame crítico de como o Direito Pena</w:t>
      </w:r>
      <w:r>
        <w:rPr>
          <w:sz w:val="24"/>
          <w:szCs w:val="24"/>
        </w:rPr>
        <w:t>l trata, ou se omite, diante do chamado estelionato religioso. Segundo preleciona Lakatos e Marconi (2017 p. 221), pesquisas de tipo exploratório são investigações empíricas que objetivam formular questões ou problemas, com três finalidades específicas cit</w:t>
      </w:r>
      <w:r>
        <w:rPr>
          <w:sz w:val="24"/>
          <w:szCs w:val="24"/>
        </w:rPr>
        <w:t>adas pelos autores: desenvolver e trabalhar hipóteses; aumentar a intimidade do pesquisador com o tema, fato ou fenômeno visando a realização de uma pesquisa precisa e esclarecer conceitos.</w:t>
      </w:r>
    </w:p>
    <w:p w:rsidR="00163D7C" w:rsidRDefault="00B24F49">
      <w:pPr>
        <w:spacing w:before="240"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Lakatos e Marconi (2017, p. 57), ainda citam que, pesquisa bibliog</w:t>
      </w:r>
      <w:r>
        <w:rPr>
          <w:sz w:val="24"/>
          <w:szCs w:val="24"/>
        </w:rPr>
        <w:t>ráfica é um tipo específico de produção científica, feita com base em textos, como livros, artigos científicos, ensaios críticos, dicionários, enciclopédias, jornais, revistas, resenhas, resumos, com o intuito colocar o pesquisador em contato direto com tu</w:t>
      </w:r>
      <w:r>
        <w:rPr>
          <w:sz w:val="24"/>
          <w:szCs w:val="24"/>
        </w:rPr>
        <w:t>do o que foi escrito. Complementarmente, serão considerados casos concretos amplamente divulgados pela mídia e decisões judiciais que evidenciam a utilização da fé como instrumento para obtenção de vantagem ilícita dos fiés. Quanto ao método de procediment</w:t>
      </w:r>
      <w:r>
        <w:rPr>
          <w:sz w:val="24"/>
          <w:szCs w:val="24"/>
        </w:rPr>
        <w:t xml:space="preserve">o, será empregado o dedutivo, que, “parte de princípios reconhecidos como verdadeiros e indiscutíveis e possibilita chegar a conclusões de maneira puramente formal, isto é, em virtude unicamente de sua lógica.” (GIL, 2008, p. 9) e, neste caso, partindo da </w:t>
      </w:r>
      <w:r>
        <w:rPr>
          <w:sz w:val="24"/>
          <w:szCs w:val="24"/>
        </w:rPr>
        <w:t>análise geral do crime de estelionato para, gradualmente, alcançar uma reflexão específica sobre sua manifestação no contexto religioso.</w:t>
      </w:r>
    </w:p>
    <w:p w:rsidR="00163D7C" w:rsidRDefault="00B24F49">
      <w:pPr>
        <w:spacing w:before="240"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essa pesquisa e aprofundamento realizada em obras de Direito Penal, Constitucional e Direitos Humanos, além de arti</w:t>
      </w:r>
      <w:r>
        <w:rPr>
          <w:sz w:val="24"/>
          <w:szCs w:val="24"/>
        </w:rPr>
        <w:t>gos científicos, dissertações e teses que abordam a relação entre religião, patrimônio e responsabilidade penal, pretende-se avaliar se o atual modelo normativo, baseado no tipo genérico de estelionato, é suficiente para coibir práticas fraudulentas que ex</w:t>
      </w:r>
      <w:r>
        <w:rPr>
          <w:sz w:val="24"/>
          <w:szCs w:val="24"/>
        </w:rPr>
        <w:t>ploram a crença religiosa ou se a criação de um tipo penal autônomo se faz necessária para garantir a proteção efetiva do patrimônio, da dignidade e da liberdade dos fiéis.</w:t>
      </w:r>
    </w:p>
    <w:p w:rsidR="00163D7C" w:rsidRDefault="00B24F49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 RESULTADOS E DISCUSSÃO</w:t>
      </w:r>
    </w:p>
    <w:p w:rsidR="00163D7C" w:rsidRDefault="00B24F49" w:rsidP="007867CC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firstLine="708"/>
        <w:jc w:val="both"/>
        <w:rPr>
          <w:color w:val="000000"/>
          <w:sz w:val="24"/>
          <w:szCs w:val="24"/>
        </w:rPr>
      </w:pPr>
      <w:bookmarkStart w:id="3" w:name="_heading=h.7bum24gedyy0" w:colFirst="0" w:colLast="0"/>
      <w:bookmarkEnd w:id="3"/>
      <w:r>
        <w:rPr>
          <w:color w:val="000000"/>
          <w:sz w:val="24"/>
          <w:szCs w:val="24"/>
        </w:rPr>
        <w:lastRenderedPageBreak/>
        <w:t>A jurisprudência e a doutrina consultadas mostram que o estelionato religioso configura fenômeno social e jurídico de relevante crescimento no cenário brasileiro, especialmente em razão do aumento de casos em que líderes espirituais instrumentalizam a cred</w:t>
      </w:r>
      <w:r>
        <w:rPr>
          <w:color w:val="000000"/>
          <w:sz w:val="24"/>
          <w:szCs w:val="24"/>
        </w:rPr>
        <w:t xml:space="preserve">ulidade popular e a liberdade de crença com o objetivo de obter vantagem ilícita. Smaniotto e Paz (2019) destacam que práticas como o curandeirismo, o charlatanismo e o estelionato vêm sendo insistentemente identificadas no campo religioso, associadas, em </w:t>
      </w:r>
      <w:r>
        <w:rPr>
          <w:color w:val="000000"/>
          <w:sz w:val="24"/>
          <w:szCs w:val="24"/>
        </w:rPr>
        <w:t>sua maioria, à promessa de curas milagrosas ou benefícios espirituais condicionados à entrega de valores financeiros. Os autores ressaltam que a liberdade religiosa, prevista no art. 5º, VI, da Constituição Federal de 1988, não é de caráter absoluto, razão</w:t>
      </w:r>
      <w:r>
        <w:rPr>
          <w:color w:val="000000"/>
          <w:sz w:val="24"/>
          <w:szCs w:val="24"/>
        </w:rPr>
        <w:t xml:space="preserve"> pela qual não pode ser invocada como escudo protetivo de condutas que, sob o pretexto da fé, configuram ilícitos penais. Nessas hipóteses, impõe-se a intervenção estatal, por meio da repressão penal, com o objetivo principal de salvaguardar direitos funda</w:t>
      </w:r>
      <w:r>
        <w:rPr>
          <w:color w:val="000000"/>
          <w:sz w:val="24"/>
          <w:szCs w:val="24"/>
        </w:rPr>
        <w:t>mentais de terceiros.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mesma linha, Sousa (2022) observa que, embora o Estado brasileiro seja regido pelo princípio da laicidade, a liberdade de crença encontra limites quando confrontada com bens jurídicos igualmente tutelados, tais como o patrimônio e </w:t>
      </w:r>
      <w:r>
        <w:rPr>
          <w:color w:val="000000"/>
          <w:sz w:val="24"/>
          <w:szCs w:val="24"/>
        </w:rPr>
        <w:t>a dignidade da pessoa humana. A autora enfatiza que diversos litígios apreciados pela esfera cível apresentam, em essência, elementos típicos do estelionato previsto no art. 171 do Código Penal. Todavia, a ausência de tipificação penal específica para a fr</w:t>
      </w:r>
      <w:r>
        <w:rPr>
          <w:color w:val="000000"/>
          <w:sz w:val="24"/>
          <w:szCs w:val="24"/>
        </w:rPr>
        <w:t>aude religiosa gera significativa dificuldade na responsabilização criminal, ensejando, por vezes, espaços de impunidade.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Vargas (2022) sustenta, ainda, que o denominado “estelionato da fé” carece de previsão legal autônoma, subsumindo-se, de forma insufic</w:t>
      </w:r>
      <w:r>
        <w:rPr>
          <w:color w:val="000000"/>
          <w:sz w:val="24"/>
          <w:szCs w:val="24"/>
        </w:rPr>
        <w:t>iente, ao art. 171 do CP ou, por analogia, aos crimes de charlatanismo e curandeirismo (arts. 283 e 284 do CP). A autora cita, como exemplo emblemático, práticas ocorridas durante a pandemia da Covid-19, como a comercialização de supostos “feijões mágicos”</w:t>
      </w:r>
      <w:r>
        <w:rPr>
          <w:color w:val="000000"/>
          <w:sz w:val="24"/>
          <w:szCs w:val="24"/>
        </w:rPr>
        <w:t xml:space="preserve"> com promessa de cura, revelando a vulnerabilidade do sistema penal frente à exploração religiosa de cunho fraudulento. A partir disso, defende a criação de norma penal específica, apta a coibir tais práticas e assegurar tutela efetiva às vítimas, muitas d</w:t>
      </w:r>
      <w:r>
        <w:rPr>
          <w:color w:val="000000"/>
          <w:sz w:val="24"/>
          <w:szCs w:val="24"/>
        </w:rPr>
        <w:t>elas em situação de irreversibilidade dos danos.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Nicácio (2024), por sua vez, adverte que a liberdade religiosa no Brasil é exercida em contexto de pluralismo e diversidade, mas permeado por tensões sociais e institucionais, a autora demonstra que a jurisp</w:t>
      </w:r>
      <w:r>
        <w:rPr>
          <w:color w:val="000000"/>
          <w:sz w:val="24"/>
          <w:szCs w:val="24"/>
        </w:rPr>
        <w:t xml:space="preserve">rudência ora amplia, ora restringe o alcance da liberdade de crença, especialmente em casos relacionados a religiões de matriz africana, o que evidencia </w:t>
      </w:r>
      <w:r>
        <w:rPr>
          <w:color w:val="000000"/>
          <w:sz w:val="24"/>
          <w:szCs w:val="24"/>
        </w:rPr>
        <w:lastRenderedPageBreak/>
        <w:t>uma atuação fragmentada e desigual do Poder Judiciário. Constata-se, assim, que o direito tem funcionad</w:t>
      </w:r>
      <w:r>
        <w:rPr>
          <w:color w:val="000000"/>
          <w:sz w:val="24"/>
          <w:szCs w:val="24"/>
        </w:rPr>
        <w:t>o como mediador das tensões entre religião, diversidade e liberdade, sem, contudo, oferecer resposta uniforme e eficaz diante da exploração fraudulenta da fé.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acordo com Guilherme de Souza Nucci (2022), a interpretação do tipo penal de estelionato deve </w:t>
      </w:r>
      <w:r>
        <w:rPr>
          <w:color w:val="000000"/>
          <w:sz w:val="24"/>
          <w:szCs w:val="24"/>
        </w:rPr>
        <w:t>ser restritiva, uma vez que o Direito Penal não pode ser ampliado por analogia em desfavor do réu. Todavia, o autor ressalta que o bem jurídico tutelado pelo art. 171 do Código Penal não se limita ao patrimônio, abrangendo também a confiança social e a boa</w:t>
      </w:r>
      <w:r>
        <w:rPr>
          <w:color w:val="000000"/>
          <w:sz w:val="24"/>
          <w:szCs w:val="24"/>
        </w:rPr>
        <w:t>-fé, elementos centrais nas relações humanas. No contexto da fraude religiosa, evidencia-se uma dificuldade concreta: além da lesão patrimonial, a manipulação da fé atinge valores constitucionais como a dignidade da pessoa humana, a liberdade de crença e a</w:t>
      </w:r>
      <w:r>
        <w:rPr>
          <w:color w:val="000000"/>
          <w:sz w:val="24"/>
          <w:szCs w:val="24"/>
        </w:rPr>
        <w:t xml:space="preserve"> liberdade de expressão. Essa complexidade reforça a necessidade de reflexão crítica acerca da suficiência do tipo penal genérico já existente na legislação e da pertinência de uma tipificação autônoma que evite espaços de impunidade.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 outra perspectiva</w:t>
      </w:r>
      <w:r>
        <w:rPr>
          <w:color w:val="000000"/>
          <w:sz w:val="24"/>
          <w:szCs w:val="24"/>
        </w:rPr>
        <w:t xml:space="preserve">, Luiz Regis Prado (2021) sustenta que o Direito Penal deve ser aplicado como </w:t>
      </w:r>
      <w:r>
        <w:rPr>
          <w:i/>
          <w:color w:val="000000"/>
          <w:sz w:val="24"/>
          <w:szCs w:val="24"/>
        </w:rPr>
        <w:t>ultima ratio</w:t>
      </w:r>
      <w:r>
        <w:rPr>
          <w:color w:val="000000"/>
          <w:sz w:val="24"/>
          <w:szCs w:val="24"/>
        </w:rPr>
        <w:t>, intervindo apenas quando os demais ramos do direito se revelarem incapazes de tutelar bens jurídicos essenciais. No caso do estelionato religioso, essa diretriz enc</w:t>
      </w:r>
      <w:r>
        <w:rPr>
          <w:color w:val="000000"/>
          <w:sz w:val="24"/>
          <w:szCs w:val="24"/>
        </w:rPr>
        <w:t>ontra tensão evidente, haja vista que a Constituição Federal, ao mesmo tempo em que assegura, em seu art. 5º, VI, a liberdade religiosa e, em seu inciso IX, a liberdade de expressão, consagra, no art. 1º, III, a dignidade da pessoa humana como fundamento d</w:t>
      </w:r>
      <w:r>
        <w:rPr>
          <w:color w:val="000000"/>
          <w:sz w:val="24"/>
          <w:szCs w:val="24"/>
        </w:rPr>
        <w:t>o Estado Democrático de Direito. A necessária conciliação entre a proteção da liberdade de culto e a responsabilização penal das condutas que instrumentalizam a fé para fins ilegítimos constitui, assim, o núcleo central da controvérsia.</w:t>
      </w:r>
    </w:p>
    <w:p w:rsidR="00163D7C" w:rsidRDefault="00B24F49">
      <w:pPr>
        <w:spacing w:before="240"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jurisprudência do</w:t>
      </w:r>
      <w:r>
        <w:rPr>
          <w:sz w:val="24"/>
          <w:szCs w:val="24"/>
        </w:rPr>
        <w:t>s tribunais superiores oferece importantes subsídios para esse debate, o Superior Tribunal de Justiça tem entendimento que mantém sentenças condenatórias a respeito dos julgamentos contra estelionatários da fé, reafirmando que a liberdade religiosa não é a</w:t>
      </w:r>
      <w:r>
        <w:rPr>
          <w:sz w:val="24"/>
          <w:szCs w:val="24"/>
        </w:rPr>
        <w:t xml:space="preserve">bsoluta e não pode ser utilizada como escudo para práticas ilícitas, além de defender o crime como um crime grave e prejudicial à população, ao invés de mero crime de menor potencial ofensivo, como se observa: </w:t>
      </w:r>
    </w:p>
    <w:p w:rsidR="00163D7C" w:rsidRDefault="00B24F49">
      <w:pPr>
        <w:spacing w:before="240" w:after="240"/>
        <w:ind w:left="2267"/>
        <w:jc w:val="both"/>
        <w:rPr>
          <w:sz w:val="20"/>
          <w:szCs w:val="20"/>
        </w:rPr>
      </w:pPr>
      <w:r>
        <w:rPr>
          <w:sz w:val="20"/>
          <w:szCs w:val="20"/>
        </w:rPr>
        <w:t>HABEAS CORPUS. ESTELIONATO PRATICADO EM CONTI</w:t>
      </w:r>
      <w:r>
        <w:rPr>
          <w:sz w:val="20"/>
          <w:szCs w:val="20"/>
        </w:rPr>
        <w:t xml:space="preserve">NUIDADE DELITIVA (SEIS VEZES). DOSIMETRIA DA PENA. PENA-BASE FIXADA EM 3 ANOS DE RECLUSÃO. PENA DEFINITIVA: 4 ANOS E 6 MESES DE RECLUSÃO. CIRCUNSTÂNCIAS JUDICIAIS DESFAVORÁVEIS. </w:t>
      </w:r>
      <w:r>
        <w:rPr>
          <w:sz w:val="20"/>
          <w:szCs w:val="20"/>
        </w:rPr>
        <w:lastRenderedPageBreak/>
        <w:t xml:space="preserve">CULPABILIDADE, CIRCUNSTÂNCIAS E CONSEQUÊNCIAS DO CRIME. </w:t>
      </w:r>
      <w:r>
        <w:rPr>
          <w:b/>
          <w:sz w:val="20"/>
          <w:szCs w:val="20"/>
        </w:rPr>
        <w:t>CULPABILIDADE INTENSA:</w:t>
      </w:r>
      <w:r>
        <w:rPr>
          <w:b/>
          <w:sz w:val="20"/>
          <w:szCs w:val="20"/>
        </w:rPr>
        <w:t xml:space="preserve"> PASSAR-SE POR SUPERVISOR DO INSS E PASTOR DE IGREJA PARA EXPLORAR A FÉ DAS PESSOAS. EXPRESSIVO PREJUÍZO ÀS VÍTIMAS</w:t>
      </w:r>
      <w:r>
        <w:rPr>
          <w:sz w:val="20"/>
          <w:szCs w:val="20"/>
        </w:rPr>
        <w:t>. AUSÊNCIA DE CONSTRANGIMENTO ILEGAL. TRANSAÇÃO PENAL. IMPOSSIBILIDADE. CRIME QUE NÃO SE EMOLDURA NO ROL DAS INFRAÇÕES PENAIS DE MENOR POTENC</w:t>
      </w:r>
      <w:r>
        <w:rPr>
          <w:sz w:val="20"/>
          <w:szCs w:val="20"/>
        </w:rPr>
        <w:t>IAL OFENSIVO. CONTINUIDADE DELITIVA. SUSPENSÃO CONDICIONAL DO PROCESSO. PENA MÍNIMA EM ABSTRATO SUPERIOR AO LIMITE OBJETIVO/TEMPORAL DE 1 ANO PREVISTO NO ART. 89 DA LEI 9.099/95. IMPOSSIBILIDADE DE APLICAÇÃO DO BENEFÍCIO. SÚMULA 243/STJ. SUSPENSÃO CONDICIO</w:t>
      </w:r>
      <w:r>
        <w:rPr>
          <w:sz w:val="20"/>
          <w:szCs w:val="20"/>
        </w:rPr>
        <w:t xml:space="preserve">NAL DA PENA. AUSÊNCIA DO REQUISITO OBJETIVO (ART. 77 DO CPB). PARECER DO MPF PELA DENEGAÇÃO DO WRIT. ORDEM DENEGADA. [...] 3. Na hipótese em tela, a culpabilidade intensa do acusado, verificável a partir das circunstâncias que cercam o delito, </w:t>
      </w:r>
      <w:r>
        <w:rPr>
          <w:b/>
          <w:sz w:val="20"/>
          <w:szCs w:val="20"/>
        </w:rPr>
        <w:t>especialment</w:t>
      </w:r>
      <w:r>
        <w:rPr>
          <w:b/>
          <w:sz w:val="20"/>
          <w:szCs w:val="20"/>
        </w:rPr>
        <w:t>e o fato de ter se passado por funcionário público (Supervisor do INSS) e Pastor da Igreja Evangélica para explorar a fé da população</w:t>
      </w:r>
      <w:r>
        <w:rPr>
          <w:sz w:val="20"/>
          <w:szCs w:val="20"/>
        </w:rPr>
        <w:t>, bem como o considerável prejuízo causado com a conduta (34.800,00), são suficientes para elevar a pena-base, tal como fei</w:t>
      </w:r>
      <w:r>
        <w:rPr>
          <w:sz w:val="20"/>
          <w:szCs w:val="20"/>
        </w:rPr>
        <w:t>ta pelo Juízo processante, que procedeu ao aumento de forma proporcional, em 2 anos acima do mínimo legal estabelecido pela norma penal. 4. O estelionato (art. 171, caput do CPB), que possui pena máxima de 5 anos de reclusão, superior portanto ao limite de</w:t>
      </w:r>
      <w:r>
        <w:rPr>
          <w:sz w:val="20"/>
          <w:szCs w:val="20"/>
        </w:rPr>
        <w:t xml:space="preserve"> 2 anos previsto no art. 61 da Lei 9.099/95, não se emoldura no rol das infrações penais de menor potencial ofensivo, razão pela qual o paciente não faz jus ao benefício da transação penal (art. 76 da Lei 9.099/95). [...]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Diante desse cenário, é possível i</w:t>
      </w:r>
      <w:r>
        <w:rPr>
          <w:color w:val="000000"/>
          <w:sz w:val="24"/>
          <w:szCs w:val="24"/>
        </w:rPr>
        <w:t>dentificar três eixos centrais de discussão: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851" w:hanging="284"/>
        <w:jc w:val="both"/>
      </w:pPr>
      <w:r>
        <w:rPr>
          <w:color w:val="000000"/>
          <w:sz w:val="24"/>
          <w:szCs w:val="24"/>
        </w:rPr>
        <w:t>1  Fragilidade normativa – A ausência de previsão legal específica para o estelionato religioso acarreta insegurança jurídica, permitindo que condutas de significativa gravidade permaneçam impunes ou sejam trata</w:t>
      </w:r>
      <w:r>
        <w:rPr>
          <w:color w:val="000000"/>
          <w:sz w:val="24"/>
          <w:szCs w:val="24"/>
        </w:rPr>
        <w:t>das apenas na esfera cível (Sousa, 2022; Vargas, 2022).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>
        <w:rPr>
          <w:color w:val="000000"/>
          <w:sz w:val="24"/>
          <w:szCs w:val="24"/>
        </w:rPr>
        <w:t>2  Exploração da vulnerabilidade da fé – O abuso da confiança religiosa, muitas vezes potencializado pela desinformação, constitui meio recorrente de fraude, induzindo o fiel em erro mediante falsas promessas de cura, prosperidade ou salvação (Smaniotto; P</w:t>
      </w:r>
      <w:r>
        <w:rPr>
          <w:color w:val="000000"/>
          <w:sz w:val="24"/>
          <w:szCs w:val="24"/>
        </w:rPr>
        <w:t>az, 2019; Vargas, 2022).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851" w:hanging="284"/>
        <w:jc w:val="both"/>
      </w:pPr>
      <w:r>
        <w:rPr>
          <w:color w:val="000000"/>
          <w:sz w:val="24"/>
          <w:szCs w:val="24"/>
        </w:rPr>
        <w:t>3  Limites da liberdade religiosa – Embora constitucionalmente assegurada, a liberdade de crença não é absoluta e deve ser compatibilizada com outros direitos fundamentais, como patrimônio, saúde e dignidade da pessoa humana. A jur</w:t>
      </w:r>
      <w:r>
        <w:rPr>
          <w:color w:val="000000"/>
          <w:sz w:val="24"/>
          <w:szCs w:val="24"/>
        </w:rPr>
        <w:t>isprudência, nesse contexto, tem atuado de modo oscilante e insuficiente, especialmente em casos de intolerância ou abuso (Nicácio, 2024).</w:t>
      </w:r>
    </w:p>
    <w:p w:rsidR="00163D7C" w:rsidRDefault="00B24F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Constata-se, portanto, que a problemática não se exaure na aplicação literal do art. 171 do Código Penal, mas exige reflexão mais ampla sobre a própria função do Direito Penal na tutela da fé e da dignidade da pessoa humana. Como leciona Zaffaroni (2003), </w:t>
      </w:r>
      <w:r>
        <w:rPr>
          <w:color w:val="000000"/>
          <w:sz w:val="24"/>
          <w:szCs w:val="24"/>
        </w:rPr>
        <w:t xml:space="preserve">a intervenção penal deve se dar de maneira excepcional e racional, mas não pode se omitir diante de condutas </w:t>
      </w:r>
      <w:r>
        <w:rPr>
          <w:color w:val="000000"/>
          <w:sz w:val="24"/>
          <w:szCs w:val="24"/>
        </w:rPr>
        <w:lastRenderedPageBreak/>
        <w:t>que comprometam gravemente bens jurídicos relevantes, sob pena de enfraquecimento da credibilidade do ordenamento jurídico.</w:t>
      </w:r>
    </w:p>
    <w:p w:rsidR="00163D7C" w:rsidRDefault="00B24F49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 CONSIDERAÇÕES FINAIS</w:t>
      </w:r>
    </w:p>
    <w:p w:rsidR="00163D7C" w:rsidRDefault="00B24F4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estudo realizado evidencia que o fenômeno do estelionato religioso desafia não apenas os contornos tradicionais do Direito Penal Brasileiro, mas também a capacidade do Estado Democrático de Direito de equilibrar a proteção da liberdade de crença com a tu</w:t>
      </w:r>
      <w:r>
        <w:rPr>
          <w:sz w:val="24"/>
          <w:szCs w:val="24"/>
        </w:rPr>
        <w:t>tela da dignidade da pessoa humana e do patrimônio coletivo. Embora o art. 171 do Código Penal busque resguardar a boa-fé e a confiança social, sua aplicação prática às fraudes de cunho religioso revela-se insuficiente para abarcar a complexidade espiritua</w:t>
      </w:r>
      <w:r>
        <w:rPr>
          <w:sz w:val="24"/>
          <w:szCs w:val="24"/>
        </w:rPr>
        <w:t>l, informacional e sociocultural dessas condutas.</w:t>
      </w:r>
    </w:p>
    <w:p w:rsidR="00163D7C" w:rsidRDefault="00B24F4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manipulação da fé, agravada pela desinformação digital e pela circulação massiva de </w:t>
      </w:r>
      <w:r>
        <w:rPr>
          <w:i/>
          <w:sz w:val="24"/>
          <w:szCs w:val="24"/>
        </w:rPr>
        <w:t>fake news</w:t>
      </w:r>
      <w:r>
        <w:rPr>
          <w:sz w:val="24"/>
          <w:szCs w:val="24"/>
        </w:rPr>
        <w:t>, intensifica a vulnerabilidade dos fiéis e amplia os danos produzidos, que ultrapassam o aspecto patrimonial e</w:t>
      </w:r>
      <w:r>
        <w:rPr>
          <w:sz w:val="24"/>
          <w:szCs w:val="24"/>
        </w:rPr>
        <w:t xml:space="preserve"> alcançam esferas morais, psíquicas e identitárias. Nesse contexto, torna-se evidente que a liberdade religiosa, embora constitucionalmente assegurada, não é absoluta e deve estar em harmonia com outros bens jurídicos, igualmente assegurados pela Constitui</w:t>
      </w:r>
      <w:r>
        <w:rPr>
          <w:sz w:val="24"/>
          <w:szCs w:val="24"/>
        </w:rPr>
        <w:t>ção Federal de 1988, como a dignidade da pessoa humana, a saúde e o patrimônio. A utilização desse direito fundamental como escudo para práticas fraudulentas representa um desvirtuamento de sua finalidade e exige atuação estatal mais firme e coerente.</w:t>
      </w:r>
    </w:p>
    <w:p w:rsidR="00163D7C" w:rsidRDefault="00B24F4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jurisprudência tem avançado ao reconhecer a gravidade social do estelionato religioso, afastando benefícios despenalizadores e reafirmando que tais práticas não configuram ilícitos de menor potencial ofensivo. Todavia, a ausência de uma tipificação autôn</w:t>
      </w:r>
      <w:r>
        <w:rPr>
          <w:sz w:val="24"/>
          <w:szCs w:val="24"/>
        </w:rPr>
        <w:t xml:space="preserve">oma ainda gera insegurança jurídica e decisões fragmentadas, comprometendo a efetividade da tutela penal. Nesse sentido, a doutrina contemporânea converge na defesa de que o Direito Penal deve atuar como </w:t>
      </w:r>
      <w:r>
        <w:rPr>
          <w:i/>
          <w:sz w:val="24"/>
          <w:szCs w:val="24"/>
        </w:rPr>
        <w:t>ultima ratio</w:t>
      </w:r>
      <w:r>
        <w:rPr>
          <w:sz w:val="24"/>
          <w:szCs w:val="24"/>
        </w:rPr>
        <w:t>, mas não pode se manter inerte diante d</w:t>
      </w:r>
      <w:r>
        <w:rPr>
          <w:sz w:val="24"/>
          <w:szCs w:val="24"/>
        </w:rPr>
        <w:t>e práticas que instrumentalizam a fé para fins ilícitos.</w:t>
      </w:r>
    </w:p>
    <w:p w:rsidR="00163D7C" w:rsidRDefault="00B24F4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Conclui-se, portanto, que a solução para essa problemática demanda uma abordagem multidisciplinar e integrada: (i) avanços legislativos, com a criação de um tipo penal específico ou o aprimoramento d</w:t>
      </w:r>
      <w:r>
        <w:rPr>
          <w:sz w:val="24"/>
          <w:szCs w:val="24"/>
        </w:rPr>
        <w:t>o estelionato genérico; (ii) coerência jurisprudencial, capaz de uniformizar a proteção aos fiéis; (iii) políticas públicas preventivas, voltadas ao combate da desinformação e à promoção de uma educação crítica; e (iv) valorização da fé como elemento de id</w:t>
      </w:r>
      <w:r>
        <w:rPr>
          <w:sz w:val="24"/>
          <w:szCs w:val="24"/>
        </w:rPr>
        <w:t>entidade, dignidade e coesão social.</w:t>
      </w:r>
    </w:p>
    <w:p w:rsidR="00163D7C" w:rsidRDefault="00B24F4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Por fim, a criminalização clara do estelionato religioso não deve ser entendida como expansão desmedida do Direito Penal, mas como reafirmação de sua função garantista, de modo que, reconhecer a gravidade desse fenômeno</w:t>
      </w:r>
      <w:r>
        <w:rPr>
          <w:sz w:val="24"/>
          <w:szCs w:val="24"/>
        </w:rPr>
        <w:t xml:space="preserve"> significa proteger, simultaneamente, a liberdade de crença, o patrimônio e a dignidade humana. Assim, cabe ao ordenamento jurídico brasileiro avançar na construção de respostas normativas e sociais que impeçam que a fé, fundamento de tantos valores indivi</w:t>
      </w:r>
      <w:r>
        <w:rPr>
          <w:sz w:val="24"/>
          <w:szCs w:val="24"/>
        </w:rPr>
        <w:t>duais e coletivos, continue a ser utilizada como instrumento de exploração e fraude.</w:t>
      </w:r>
    </w:p>
    <w:p w:rsidR="00163D7C" w:rsidRDefault="00B24F4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BARROSO, Luís Roberto. </w:t>
      </w:r>
      <w:r>
        <w:rPr>
          <w:b/>
          <w:sz w:val="24"/>
          <w:szCs w:val="24"/>
        </w:rPr>
        <w:t>O direito constitucional e a efetividade de suas normas</w:t>
      </w:r>
      <w:r>
        <w:rPr>
          <w:sz w:val="24"/>
          <w:szCs w:val="24"/>
        </w:rPr>
        <w:t>. Rio de Janeiro: Renovar, 2005.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BITENCOURT, Cezar Roberto.</w:t>
      </w:r>
      <w:r>
        <w:rPr>
          <w:b/>
          <w:sz w:val="24"/>
          <w:szCs w:val="24"/>
        </w:rPr>
        <w:t xml:space="preserve"> Tratado de Direito Pe</w:t>
      </w:r>
      <w:r>
        <w:rPr>
          <w:b/>
          <w:sz w:val="24"/>
          <w:szCs w:val="24"/>
        </w:rPr>
        <w:t>nal</w:t>
      </w:r>
      <w:r>
        <w:rPr>
          <w:sz w:val="24"/>
          <w:szCs w:val="24"/>
        </w:rPr>
        <w:t>: Parte Geral. 21. ed. São Paulo: Saraiva, 2020.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>
        <w:rPr>
          <w:b/>
          <w:sz w:val="24"/>
          <w:szCs w:val="24"/>
        </w:rPr>
        <w:t>Código Penal</w:t>
      </w:r>
      <w:r>
        <w:rPr>
          <w:sz w:val="24"/>
          <w:szCs w:val="24"/>
        </w:rPr>
        <w:t>. Decreto-Lei nº 2.848, de 7 de dezembro de 1940. Disponível em: http://www.planalto.gov.br/ccivil_03/decreto-lei/del2848compilado.htm. Acesso em: 29 ago. 2025.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>
        <w:rPr>
          <w:b/>
          <w:sz w:val="24"/>
          <w:szCs w:val="24"/>
        </w:rPr>
        <w:t>Constituição da</w:t>
      </w:r>
      <w:r>
        <w:rPr>
          <w:b/>
          <w:sz w:val="24"/>
          <w:szCs w:val="24"/>
        </w:rPr>
        <w:t xml:space="preserve"> República Federativa do Brasil de 1988</w:t>
      </w:r>
      <w:r>
        <w:rPr>
          <w:sz w:val="24"/>
          <w:szCs w:val="24"/>
        </w:rPr>
        <w:t>. Brasília, DF: Senado Federal, 1988. Disponível em: http://www.planalto.gov.br/ccivil_03/constituicao/constituicao.htm. Acesso em: 29 ago. 2025.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>
        <w:rPr>
          <w:b/>
          <w:sz w:val="24"/>
          <w:szCs w:val="24"/>
        </w:rPr>
        <w:t>Decreto-Lei nº 2.848</w:t>
      </w:r>
      <w:r>
        <w:rPr>
          <w:sz w:val="24"/>
          <w:szCs w:val="24"/>
        </w:rPr>
        <w:t>, de 7 de dezembro de 1940. Código Penal. D</w:t>
      </w:r>
      <w:r>
        <w:rPr>
          <w:sz w:val="24"/>
          <w:szCs w:val="24"/>
        </w:rPr>
        <w:t>isponível em: http://www.planalto.gov.br/ccivil_03/decreto-lei/del2848compilado.htm. Acesso em: 29 ago. 2025.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>
        <w:rPr>
          <w:b/>
          <w:sz w:val="24"/>
          <w:szCs w:val="24"/>
        </w:rPr>
        <w:t>Lei nº 9.099</w:t>
      </w:r>
      <w:r>
        <w:rPr>
          <w:sz w:val="24"/>
          <w:szCs w:val="24"/>
        </w:rPr>
        <w:t>, de 26 de setembro de 1995. Dispõe sobre os Juizados Especiais Cíveis e Criminais. Disponível em: http://www.planalto.gov.br/</w:t>
      </w:r>
      <w:r>
        <w:rPr>
          <w:sz w:val="24"/>
          <w:szCs w:val="24"/>
        </w:rPr>
        <w:t>ccivil_03/leis/l9099.htm. Acesso em: 29 ago. 2025.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BRASIL. Superior Tribunal de Justiça. </w:t>
      </w:r>
      <w:r>
        <w:rPr>
          <w:b/>
          <w:sz w:val="24"/>
          <w:szCs w:val="24"/>
        </w:rPr>
        <w:t xml:space="preserve">HC 148.987/RJ. </w:t>
      </w:r>
      <w:r>
        <w:rPr>
          <w:sz w:val="24"/>
          <w:szCs w:val="24"/>
        </w:rPr>
        <w:t>Min. Rel. Napoleão Nunes Maia Filho, Quinta Turma, Julgado em 17/03/2011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CAPEZ, Fernando. </w:t>
      </w:r>
      <w:r>
        <w:rPr>
          <w:b/>
          <w:sz w:val="24"/>
          <w:szCs w:val="24"/>
        </w:rPr>
        <w:t>Curso de Direito Penal</w:t>
      </w:r>
      <w:r>
        <w:rPr>
          <w:sz w:val="24"/>
          <w:szCs w:val="24"/>
        </w:rPr>
        <w:t>: Parte Geral. São Paulo: Saraiva, 2019.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DENZIN, N. K. e LINCOLN, Y. S. (Orgs.).</w:t>
      </w:r>
      <w:r>
        <w:rPr>
          <w:b/>
          <w:sz w:val="24"/>
          <w:szCs w:val="24"/>
        </w:rPr>
        <w:t xml:space="preserve"> O planejamento da pesquisa qualitativa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teorias e abordagens</w:t>
      </w:r>
      <w:r>
        <w:rPr>
          <w:sz w:val="24"/>
          <w:szCs w:val="24"/>
        </w:rPr>
        <w:t>. 2. ed. Porto Alegre: Artmed, 2006. p. 15-41.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DENZIN, N. K. e LINCOLN, Y. S.</w:t>
      </w:r>
      <w:r>
        <w:rPr>
          <w:b/>
          <w:sz w:val="24"/>
          <w:szCs w:val="24"/>
        </w:rPr>
        <w:t xml:space="preserve"> Introdução: a disciplina e a prática da pesquisa qualitativa</w:t>
      </w:r>
      <w:r>
        <w:rPr>
          <w:sz w:val="24"/>
          <w:szCs w:val="24"/>
        </w:rPr>
        <w:t>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Eliade, Mircea.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 sagrado e o profano.</w:t>
      </w:r>
      <w:r>
        <w:rPr>
          <w:sz w:val="24"/>
          <w:szCs w:val="24"/>
        </w:rPr>
        <w:t xml:space="preserve"> São Paulo: Martins Fontes, 1992.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GIL, A. C. </w:t>
      </w:r>
      <w:r>
        <w:rPr>
          <w:b/>
          <w:sz w:val="24"/>
          <w:szCs w:val="24"/>
        </w:rPr>
        <w:t>Métodos e técnicas de pesquisa social.</w:t>
      </w:r>
      <w:r>
        <w:rPr>
          <w:sz w:val="24"/>
          <w:szCs w:val="24"/>
        </w:rPr>
        <w:t xml:space="preserve"> 6. ed. São Paulo: Atlas, 2008.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GRECO, Rogério. </w:t>
      </w:r>
      <w:r>
        <w:rPr>
          <w:b/>
          <w:sz w:val="24"/>
          <w:szCs w:val="24"/>
        </w:rPr>
        <w:t>Código Penal Comentado</w:t>
      </w:r>
      <w:r>
        <w:rPr>
          <w:sz w:val="24"/>
          <w:szCs w:val="24"/>
        </w:rPr>
        <w:t>. Rio de Janeiro: Forense, 2022.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LAKATOS, E. M.; MARCONI, M. de A. </w:t>
      </w:r>
      <w:r>
        <w:rPr>
          <w:b/>
          <w:sz w:val="24"/>
          <w:szCs w:val="24"/>
        </w:rPr>
        <w:t>Fundamentos d</w:t>
      </w:r>
      <w:r>
        <w:rPr>
          <w:b/>
          <w:sz w:val="24"/>
          <w:szCs w:val="24"/>
        </w:rPr>
        <w:t>e metodologia científica.</w:t>
      </w:r>
      <w:r>
        <w:rPr>
          <w:sz w:val="24"/>
          <w:szCs w:val="24"/>
        </w:rPr>
        <w:t xml:space="preserve"> 8. ed. São Paulo: Atlas, 2017.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NICÁCIO, Giovana. </w:t>
      </w:r>
      <w:r>
        <w:rPr>
          <w:b/>
          <w:sz w:val="24"/>
          <w:szCs w:val="24"/>
        </w:rPr>
        <w:t>Liberdade religiosa e diversidade cultural</w:t>
      </w:r>
      <w:r>
        <w:rPr>
          <w:sz w:val="24"/>
          <w:szCs w:val="24"/>
        </w:rPr>
        <w:t>: análise crítica da atuação do poder judiciário brasileiro. 2024. Trabalho de Conclusão de Curso (Graduação em Direito) – Universidade Est</w:t>
      </w:r>
      <w:r>
        <w:rPr>
          <w:sz w:val="24"/>
          <w:szCs w:val="24"/>
        </w:rPr>
        <w:t>adual de Londrina, Londrina, 2024.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NUCCI, Guilherme de Souza. </w:t>
      </w:r>
      <w:r>
        <w:rPr>
          <w:b/>
          <w:sz w:val="24"/>
          <w:szCs w:val="24"/>
        </w:rPr>
        <w:t>Código Penal Comentado</w:t>
      </w:r>
      <w:r>
        <w:rPr>
          <w:sz w:val="24"/>
          <w:szCs w:val="24"/>
        </w:rPr>
        <w:t>. 20. ed. Rio de Janeiro: Forense, 2022.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NUCCI, Guilherme de Souza. </w:t>
      </w:r>
      <w:r>
        <w:rPr>
          <w:b/>
          <w:sz w:val="24"/>
          <w:szCs w:val="24"/>
        </w:rPr>
        <w:t>Código Penal Comentado.</w:t>
      </w:r>
      <w:r>
        <w:rPr>
          <w:sz w:val="24"/>
          <w:szCs w:val="24"/>
        </w:rPr>
        <w:t xml:space="preserve"> Rio de Janeiro: Forense, 2021.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PRADO, Luiz Regis. </w:t>
      </w:r>
      <w:r>
        <w:rPr>
          <w:b/>
          <w:sz w:val="24"/>
          <w:szCs w:val="24"/>
        </w:rPr>
        <w:t>Curso de Direito Penal Brasileiro:</w:t>
      </w:r>
      <w:r>
        <w:rPr>
          <w:sz w:val="24"/>
          <w:szCs w:val="24"/>
        </w:rPr>
        <w:t xml:space="preserve"> parte geral. 19. ed. São Paulo: Revista dos Tribunais, 2021.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PRODANOV, C. C. e FREITAS, de C. E. </w:t>
      </w:r>
      <w:r>
        <w:rPr>
          <w:b/>
          <w:sz w:val="24"/>
          <w:szCs w:val="24"/>
        </w:rPr>
        <w:t>Metodologia do trabalho científico</w:t>
      </w:r>
      <w:r>
        <w:rPr>
          <w:sz w:val="24"/>
          <w:szCs w:val="24"/>
        </w:rPr>
        <w:t xml:space="preserve"> [recurso eletrônico] : métodos e técnicas da pesquisa e do trabalho acadêmico. 2. ed. Nov</w:t>
      </w:r>
      <w:r>
        <w:rPr>
          <w:sz w:val="24"/>
          <w:szCs w:val="24"/>
        </w:rPr>
        <w:t>o Hamburgo: Feevale, 2013.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SMANIOTTO, Eliziane dos Santos; PAZ, Ana Paula Barbosa. </w:t>
      </w:r>
      <w:r>
        <w:rPr>
          <w:b/>
          <w:sz w:val="24"/>
          <w:szCs w:val="24"/>
        </w:rPr>
        <w:t>Estelionato, charlatanismo e curandeirismo: análise crítica à luz do direito penal</w:t>
      </w:r>
      <w:r>
        <w:rPr>
          <w:sz w:val="24"/>
          <w:szCs w:val="24"/>
        </w:rPr>
        <w:t>. Revista Acadêmica de Direito, v. 5, n. 2, p. 1-20, 2019.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SOUSA, Ana Patrícia de.</w:t>
      </w:r>
      <w:r>
        <w:rPr>
          <w:b/>
          <w:sz w:val="24"/>
          <w:szCs w:val="24"/>
        </w:rPr>
        <w:t xml:space="preserve"> Estelion</w:t>
      </w:r>
      <w:r>
        <w:rPr>
          <w:b/>
          <w:sz w:val="24"/>
          <w:szCs w:val="24"/>
        </w:rPr>
        <w:t>ato religioso</w:t>
      </w:r>
      <w:r>
        <w:rPr>
          <w:sz w:val="24"/>
          <w:szCs w:val="24"/>
        </w:rPr>
        <w:t>: uma análise da ausência de tipificação penal específica no direito brasileiro. 2022. Trabalho de Conclusão de Curso (Graduação em Direito) – Centro Universitário UNINOVAFAPI, Teresina, 2022.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SUNSTEIN, Cass. </w:t>
      </w:r>
      <w:r>
        <w:rPr>
          <w:b/>
          <w:sz w:val="24"/>
          <w:szCs w:val="24"/>
        </w:rPr>
        <w:t>#Republic: Divided democracy in th</w:t>
      </w:r>
      <w:r>
        <w:rPr>
          <w:b/>
          <w:sz w:val="24"/>
          <w:szCs w:val="24"/>
        </w:rPr>
        <w:t>e age of social media.</w:t>
      </w:r>
      <w:r>
        <w:rPr>
          <w:sz w:val="24"/>
          <w:szCs w:val="24"/>
        </w:rPr>
        <w:t xml:space="preserve"> Princeton: Princeton University Press, 2017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SUPERIOR TRIBUNAL DE JUSTIÇA (Brasil). </w:t>
      </w:r>
      <w:r>
        <w:rPr>
          <w:b/>
          <w:sz w:val="24"/>
          <w:szCs w:val="24"/>
        </w:rPr>
        <w:t>Habeas Corpus</w:t>
      </w:r>
      <w:r>
        <w:rPr>
          <w:sz w:val="24"/>
          <w:szCs w:val="24"/>
        </w:rPr>
        <w:t>. Estelionato praticado em continuidade delitiva (seis vezes). HC XXXXX. Relator: Ministro (a) [nome], [data do julgamento]. Disponível em: https://www.stj.jus.br. Acesso em: 29 ago. 2025.</w:t>
      </w:r>
    </w:p>
    <w:p w:rsidR="00163D7C" w:rsidRDefault="00B24F4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VARGAS, Amanda. </w:t>
      </w:r>
      <w:r>
        <w:rPr>
          <w:b/>
          <w:sz w:val="24"/>
          <w:szCs w:val="24"/>
        </w:rPr>
        <w:t>O estelionato da fé:</w:t>
      </w:r>
      <w:r>
        <w:rPr>
          <w:sz w:val="24"/>
          <w:szCs w:val="24"/>
        </w:rPr>
        <w:t xml:space="preserve"> análise jurídica da exploração</w:t>
      </w:r>
      <w:r>
        <w:rPr>
          <w:sz w:val="24"/>
          <w:szCs w:val="24"/>
        </w:rPr>
        <w:t xml:space="preserve"> religiosa no direito penal brasileiro. 2022. Trabalho de Conclusão de Curso (Graduação em Direito) – Universidade de Passo Fundo, Passo Fundo, 2022.</w:t>
      </w:r>
    </w:p>
    <w:p w:rsidR="00163D7C" w:rsidRDefault="00B24F49">
      <w:pPr>
        <w:spacing w:after="240"/>
        <w:rPr>
          <w:sz w:val="24"/>
          <w:szCs w:val="24"/>
        </w:rPr>
      </w:pPr>
      <w:bookmarkStart w:id="4" w:name="_heading=h.193ld4n5zz6" w:colFirst="0" w:colLast="0"/>
      <w:bookmarkEnd w:id="4"/>
      <w:r>
        <w:rPr>
          <w:sz w:val="24"/>
          <w:szCs w:val="24"/>
        </w:rPr>
        <w:t xml:space="preserve">ZAFFARONI, Eugenio Raúl. </w:t>
      </w:r>
      <w:r>
        <w:rPr>
          <w:b/>
          <w:sz w:val="24"/>
          <w:szCs w:val="24"/>
        </w:rPr>
        <w:t>Em busca das penas perdidas</w:t>
      </w:r>
      <w:r>
        <w:rPr>
          <w:sz w:val="24"/>
          <w:szCs w:val="24"/>
        </w:rPr>
        <w:t>: a perda da legitimidade do sistema penal. 5. ed. Rio</w:t>
      </w:r>
      <w:r>
        <w:rPr>
          <w:sz w:val="24"/>
          <w:szCs w:val="24"/>
        </w:rPr>
        <w:t xml:space="preserve"> de Janeiro: Revan, 2003.</w:t>
      </w:r>
    </w:p>
    <w:sectPr w:rsidR="00163D7C">
      <w:headerReference w:type="default" r:id="rId8"/>
      <w:footerReference w:type="default" r:id="rId9"/>
      <w:pgSz w:w="11906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F49" w:rsidRDefault="00B24F49">
      <w:r>
        <w:separator/>
      </w:r>
    </w:p>
  </w:endnote>
  <w:endnote w:type="continuationSeparator" w:id="0">
    <w:p w:rsidR="00B24F49" w:rsidRDefault="00B2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7C" w:rsidRDefault="00B24F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45720</wp:posOffset>
          </wp:positionH>
          <wp:positionV relativeFrom="paragraph">
            <wp:posOffset>-6983</wp:posOffset>
          </wp:positionV>
          <wp:extent cx="5643037" cy="103759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3D7C" w:rsidRDefault="00163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  <w:p w:rsidR="00163D7C" w:rsidRDefault="00B24F49">
    <w:pPr>
      <w:pBdr>
        <w:top w:val="nil"/>
        <w:left w:val="nil"/>
        <w:bottom w:val="nil"/>
        <w:right w:val="nil"/>
        <w:between w:val="nil"/>
      </w:pBdr>
      <w:tabs>
        <w:tab w:val="left" w:pos="2835"/>
      </w:tabs>
      <w:ind w:hanging="1418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F49" w:rsidRDefault="00B24F49">
      <w:r>
        <w:separator/>
      </w:r>
    </w:p>
  </w:footnote>
  <w:footnote w:type="continuationSeparator" w:id="0">
    <w:p w:rsidR="00B24F49" w:rsidRDefault="00B24F49">
      <w:r>
        <w:continuationSeparator/>
      </w:r>
    </w:p>
  </w:footnote>
  <w:footnote w:id="1">
    <w:p w:rsidR="00163D7C" w:rsidRPr="00F05B0A" w:rsidRDefault="00B24F4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5B0A">
        <w:rPr>
          <w:sz w:val="24"/>
          <w:szCs w:val="24"/>
          <w:vertAlign w:val="superscript"/>
        </w:rPr>
        <w:footnoteRef/>
      </w:r>
      <w:r w:rsidRPr="00F05B0A">
        <w:rPr>
          <w:color w:val="000000"/>
          <w:sz w:val="24"/>
          <w:szCs w:val="24"/>
        </w:rPr>
        <w:t xml:space="preserve"> </w:t>
      </w:r>
      <w:r w:rsidRPr="00F05B0A">
        <w:rPr>
          <w:color w:val="000000"/>
          <w:sz w:val="24"/>
          <w:szCs w:val="24"/>
        </w:rPr>
        <w:t xml:space="preserve">Ana Kédma Macêdo Félix, discente da Faculdade Chrisfapi, e-mail: </w:t>
      </w:r>
      <w:r w:rsidRPr="00F05B0A">
        <w:rPr>
          <w:sz w:val="24"/>
          <w:szCs w:val="24"/>
        </w:rPr>
        <w:t xml:space="preserve"> </w:t>
      </w:r>
      <w:r w:rsidRPr="00F05B0A">
        <w:rPr>
          <w:szCs w:val="24"/>
        </w:rPr>
        <w:t>kedmap12@gmail.com</w:t>
      </w:r>
    </w:p>
  </w:footnote>
  <w:footnote w:id="2">
    <w:p w:rsidR="00163D7C" w:rsidRPr="00F05B0A" w:rsidRDefault="00B24F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F05B0A">
        <w:rPr>
          <w:sz w:val="24"/>
          <w:szCs w:val="24"/>
          <w:vertAlign w:val="superscript"/>
        </w:rPr>
        <w:footnoteRef/>
      </w:r>
      <w:r w:rsidRPr="00F05B0A">
        <w:rPr>
          <w:color w:val="000000"/>
          <w:sz w:val="24"/>
          <w:szCs w:val="24"/>
        </w:rPr>
        <w:t xml:space="preserve"> </w:t>
      </w:r>
      <w:r w:rsidRPr="00F05B0A">
        <w:rPr>
          <w:color w:val="000000"/>
          <w:sz w:val="24"/>
          <w:szCs w:val="24"/>
        </w:rPr>
        <w:t>Maria Eduarda de Melo Cruz, discente da Faculdade Chrisfapi</w:t>
      </w:r>
    </w:p>
  </w:footnote>
  <w:footnote w:id="3">
    <w:p w:rsidR="00163D7C" w:rsidRPr="00F05B0A" w:rsidRDefault="00B24F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F05B0A">
        <w:rPr>
          <w:sz w:val="24"/>
          <w:szCs w:val="24"/>
          <w:vertAlign w:val="superscript"/>
        </w:rPr>
        <w:footnoteRef/>
      </w:r>
      <w:r w:rsidRPr="00F05B0A">
        <w:rPr>
          <w:color w:val="000000"/>
          <w:sz w:val="24"/>
          <w:szCs w:val="24"/>
        </w:rPr>
        <w:t xml:space="preserve"> </w:t>
      </w:r>
      <w:r w:rsidRPr="00F05B0A">
        <w:rPr>
          <w:color w:val="000000"/>
          <w:sz w:val="24"/>
          <w:szCs w:val="24"/>
        </w:rPr>
        <w:t>Lucélia Keila Bittencourt Gomes, docente da Faculdade Chrisfapi</w:t>
      </w:r>
    </w:p>
  </w:footnote>
  <w:footnote w:id="4">
    <w:p w:rsidR="007867CC" w:rsidRPr="00F05B0A" w:rsidRDefault="00B24F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F05B0A">
        <w:rPr>
          <w:sz w:val="24"/>
          <w:szCs w:val="24"/>
          <w:vertAlign w:val="superscript"/>
        </w:rPr>
        <w:footnoteRef/>
      </w:r>
      <w:r w:rsidRPr="00F05B0A">
        <w:rPr>
          <w:color w:val="000000"/>
          <w:sz w:val="24"/>
          <w:szCs w:val="24"/>
        </w:rPr>
        <w:t xml:space="preserve"> </w:t>
      </w:r>
      <w:r w:rsidRPr="00F05B0A">
        <w:rPr>
          <w:color w:val="000000"/>
          <w:sz w:val="24"/>
          <w:szCs w:val="24"/>
        </w:rPr>
        <w:t>João de Deus Carvalho Filho, docente da Faculdade Chrisfapi</w:t>
      </w:r>
    </w:p>
    <w:p w:rsidR="007867CC" w:rsidRPr="007867CC" w:rsidRDefault="007867CC" w:rsidP="007867CC">
      <w:pPr>
        <w:pStyle w:val="Commarcadores"/>
        <w:numPr>
          <w:ilvl w:val="0"/>
          <w:numId w:val="0"/>
        </w:numPr>
        <w:ind w:left="360" w:hanging="360"/>
      </w:pPr>
      <w:r w:rsidRPr="00F05B0A">
        <w:rPr>
          <w:sz w:val="24"/>
          <w:szCs w:val="24"/>
          <w:vertAlign w:val="superscript"/>
        </w:rPr>
        <w:t>5</w:t>
      </w:r>
      <w:r w:rsidRPr="00F05B0A">
        <w:rPr>
          <w:sz w:val="24"/>
          <w:szCs w:val="24"/>
        </w:rPr>
        <w:t>Luana da Cunha Lopes, docente da Faculdade Chrisfapi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7C" w:rsidRDefault="00B24F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95"/>
        <w:tab w:val="left" w:pos="767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-1070607</wp:posOffset>
          </wp:positionH>
          <wp:positionV relativeFrom="paragraph">
            <wp:posOffset>-431163</wp:posOffset>
          </wp:positionV>
          <wp:extent cx="7562850" cy="9810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61A927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8D6CC3"/>
    <w:multiLevelType w:val="multilevel"/>
    <w:tmpl w:val="8092EE8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7C"/>
    <w:rsid w:val="00163D7C"/>
    <w:rsid w:val="007867CC"/>
    <w:rsid w:val="00B24F49"/>
    <w:rsid w:val="00C33BDE"/>
    <w:rsid w:val="00F05B0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80B3A-0D13-4085-A8F1-BFCD2A6C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arcadores">
    <w:name w:val="List Bullet"/>
    <w:basedOn w:val="Normal"/>
    <w:uiPriority w:val="99"/>
    <w:unhideWhenUsed/>
    <w:rsid w:val="007867C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QDWtyIIqhSW4pfik9targsAnw==">CgMxLjAyD2lkLmZ5Mjg3amhiMWU1YjIOaC5naWZkeDJucXF0dmgyDmguN2J1bTI0Z2VkeXkwMg1oLjE5M2xkNG41eno2OAByITFCazVvc0J6MG1ZMFlGUVIzTG9mMGkzSXBHTGhXc2VHYQ==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4010</Words>
  <Characters>21656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KÉDMA</dc:creator>
  <cp:lastModifiedBy>Conta da Microsoft</cp:lastModifiedBy>
  <cp:revision>4</cp:revision>
  <dcterms:created xsi:type="dcterms:W3CDTF">2025-09-06T18:01:00Z</dcterms:created>
  <dcterms:modified xsi:type="dcterms:W3CDTF">2025-09-06T18:20:00Z</dcterms:modified>
</cp:coreProperties>
</file>