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Bdr>
          <w:bottom w:val="single" w:sz="4" w:space="1" w:color="000000"/>
        </w:pBdr>
        <w:jc w:val="center"/>
        <w:rPr>
          <w:rFonts w:ascii="Arial" w:hAnsi="Arial" w:eastAsia="Arial" w:cs="Arial"/>
          <w:b/>
          <w:b/>
          <w:smallCaps/>
          <w:color w:val="000000"/>
          <w:sz w:val="22"/>
          <w:szCs w:val="22"/>
        </w:rPr>
      </w:pPr>
      <w:r>
        <w:rPr>
          <w:rFonts w:eastAsia="Arial" w:cs="Arial" w:ascii="Arial" w:hAnsi="Arial"/>
          <w:b/>
          <w:smallCaps/>
          <w:sz w:val="22"/>
          <w:szCs w:val="22"/>
        </w:rPr>
        <w:t xml:space="preserve">ABORTO CAUSADO POR </w:t>
      </w:r>
      <w:r>
        <w:rPr>
          <w:rFonts w:eastAsia="Arial" w:cs="Arial" w:ascii="Arial" w:hAnsi="Arial"/>
          <w:b/>
          <w:i/>
          <w:iCs/>
          <w:smallCaps/>
          <w:sz w:val="22"/>
          <w:szCs w:val="22"/>
        </w:rPr>
        <w:t xml:space="preserve">TRYPANOSSOMA VIVAX </w:t>
      </w:r>
      <w:r>
        <w:rPr>
          <w:rFonts w:eastAsia="Arial" w:cs="Arial" w:ascii="Arial" w:hAnsi="Arial"/>
          <w:b/>
          <w:i w:val="false"/>
          <w:iCs w:val="false"/>
          <w:smallCaps/>
          <w:sz w:val="22"/>
          <w:szCs w:val="22"/>
        </w:rPr>
        <w:t xml:space="preserve">EM VACA LEITEIRA : </w:t>
      </w:r>
      <w:r>
        <w:rPr>
          <w:rFonts w:eastAsia="Arial" w:cs="Arial" w:ascii="Arial" w:hAnsi="Arial"/>
          <w:b/>
          <w:smallCaps/>
          <w:sz w:val="22"/>
          <w:szCs w:val="22"/>
        </w:rPr>
        <w:t>RELATO DE CASO</w:t>
      </w:r>
    </w:p>
    <w:p>
      <w:pPr>
        <w:pStyle w:val="LO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0"/>
          <w:sz w:val="20"/>
          <w:vertAlign w:val="baseline"/>
        </w:rPr>
        <w:t>Márcio Augusto Lopes Pereira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>*, Cíntia Teixeira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</w:rPr>
        <w:t>, Daniely Calazans</w:t>
      </w:r>
      <w:r>
        <w:rPr>
          <w:rFonts w:eastAsia="Arial" w:cs="Arial" w:ascii="Arial" w:hAnsi="Arial"/>
          <w:b/>
          <w:color w:val="000000"/>
          <w:vertAlign w:val="superscript"/>
        </w:rPr>
        <w:t>1</w:t>
      </w:r>
      <w:r>
        <w:rPr>
          <w:rFonts w:eastAsia="Arial" w:cs="Arial" w:ascii="Arial" w:hAnsi="Arial"/>
          <w:b/>
          <w:color w:val="000000"/>
          <w:position w:val="0"/>
          <w:sz w:val="20"/>
          <w:sz w:val="20"/>
          <w:vertAlign w:val="baseline"/>
        </w:rPr>
        <w:t>,</w:t>
      </w:r>
      <w:r>
        <w:rPr>
          <w:rFonts w:eastAsia="Arial" w:cs="Arial" w:ascii="Arial" w:hAnsi="Arial"/>
          <w:b/>
          <w:color w:val="000000"/>
        </w:rPr>
        <w:t xml:space="preserve"> Júlia Lopes</w:t>
      </w:r>
      <w:r>
        <w:rPr>
          <w:rFonts w:eastAsia="Arial" w:cs="Arial" w:ascii="Arial" w:hAnsi="Arial"/>
          <w:b/>
          <w:color w:val="000000"/>
          <w:vertAlign w:val="superscript"/>
        </w:rPr>
        <w:t>2</w:t>
      </w:r>
      <w:r>
        <w:rPr>
          <w:rFonts w:eastAsia="Arial" w:cs="Arial" w:ascii="Arial" w:hAnsi="Arial"/>
          <w:b/>
          <w:color w:val="000000"/>
        </w:rPr>
        <w:t xml:space="preserve"> e Priscila Fantini</w:t>
      </w:r>
      <w:r>
        <w:rPr>
          <w:rFonts w:eastAsia="Arial" w:cs="Arial" w:ascii="Arial" w:hAnsi="Arial"/>
          <w:b/>
          <w:color w:val="000000"/>
          <w:vertAlign w:val="superscript"/>
        </w:rPr>
        <w:t>3</w:t>
      </w:r>
      <w:r>
        <w:rPr>
          <w:rFonts w:eastAsia="Arial" w:cs="Arial" w:ascii="Arial" w:hAnsi="Arial"/>
          <w:b/>
          <w:color w:val="000000"/>
        </w:rPr>
        <w:t>.</w:t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4"/>
          <w:szCs w:val="14"/>
        </w:rPr>
        <w:t>Graduando em Medicina Veterinária – UNA Bom Despacho/MG – Brasil – *Contato: marcio.lpa1@gmail.com</w:t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>2</w:t>
      </w:r>
      <w:r>
        <w:rPr>
          <w:rFonts w:eastAsia="Arial" w:cs="Arial" w:ascii="Arial" w:hAnsi="Arial"/>
          <w:i/>
          <w:color w:val="000000"/>
          <w:sz w:val="14"/>
          <w:szCs w:val="14"/>
        </w:rPr>
        <w:t xml:space="preserve">Médica Veterinária </w:t>
      </w:r>
    </w:p>
    <w:p>
      <w:pPr>
        <w:pStyle w:val="LOnormal"/>
        <w:tabs>
          <w:tab w:val="clear" w:pos="720"/>
          <w:tab w:val="center" w:pos="5528" w:leader="none"/>
        </w:tabs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eastAsia="Arial" w:cs="Arial" w:ascii="Arial" w:hAnsi="Arial"/>
          <w:i/>
          <w:color w:val="000000"/>
          <w:sz w:val="14"/>
          <w:szCs w:val="14"/>
        </w:rPr>
        <w:t>Professora de Medicina Veterinária – UNA Bom Despacho /MG – Brasil</w:t>
      </w:r>
    </w:p>
    <w:p>
      <w:pPr>
        <w:pStyle w:val="LOnormal"/>
        <w:tabs>
          <w:tab w:val="clear" w:pos="720"/>
          <w:tab w:val="center" w:pos="5528" w:leader="none"/>
        </w:tabs>
        <w:rPr>
          <w:rFonts w:ascii="Arial" w:hAnsi="Arial" w:eastAsia="Arial" w:cs="Arial"/>
          <w:i/>
          <w:i/>
          <w:color w:val="000000"/>
          <w:sz w:val="14"/>
          <w:szCs w:val="14"/>
        </w:rPr>
      </w:pPr>
      <w:r>
        <w:rPr>
          <w:rFonts w:eastAsia="Arial" w:cs="Arial" w:ascii="Arial" w:hAnsi="Arial"/>
          <w:i/>
          <w:color w:val="000000"/>
          <w:sz w:val="14"/>
          <w:szCs w:val="14"/>
        </w:rPr>
      </w:r>
      <w:bookmarkStart w:id="0" w:name="_heading=h.gjdgxs"/>
      <w:bookmarkStart w:id="1" w:name="_heading=h.gjdgxs"/>
      <w:bookmarkEnd w:id="1"/>
    </w:p>
    <w:p>
      <w:pPr>
        <w:sectPr>
          <w:headerReference w:type="default" r:id="rId2"/>
          <w:type w:val="nextPage"/>
          <w:pgSz w:w="11906" w:h="16838"/>
          <w:pgMar w:left="426" w:right="424" w:header="426" w:top="1560" w:footer="0" w:bottom="720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bookmarkStart w:id="2" w:name="_heading=h.30j0zll"/>
      <w:bookmarkEnd w:id="2"/>
      <w:r>
        <w:rPr>
          <w:rFonts w:eastAsia="Arial" w:cs="Arial" w:ascii="Arial" w:hAnsi="Arial"/>
          <w:b/>
          <w:color w:val="000000"/>
          <w:sz w:val="18"/>
          <w:szCs w:val="18"/>
        </w:rPr>
        <w:t>INTRODUÇÃO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A tripanossomose bovina tem como agente causal o protozoário </w:t>
      </w:r>
      <w:r>
        <w:rPr>
          <w:rFonts w:eastAsia="Arial" w:cs="Arial" w:ascii="Arial" w:hAnsi="Arial"/>
          <w:i/>
          <w:iCs/>
          <w:sz w:val="18"/>
          <w:szCs w:val="18"/>
        </w:rPr>
        <w:t>Trypanossoma vivax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4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. Hemoparasita flagelado encontrado na forma tripomastigota no hospedeiro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3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. No Brasil sua transmissão se dá por insetos hematófagos como os tabanídeos e a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Stomoxys calcitrans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e por meio de fômites contaminados, como agulhas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2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.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Responsável por grandes perdas econômicas dentro da bovinocultura e que vem se difundindo no território nacional, o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T. vivax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possui alta morbidade e mortalidade. Os animais acometidos podem apresentar desde sinais inespecíficos como letargia e altas temperaturas que podem persistir por semanas, além de sinais mais graves como a queda acentuada na produção de leite, taxas de aborto altas, outros problemas reprodutivos e morte dos animais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1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.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O aborto causado por esse protozoário normalmente acontece na fase aguda da doença, sendo acompanhado pela anemia</w:t>
      </w:r>
      <w:r>
        <w:rPr>
          <w:rFonts w:eastAsia="Arial" w:cs="Arial" w:ascii="Arial" w:hAnsi="Arial"/>
          <w:sz w:val="18"/>
          <w:szCs w:val="18"/>
          <w:vertAlign w:val="superscript"/>
        </w:rPr>
        <w:t>3</w:t>
      </w: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  <w:t>. A fisiopatogenia do aborto pela tripanossomose é baseado na hipertermia constante, estresse, baixa dos níveis de progesterona e reações inflamatórias induzidas por lesões no feto e placenta causadas pelo agente</w:t>
      </w:r>
      <w:r>
        <w:rPr>
          <w:rFonts w:eastAsia="Arial" w:cs="Arial" w:ascii="Arial" w:hAnsi="Arial"/>
          <w:sz w:val="18"/>
          <w:szCs w:val="18"/>
          <w:vertAlign w:val="superscript"/>
        </w:rPr>
        <w:t>5</w:t>
      </w: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  <w:t>.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position w:val="0"/>
          <w:sz w:val="18"/>
          <w:sz w:val="18"/>
          <w:szCs w:val="18"/>
          <w:vertAlign w:val="baseline"/>
        </w:rPr>
        <w:t xml:space="preserve">O diagnóstico laboratorial do </w:t>
      </w:r>
      <w:r>
        <w:rPr>
          <w:rFonts w:eastAsia="Arial" w:cs="Arial" w:ascii="Arial" w:hAnsi="Arial"/>
          <w:i/>
          <w:iCs/>
          <w:position w:val="0"/>
          <w:sz w:val="18"/>
          <w:sz w:val="18"/>
          <w:szCs w:val="18"/>
          <w:vertAlign w:val="baseline"/>
        </w:rPr>
        <w:t xml:space="preserve">T. vivax 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pode ser através exames diretos e indiretos. Os principais métodos direto são: esfregaço sanguíneo, Woo, Buffy Coat, histopatológico, aspirado de linfonodos e PCR. Como método indireto 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é utilizado 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>o teste de ELISA e imunofluorescência indireta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3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>, onde ambos exames indiretos possuem alta sensibilidade e especificidade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6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>.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>O atual tratamento da tripanossomose bovina é realizado com dois fármacos de ação curativa, sendo o principal o cloridrato de isometamidium, por via intramuscular na dose de 0,5 mg/kg e o diaceturato de diminazeno, por via intramuscular na dose de 3,5 a 7,0 mg/kg</w:t>
      </w:r>
      <w:r>
        <w:rPr>
          <w:rFonts w:eastAsia="Arial" w:cs="Arial" w:ascii="Arial" w:hAnsi="Arial"/>
          <w:i w:val="false"/>
          <w:iCs w:val="false"/>
          <w:sz w:val="18"/>
          <w:szCs w:val="18"/>
          <w:vertAlign w:val="superscript"/>
        </w:rPr>
        <w:t>5</w:t>
      </w: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. </w:t>
      </w:r>
    </w:p>
    <w:p>
      <w:pPr>
        <w:pStyle w:val="LOnormal"/>
        <w:spacing w:lineRule="auto" w:line="240" w:before="4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position w:val="0"/>
          <w:sz w:val="18"/>
          <w:sz w:val="18"/>
          <w:szCs w:val="18"/>
          <w:vertAlign w:val="baseline"/>
        </w:rPr>
        <w:t xml:space="preserve">O objetivo do presente estudo é relatar um caso de aborto confirmado por </w:t>
      </w:r>
      <w:r>
        <w:rPr>
          <w:rFonts w:eastAsia="Arial" w:cs="Arial" w:ascii="Arial" w:hAnsi="Arial"/>
          <w:i/>
          <w:iCs/>
          <w:position w:val="0"/>
          <w:sz w:val="18"/>
          <w:sz w:val="18"/>
          <w:szCs w:val="18"/>
          <w:vertAlign w:val="baseline"/>
        </w:rPr>
        <w:t>Trypanossoma vivax.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RELATO DE CASO E DISCUSSÃO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Foi atendido no mês de janeiro de 2020, na cidade de Japaraíba – MG um caso de aborto de uma vaca ½ sangue da raça Girolando, multípara que encontrava-se no terço final da lactação, com 6 meses de gestação e sem manifestar sinais clínicos anteriormente ao aborto. Na anamnese foi relato que não tinha acontecido aborto nos últimos meses, o animal não apresentava sinais clínicos, não teria acontecido nenhuma alteração na rotina do rebanho, nem algum problema com o animal (ex.: brigas) ou diminuição considerável da produção de leite, porém, foi relatado a compra de algumas vacas em lactação recentemente e a morte de alguns animais nos últimos dias, tanto de vacas em lactação, vacas secas e bezerros. 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Foi observado na inspeção do local a utilização de agulhas compartilhadas para aplicação de ocitocina durante a ordenha, possíveis locais de desenvolvimento larval de moscas que serviriam como vetores, como restos de silagens e dejetos amontoados. Notou-se também a presença de outras propriedades leiteiras na redondeza da fazenda, a qual possibilitaria a vinda de moscas hematófag</w:t>
      </w:r>
      <w:r>
        <w:rPr>
          <w:rFonts w:eastAsia="Arial" w:cs="Arial" w:ascii="Arial" w:hAnsi="Arial"/>
          <w:sz w:val="18"/>
          <w:szCs w:val="18"/>
        </w:rPr>
        <w:t>a</w:t>
      </w:r>
      <w:r>
        <w:rPr>
          <w:rFonts w:eastAsia="Arial" w:cs="Arial" w:ascii="Arial" w:hAnsi="Arial"/>
          <w:sz w:val="18"/>
          <w:szCs w:val="18"/>
        </w:rPr>
        <w:t>s.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No exame físico após o aborto, a vaca não apresentava sinais de desidratação e nem muitas alterações nos parâmetros vitais, mucosa normocorada, FC, FR, TPC, </w:t>
      </w:r>
      <w:r>
        <w:rPr>
          <w:rFonts w:eastAsia="Arial" w:cs="Arial" w:ascii="Arial" w:hAnsi="Arial"/>
          <w:sz w:val="18"/>
          <w:szCs w:val="18"/>
        </w:rPr>
        <w:t xml:space="preserve">temperatura e </w:t>
      </w:r>
      <w:r>
        <w:rPr>
          <w:rFonts w:eastAsia="Arial" w:cs="Arial" w:ascii="Arial" w:hAnsi="Arial"/>
          <w:sz w:val="18"/>
          <w:szCs w:val="18"/>
        </w:rPr>
        <w:t>turgor de pele normais. Não foi necessário intervenção para expulsão do feto, que tinha cerca de 10 kg (figura 1), sendo observado posteriormente se teve expulsão da placenta, a qual não ocorreu completamente, levando a um caso de retenção placenta.</w:t>
      </w:r>
    </w:p>
    <w:p>
      <w:pPr>
        <w:pStyle w:val="LOnormal"/>
        <w:spacing w:lineRule="auto" w:line="240" w:before="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spacing w:lineRule="auto" w:line="240" w:before="0" w:after="40"/>
        <w:jc w:val="center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47265" cy="1687830"/>
            <wp:effectExtent l="0" t="0" r="0" b="0"/>
            <wp:wrapTopAndBottom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0" w:after="40"/>
        <w:jc w:val="center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  <w:t>Figura 1:</w:t>
      </w:r>
      <w:r>
        <w:rPr>
          <w:rFonts w:eastAsia="Arial" w:cs="Arial" w:ascii="Arial" w:hAnsi="Arial"/>
          <w:b w:val="false"/>
          <w:bCs w:val="false"/>
          <w:sz w:val="18"/>
          <w:szCs w:val="18"/>
        </w:rPr>
        <w:t xml:space="preserve"> Feto abortado. 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</w:t>
      </w:r>
    </w:p>
    <w:p>
      <w:pPr>
        <w:pStyle w:val="LOnormal"/>
        <w:spacing w:lineRule="auto" w:line="240" w:before="0" w:after="4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Após anamnese, inspeção da propriedade e exame físico do animal, foi levantado possíveis suspeitas de diagnóstico, sendo o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Trypanossoma vivax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principal suspeito de estar na propriedade.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Coletou-se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 sangue na veia epigástrica e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foi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enviado para análise laboratorial e realização do teste de ELISA (figura 2). Posteriormente, foi confirmado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a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infecção por </w:t>
      </w:r>
      <w:r>
        <w:rPr>
          <w:rFonts w:eastAsia="Arial" w:cs="Arial" w:ascii="Arial" w:hAnsi="Arial"/>
          <w:i/>
          <w:iCs/>
          <w:sz w:val="18"/>
          <w:szCs w:val="18"/>
        </w:rPr>
        <w:t xml:space="preserve">Trypanossoma vivax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e iniciado o protocolo de tratamento.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Tratamento receitado com Vivedium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(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cloridrato de isometamidium) na dose de 0,5 mg/kg em 3 aplicações intervaladas de 90 dias e uma aplicação de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 xml:space="preserve">Ganavet Plus </w:t>
      </w:r>
      <w:r>
        <w:rPr>
          <w:rFonts w:eastAsia="Arial" w:cs="Arial" w:ascii="Arial" w:hAnsi="Arial"/>
          <w:i w:val="false"/>
          <w:iCs w:val="false"/>
          <w:sz w:val="18"/>
          <w:szCs w:val="18"/>
        </w:rPr>
        <w:t>(diaceturato de diminazeno) na dose de 7,0 mg/kg.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i w:val="false"/>
          <w:i w:val="false"/>
          <w:iCs w:val="false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sz w:val="18"/>
          <w:szCs w:val="18"/>
        </w:rPr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i w:val="false"/>
          <w:i w:val="false"/>
          <w:iCs w:val="false"/>
          <w:sz w:val="18"/>
          <w:szCs w:val="18"/>
        </w:rPr>
      </w:pPr>
      <w:r>
        <w:rPr>
          <w:rFonts w:eastAsia="Arial" w:cs="Arial" w:ascii="Arial" w:hAnsi="Arial"/>
          <w:i w:val="false"/>
          <w:iCs w:val="false"/>
          <w:sz w:val="18"/>
          <w:szCs w:val="1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-12700</wp:posOffset>
            </wp:positionV>
            <wp:extent cx="3061335" cy="473075"/>
            <wp:effectExtent l="0" t="0" r="0" b="0"/>
            <wp:wrapTopAndBottom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55" t="0" r="2610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0" w:after="40"/>
        <w:jc w:val="center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  <w:t>Figura 2:</w:t>
      </w:r>
      <w:r>
        <w:rPr>
          <w:rFonts w:eastAsia="Arial" w:cs="Arial" w:ascii="Arial" w:hAnsi="Arial"/>
          <w:b w:val="false"/>
          <w:bCs w:val="false"/>
          <w:sz w:val="18"/>
          <w:szCs w:val="18"/>
        </w:rPr>
        <w:t xml:space="preserve"> Solicitação do exame de ELISA para </w:t>
      </w:r>
      <w:r>
        <w:rPr>
          <w:rFonts w:eastAsia="Arial" w:cs="Arial" w:ascii="Arial" w:hAnsi="Arial"/>
          <w:b w:val="false"/>
          <w:bCs w:val="false"/>
          <w:i/>
          <w:iCs/>
          <w:sz w:val="18"/>
          <w:szCs w:val="18"/>
        </w:rPr>
        <w:t>Trypanossoma  vivax.</w:t>
      </w:r>
      <w:r>
        <w:rPr>
          <w:rFonts w:eastAsia="Arial" w:cs="Arial" w:ascii="Arial" w:hAnsi="Arial"/>
          <w:b w:val="false"/>
          <w:bCs w:val="false"/>
          <w:i w:val="false"/>
          <w:iCs w:val="false"/>
          <w:sz w:val="18"/>
          <w:szCs w:val="18"/>
        </w:rPr>
        <w:t xml:space="preserve"> </w:t>
      </w:r>
    </w:p>
    <w:p>
      <w:pPr>
        <w:pStyle w:val="LOnormal"/>
        <w:spacing w:lineRule="auto" w:line="240" w:before="0" w:after="40"/>
        <w:jc w:val="center"/>
        <w:rPr>
          <w:b w:val="false"/>
          <w:b w:val="false"/>
          <w:bCs w:val="false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LOnormal"/>
        <w:pBdr>
          <w:bottom w:val="single" w:sz="4" w:space="1" w:color="000000"/>
        </w:pBdr>
        <w:spacing w:lineRule="auto" w:line="240" w:before="0" w:after="40"/>
        <w:jc w:val="both"/>
        <w:rPr>
          <w:rFonts w:ascii="Arial" w:hAnsi="Arial" w:eastAsia="Arial" w:cs="Arial"/>
          <w:b/>
          <w:b/>
          <w:color w:val="000000"/>
          <w:sz w:val="18"/>
          <w:szCs w:val="18"/>
        </w:rPr>
      </w:pPr>
      <w:r>
        <w:rPr>
          <w:rFonts w:eastAsia="Arial" w:cs="Arial" w:ascii="Arial" w:hAnsi="Arial"/>
          <w:b/>
          <w:color w:val="000000"/>
          <w:sz w:val="18"/>
          <w:szCs w:val="18"/>
        </w:rPr>
        <w:t>CONSIDERAÇÕES FINAIS</w:t>
      </w:r>
    </w:p>
    <w:p>
      <w:pPr>
        <w:pStyle w:val="LOnormal"/>
        <w:spacing w:lineRule="auto" w:line="240" w:before="0" w:after="4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Devemos destacar neste trabalho que o Tripanossomose pode ser uma doença silenciosa, na qual o animal contaminado mesmo de forma aguda pode não apresentar sinais clínicos muito </w:t>
      </w:r>
      <w:r>
        <w:rPr>
          <w:rFonts w:eastAsia="Arial" w:cs="Arial" w:ascii="Arial" w:hAnsi="Arial"/>
          <w:sz w:val="18"/>
          <w:szCs w:val="18"/>
        </w:rPr>
        <w:t>evidentes</w:t>
      </w:r>
      <w:r>
        <w:rPr>
          <w:rFonts w:eastAsia="Arial" w:cs="Arial" w:ascii="Arial" w:hAnsi="Arial"/>
          <w:sz w:val="18"/>
          <w:szCs w:val="18"/>
        </w:rPr>
        <w:t xml:space="preserve">, como febre e queda acentuada da produção. Merece destaque o vínculo da doença com os problemas reprodutivos, como o presente caso </w:t>
      </w:r>
      <w:r>
        <w:rPr>
          <w:rFonts w:eastAsia="Arial" w:cs="Arial" w:ascii="Arial" w:hAnsi="Arial"/>
          <w:sz w:val="18"/>
          <w:szCs w:val="18"/>
        </w:rPr>
        <w:t>de</w:t>
      </w:r>
      <w:r>
        <w:rPr>
          <w:rFonts w:eastAsia="Arial" w:cs="Arial" w:ascii="Arial" w:hAnsi="Arial"/>
          <w:sz w:val="18"/>
          <w:szCs w:val="18"/>
        </w:rPr>
        <w:t xml:space="preserve"> aborto, mas também da retenção de placenta relatado posteriormente, além de outros possíveis sinais. Portanto, podemos ressaltar os prejuízos financeiros causados pelo Trypanossoma, que envolve gasto com tratamento, diagnóstico, assistência técnica e prejuízos com morte de animais e danos produtivos e reprodutivos para o animal infectado.</w:t>
      </w:r>
    </w:p>
    <w:p>
      <w:pPr>
        <w:pStyle w:val="LOnormal"/>
        <w:rPr>
          <w:rFonts w:ascii="Arial" w:hAnsi="Arial" w:eastAsia="Arial" w:cs="Arial"/>
          <w:b/>
          <w:b/>
          <w:sz w:val="14"/>
          <w:szCs w:val="14"/>
        </w:rPr>
      </w:pPr>
      <w:r>
        <w:rPr/>
      </w:r>
    </w:p>
    <w:sectPr>
      <w:type w:val="continuous"/>
      <w:pgSz w:w="11906" w:h="16838"/>
      <w:pgMar w:left="426" w:right="424" w:header="426" w:top="1560" w:footer="0" w:bottom="720" w:gutter="0"/>
      <w:cols w:num="2" w:space="402" w:equalWidth="true" w:sep="false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Rounde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28"/>
        <w:szCs w:val="2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6258560</wp:posOffset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2.png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>V</w:t>
    </w:r>
    <w:r>
      <w:rPr>
        <w:rFonts w:eastAsia="Arial Rounded" w:cs="Arial Rounded" w:ascii="Arial Rounded" w:hAnsi="Arial Rounded"/>
        <w:b/>
        <w:color w:val="002060"/>
        <w:sz w:val="28"/>
        <w:szCs w:val="28"/>
      </w:rPr>
      <w:t xml:space="preserve">II Colóquio Técnico Científico de Saúde Única, </w:t>
    </w:r>
  </w:p>
  <w:p>
    <w:pPr>
      <w:pStyle w:val="LOnormal"/>
      <w:tabs>
        <w:tab w:val="clear" w:pos="720"/>
        <w:tab w:val="center" w:pos="5670" w:leader="none"/>
        <w:tab w:val="right" w:pos="11056" w:leader="none"/>
      </w:tabs>
      <w:jc w:val="center"/>
      <w:rPr>
        <w:rFonts w:ascii="Arial Rounded" w:hAnsi="Arial Rounded" w:eastAsia="Arial Rounded" w:cs="Arial Rounded"/>
        <w:b/>
        <w:b/>
        <w:color w:val="002060"/>
        <w:sz w:val="16"/>
        <w:szCs w:val="16"/>
      </w:rPr>
    </w:pPr>
    <w:r>
      <w:rPr>
        <w:rFonts w:eastAsia="Arial Rounded" w:cs="Arial Rounded" w:ascii="Arial Rounded" w:hAnsi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d67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link w:val="Ttulo3Char"/>
    <w:uiPriority w:val="99"/>
    <w:qFormat/>
    <w:rsid w:val="003d6782"/>
    <w:pPr>
      <w:keepNext w:val="true"/>
      <w:pBdr>
        <w:bottom w:val="single" w:sz="6" w:space="1" w:color="000000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LOnormal"/>
    <w:next w:val="LOnormal"/>
    <w:link w:val="Ttulo4Char"/>
    <w:uiPriority w:val="9"/>
    <w:semiHidden/>
    <w:unhideWhenUsed/>
    <w:qFormat/>
    <w:rsid w:val="003d6782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3d6782"/>
    <w:rPr>
      <w:rFonts w:ascii="Times New Roman" w:hAnsi="Times New Roman" w:eastAsia="Times New Roman" w:cs="Times New Roman"/>
      <w:color w:val="FF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6782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d6782"/>
    <w:rPr>
      <w:rFonts w:ascii="Segoe UI" w:hAnsi="Segoe UI" w:eastAsia="Times New Roman" w:cs="Segoe UI"/>
      <w:sz w:val="18"/>
      <w:szCs w:val="18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qFormat/>
    <w:rsid w:val="003d6782"/>
    <w:rPr>
      <w:rFonts w:ascii="Arial" w:hAnsi="Arial" w:eastAsia="Times New Roman" w:cs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DefaultParagraphFont"/>
    <w:link w:val="Ttulo3"/>
    <w:uiPriority w:val="99"/>
    <w:qFormat/>
    <w:rsid w:val="003d6782"/>
    <w:rPr>
      <w:rFonts w:ascii="Arial" w:hAnsi="Arial" w:eastAsia="Times New Roman" w:cs="Arial"/>
      <w:b/>
      <w:bCs/>
      <w:sz w:val="18"/>
      <w:szCs w:val="18"/>
      <w:lang w:eastAsia="pt-BR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d6782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sz w:val="20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3d6782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52295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22953"/>
    <w:rPr>
      <w:vertAlign w:val="super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a7e7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Annotationtext">
    <w:name w:val="annotation text"/>
    <w:basedOn w:val="LOnormal"/>
    <w:link w:val="TextodecomentrioChar"/>
    <w:uiPriority w:val="99"/>
    <w:semiHidden/>
    <w:qFormat/>
    <w:rsid w:val="003d6782"/>
    <w:pPr>
      <w:jc w:val="center"/>
    </w:pPr>
    <w:rPr>
      <w:color w:val="FF000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3d6782"/>
    <w:pPr/>
    <w:rPr>
      <w:rFonts w:ascii="Segoe UI" w:hAnsi="Segoe UI" w:cs="Segoe UI"/>
      <w:sz w:val="18"/>
      <w:szCs w:val="18"/>
    </w:rPr>
  </w:style>
  <w:style w:type="paragraph" w:styleId="BodyText2">
    <w:name w:val="Body Text 2"/>
    <w:basedOn w:val="LOnormal"/>
    <w:link w:val="Corpodetexto2Char"/>
    <w:uiPriority w:val="99"/>
    <w:qFormat/>
    <w:rsid w:val="003d6782"/>
    <w:pPr/>
    <w:rPr>
      <w:rFonts w:ascii="Arial" w:hAnsi="Arial" w:cs="Arial"/>
      <w:color w:val="000000"/>
      <w:sz w:val="18"/>
      <w:szCs w:val="18"/>
    </w:rPr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3d6782"/>
    <w:pPr>
      <w:spacing w:before="0" w:after="120"/>
      <w:ind w:left="283" w:hanging="0"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522953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6a7e7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JCG8NpmsxqAWfPZ8P6tGeV6UVqg==">AMUW2mWG13+C5XV+BspYuYaSD9XvKIyBZXkhbilZdM8nsxsv0cVZUD64zCvOghiy9OUyB1utVHKYGVzqowks11dDduFOSfmDfPhUm+P+L8XNxizRW/CcO6f7UVxux/xgh1I1j4/NDDMB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LibreOffice/6.4.5.2$Windows_X86_64 LibreOffice_project/a726b36747cf2001e06b58ad5db1aa3a9a1872d6</Application>
  <Pages>1</Pages>
  <Words>773</Words>
  <Characters>4402</Characters>
  <CharactersWithSpaces>5167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2021-02-25T20:56:00Z</dcterms:created>
  <dc:creator>Pri Sadanã</dc:creator>
  <dc:description/>
  <dc:language>pt-BR</dc:language>
  <cp:lastModifiedBy/>
  <dcterms:modified xsi:type="dcterms:W3CDTF">2021-04-10T19:16:09Z</dcterms:modified>
  <cp:revision>5</cp:revision>
  <dc:subject/>
  <dc:title/>
</cp:coreProperties>
</file>