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98" w:rsidRPr="00CA4FC3" w:rsidRDefault="00CA4FC3" w:rsidP="00FA1D1D">
      <w:pPr>
        <w:spacing w:before="222" w:line="360" w:lineRule="auto"/>
        <w:ind w:right="282"/>
        <w:jc w:val="center"/>
        <w:rPr>
          <w:b/>
          <w:sz w:val="24"/>
          <w:szCs w:val="26"/>
        </w:rPr>
      </w:pPr>
      <w:r w:rsidRPr="00CA4FC3">
        <w:rPr>
          <w:b/>
          <w:sz w:val="24"/>
          <w:szCs w:val="26"/>
        </w:rPr>
        <w:t>MANEJO DIFERENCIADO DA ENFERMAGEM NA DOR EM PACIENTES NÃO COMUNICATIVOS EM URGÊNCIA E EMERGÊNCIA</w:t>
      </w:r>
    </w:p>
    <w:p w:rsidR="00CA4FC3" w:rsidRDefault="00CA4FC3" w:rsidP="00FA1D1D">
      <w:pPr>
        <w:pStyle w:val="Corpodetexto"/>
        <w:spacing w:line="360" w:lineRule="auto"/>
        <w:ind w:right="710"/>
        <w:jc w:val="both"/>
        <w:rPr>
          <w:sz w:val="22"/>
        </w:rPr>
      </w:pPr>
      <w:r w:rsidRPr="00294504">
        <w:rPr>
          <w:sz w:val="22"/>
        </w:rPr>
        <w:t>Érica de Andrade Alves da Silva</w:t>
      </w:r>
      <w:r w:rsidRPr="00294504">
        <w:rPr>
          <w:sz w:val="22"/>
          <w:vertAlign w:val="superscript"/>
        </w:rPr>
        <w:t>1</w:t>
      </w:r>
      <w:r w:rsidRPr="00294504">
        <w:rPr>
          <w:sz w:val="22"/>
        </w:rPr>
        <w:t xml:space="preserve"> </w:t>
      </w:r>
      <w:r>
        <w:rPr>
          <w:sz w:val="22"/>
        </w:rPr>
        <w:t>,Elizabeth de Oliveira Belo</w:t>
      </w:r>
      <w:r>
        <w:rPr>
          <w:sz w:val="22"/>
          <w:vertAlign w:val="superscript"/>
        </w:rPr>
        <w:t>2</w:t>
      </w:r>
      <w:r>
        <w:rPr>
          <w:sz w:val="22"/>
        </w:rPr>
        <w:t>, Roberto Lira Belo Neto</w:t>
      </w:r>
      <w:r w:rsidRPr="00294504">
        <w:rPr>
          <w:sz w:val="22"/>
          <w:vertAlign w:val="superscript"/>
        </w:rPr>
        <w:t>3</w:t>
      </w:r>
      <w:r>
        <w:rPr>
          <w:sz w:val="22"/>
        </w:rPr>
        <w:t>, Claudia Juliane de Lima Costa</w:t>
      </w:r>
      <w:r w:rsidRPr="00294504">
        <w:rPr>
          <w:sz w:val="22"/>
          <w:vertAlign w:val="superscript"/>
        </w:rPr>
        <w:t>4</w:t>
      </w:r>
      <w:r>
        <w:rPr>
          <w:sz w:val="22"/>
        </w:rPr>
        <w:t>, Ana Maria da Silva Claudino</w:t>
      </w:r>
      <w:r w:rsidRPr="006B4A20">
        <w:rPr>
          <w:sz w:val="22"/>
          <w:vertAlign w:val="superscript"/>
        </w:rPr>
        <w:t>5</w:t>
      </w:r>
      <w:r>
        <w:rPr>
          <w:sz w:val="22"/>
        </w:rPr>
        <w:t>, Andréa de Farias Portugal Santos</w:t>
      </w:r>
      <w:r w:rsidRPr="006B4A20">
        <w:rPr>
          <w:sz w:val="22"/>
          <w:vertAlign w:val="superscript"/>
        </w:rPr>
        <w:t>6</w:t>
      </w:r>
      <w:r>
        <w:rPr>
          <w:sz w:val="22"/>
        </w:rPr>
        <w:t>, Lucas Gabriel Soares dos Santos</w:t>
      </w:r>
      <w:r w:rsidRPr="006B4A20">
        <w:rPr>
          <w:sz w:val="22"/>
          <w:vertAlign w:val="superscript"/>
        </w:rPr>
        <w:t>7</w:t>
      </w:r>
      <w:r>
        <w:rPr>
          <w:sz w:val="22"/>
        </w:rPr>
        <w:t>.</w:t>
      </w:r>
    </w:p>
    <w:p w:rsidR="00CA4FC3" w:rsidRDefault="00CA4FC3" w:rsidP="00FA1D1D">
      <w:pPr>
        <w:pStyle w:val="Corpodetexto"/>
        <w:spacing w:line="360" w:lineRule="auto"/>
        <w:ind w:right="710"/>
        <w:jc w:val="both"/>
        <w:rPr>
          <w:vertAlign w:val="superscript"/>
        </w:rPr>
      </w:pPr>
      <w:r w:rsidRPr="00294504">
        <w:t>Centro Universitário Cesmac-FEJAL</w:t>
      </w:r>
      <w:r w:rsidRPr="00294504">
        <w:rPr>
          <w:vertAlign w:val="superscript"/>
        </w:rPr>
        <w:t>1</w:t>
      </w:r>
      <w:r>
        <w:rPr>
          <w:vertAlign w:val="superscript"/>
        </w:rPr>
        <w:t>,2,3,4,5,6,7</w:t>
      </w:r>
    </w:p>
    <w:p w:rsidR="00CA4FC3" w:rsidRPr="00CA4FC3" w:rsidRDefault="00CA4FC3" w:rsidP="00FA1D1D">
      <w:pPr>
        <w:pStyle w:val="Corpodetexto"/>
        <w:spacing w:line="360" w:lineRule="auto"/>
        <w:ind w:right="710"/>
        <w:jc w:val="both"/>
        <w:rPr>
          <w:sz w:val="32"/>
        </w:rPr>
      </w:pPr>
      <w:r>
        <w:rPr>
          <w:vertAlign w:val="superscript"/>
        </w:rPr>
        <w:t>(ericaandradesilva12@gmail.com)</w:t>
      </w:r>
    </w:p>
    <w:p w:rsidR="00FA1D1D" w:rsidRDefault="00D9562B" w:rsidP="00FA1D1D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205" w:right="463"/>
        <w:jc w:val="both"/>
        <w:rPr>
          <w:sz w:val="24"/>
          <w:szCs w:val="24"/>
        </w:rPr>
      </w:pPr>
      <w:r w:rsidRPr="00E87552">
        <w:rPr>
          <w:b/>
        </w:rPr>
        <w:t>INTRODUÇÃO</w:t>
      </w:r>
      <w:r>
        <w:t>:</w:t>
      </w:r>
      <w:r w:rsidR="00CA4FC3" w:rsidRPr="00CA4FC3">
        <w:t xml:space="preserve"> </w:t>
      </w:r>
      <w:r w:rsidR="00CA4FC3">
        <w:rPr>
          <w:sz w:val="24"/>
          <w:szCs w:val="24"/>
        </w:rPr>
        <w:t>A incapacidade de expressar a dor verbalmente demanda sensibilidade e técnicas adaptadas para assegurar o alívio adequado do</w:t>
      </w:r>
      <w:r w:rsidR="00CA4FC3">
        <w:t>s</w:t>
      </w:r>
      <w:r w:rsidR="00CA4FC3">
        <w:rPr>
          <w:sz w:val="24"/>
          <w:szCs w:val="24"/>
        </w:rPr>
        <w:t xml:space="preserve"> desconforto</w:t>
      </w:r>
      <w:r w:rsidR="00CA4FC3">
        <w:t xml:space="preserve">s, Sob essa perspectiva </w:t>
      </w:r>
      <w:r w:rsidR="00CA4FC3">
        <w:rPr>
          <w:sz w:val="24"/>
          <w:szCs w:val="24"/>
        </w:rPr>
        <w:t xml:space="preserve"> </w:t>
      </w:r>
      <w:r w:rsidR="00CA4FC3">
        <w:t>a equipe de enfermagem encarece de metodologias que sejam diferenciadas e busquem sanar ou minimizar o sofrimento dos clientes que buscam os serviços de saúde nas unidades de urgência e emergência</w:t>
      </w:r>
      <w:r w:rsidR="009065F8">
        <w:t>.</w:t>
      </w:r>
      <w:r w:rsidR="009065F8" w:rsidRPr="00E87552">
        <w:rPr>
          <w:b/>
        </w:rPr>
        <w:t>OBJETIVO</w:t>
      </w:r>
      <w:r w:rsidR="009065F8">
        <w:t>:</w:t>
      </w:r>
      <w:r w:rsidR="00D2508C">
        <w:t>Descrever a importância da assistência de enfermagem</w:t>
      </w:r>
      <w:r w:rsidR="00CA4FC3">
        <w:t xml:space="preserve"> capacitada </w:t>
      </w:r>
      <w:r w:rsidR="00D2508C">
        <w:t xml:space="preserve"> f</w:t>
      </w:r>
      <w:r w:rsidR="00CA4FC3">
        <w:t>rente ao paciente não comunicativo em cenários de urgência e emergência</w:t>
      </w:r>
      <w:r w:rsidR="00D2508C">
        <w:t>.</w:t>
      </w:r>
      <w:r w:rsidR="00D2508C" w:rsidRPr="00E87552">
        <w:rPr>
          <w:b/>
        </w:rPr>
        <w:t>METODOLOGIA</w:t>
      </w:r>
      <w:r w:rsidR="00D2508C">
        <w:t>:</w:t>
      </w:r>
      <w:r w:rsidR="00D2508C" w:rsidRPr="00D2508C">
        <w:rPr>
          <w:rStyle w:val="bumpedfont15"/>
          <w:color w:val="000000"/>
        </w:rPr>
        <w:t>Trata-se de uma revisão de literatura integrativa, com análise reflexiva, descritiva e qualitativa. Foram</w:t>
      </w:r>
      <w:r w:rsidR="00CA4FC3">
        <w:rPr>
          <w:rStyle w:val="bumpedfont15"/>
          <w:color w:val="000000"/>
        </w:rPr>
        <w:t xml:space="preserve"> utilizados 09</w:t>
      </w:r>
      <w:r w:rsidR="00D2508C">
        <w:rPr>
          <w:rStyle w:val="bumpedfont15"/>
          <w:color w:val="000000"/>
        </w:rPr>
        <w:t xml:space="preserve"> </w:t>
      </w:r>
      <w:r w:rsidR="00D2508C" w:rsidRPr="00D2508C">
        <w:rPr>
          <w:rStyle w:val="bumpedfont15"/>
          <w:color w:val="000000"/>
        </w:rPr>
        <w:t>artigos disponibilizadas nas Bases de Dados de Enfermagem (BDEnf), Literatura Latino-americana e do Caribe em Ciências da Saúde (Lilacs),</w:t>
      </w:r>
      <w:r w:rsidR="00D2508C" w:rsidRPr="00D2508C">
        <w:rPr>
          <w:rStyle w:val="apple-converted-space"/>
          <w:color w:val="000000"/>
        </w:rPr>
        <w:t> </w:t>
      </w:r>
      <w:r w:rsidR="00D2508C" w:rsidRPr="00D2508C">
        <w:rPr>
          <w:rStyle w:val="bumpedfont15"/>
          <w:color w:val="000000"/>
        </w:rPr>
        <w:t>Scintific Eletronic Library Online (SciELO) a partir do cruzamento dos descritores</w:t>
      </w:r>
      <w:r w:rsidR="00D2508C">
        <w:rPr>
          <w:rStyle w:val="bumpedfont15"/>
          <w:color w:val="000000"/>
        </w:rPr>
        <w:t xml:space="preserve"> </w:t>
      </w:r>
      <w:r w:rsidR="00D2508C">
        <w:rPr>
          <w:rFonts w:eastAsia="Arial"/>
        </w:rPr>
        <w:t>“enfermagem”,</w:t>
      </w:r>
      <w:r w:rsidR="00D2508C" w:rsidRPr="00D2508C">
        <w:rPr>
          <w:rFonts w:eastAsia="Arial"/>
        </w:rPr>
        <w:t>“</w:t>
      </w:r>
      <w:r w:rsidR="00CA4FC3">
        <w:rPr>
          <w:rFonts w:eastAsia="Arial"/>
        </w:rPr>
        <w:t>pacientes não contactantes</w:t>
      </w:r>
      <w:r w:rsidR="00D2508C" w:rsidRPr="00D2508C">
        <w:rPr>
          <w:rFonts w:eastAsia="Arial"/>
        </w:rPr>
        <w:t>”e “</w:t>
      </w:r>
      <w:r w:rsidR="00CA4FC3">
        <w:rPr>
          <w:rFonts w:eastAsia="Arial"/>
        </w:rPr>
        <w:t>urgência e emergência</w:t>
      </w:r>
      <w:r w:rsidR="00D2508C" w:rsidRPr="00D2508C">
        <w:rPr>
          <w:rFonts w:eastAsia="Arial"/>
        </w:rPr>
        <w:t>”</w:t>
      </w:r>
      <w:r w:rsidR="00D2508C">
        <w:rPr>
          <w:rFonts w:eastAsia="Arial"/>
        </w:rPr>
        <w:t>,foi estabelecido o recorte de tempo para inclusão de publicações de 2019 à 2023.</w:t>
      </w:r>
      <w:r w:rsidR="00D2508C" w:rsidRPr="00E87552">
        <w:rPr>
          <w:b/>
        </w:rPr>
        <w:t>RESULTADOS</w:t>
      </w:r>
      <w:r w:rsidR="00D2508C">
        <w:t xml:space="preserve">:Estudos analisados permitiram identificar </w:t>
      </w:r>
      <w:r w:rsidR="00CA4FC3">
        <w:t xml:space="preserve">que a </w:t>
      </w:r>
      <w:r w:rsidR="00CA4FC3">
        <w:rPr>
          <w:sz w:val="24"/>
          <w:szCs w:val="24"/>
        </w:rPr>
        <w:t xml:space="preserve"> observação de sinais não verbais, como mudanças comportamentais, expressões faciais e indicadores fisiológicos, torna-se essencial para compreender o estado de dor desses pacientes. A colaboração efetiva com outros profissionais de saúde, como médicos e terapeutas, é crucial para garantir uma abordagem integrada e holística. O treinamento contínuo da equipe de enfermagem, enfatizando a importância da observação atenta e da comunicação eficaz, é fundamental para aprimorar as habilidades necessárias no manejo da do</w:t>
      </w:r>
      <w:r w:rsidR="00CA4FC3">
        <w:t>r em pacientes não contactantes</w:t>
      </w:r>
      <w:r w:rsidR="00CA4FC3">
        <w:rPr>
          <w:sz w:val="24"/>
          <w:szCs w:val="24"/>
        </w:rPr>
        <w:t xml:space="preserve">. A utilização de protocolos específicos e a participação em simulações clínicas podem contribuir para a preparação adequada diante de situações de urgência e emergência. </w:t>
      </w:r>
      <w:r w:rsidR="004B2CA4" w:rsidRPr="00E87552">
        <w:rPr>
          <w:b/>
        </w:rPr>
        <w:t>CONCLUSÃO</w:t>
      </w:r>
      <w:r w:rsidR="004B2CA4">
        <w:t>:</w:t>
      </w:r>
      <w:r w:rsidR="00CA4FC3">
        <w:t xml:space="preserve"> </w:t>
      </w:r>
      <w:r w:rsidR="00FA1D1D">
        <w:t xml:space="preserve">Diante dos fatos expostos torna-se notório que </w:t>
      </w:r>
      <w:r w:rsidR="00FA1D1D">
        <w:rPr>
          <w:sz w:val="24"/>
          <w:szCs w:val="24"/>
        </w:rPr>
        <w:t>o manejo da dor em pacientes não comunicativos demanda da equipe de enfermagem uma abordagem diferenciada e adaptada. A observação sensível, a aplicação de estratégias de avaliação e intervenção, juntamente com a colaboração interprofissional, são elementos-chave para garantir o alívio eficaz da dor nesse grupo de pacientes. O treinamento contínuo e a atualização constante são essenciais para assegurar que a equipe de enfermagem esteja preparada para enfrentar os desafios específicos associados ao manejo da dor em situações de urgência e emergência.</w:t>
      </w:r>
    </w:p>
    <w:p w:rsidR="004B2CA4" w:rsidRDefault="00FA1D1D" w:rsidP="00FA1D1D">
      <w:pPr>
        <w:pStyle w:val="Corpodetexto"/>
        <w:spacing w:line="360" w:lineRule="auto"/>
        <w:ind w:left="0" w:right="469"/>
        <w:jc w:val="both"/>
      </w:pPr>
      <w:r>
        <w:t xml:space="preserve">    </w:t>
      </w:r>
      <w:r w:rsidR="000D1436" w:rsidRPr="00FA1D1D">
        <w:rPr>
          <w:b/>
        </w:rPr>
        <w:t>Palavras-chave:</w:t>
      </w:r>
      <w:r w:rsidR="000D1436">
        <w:t xml:space="preserve"> </w:t>
      </w:r>
      <w:r>
        <w:rPr>
          <w:rFonts w:eastAsia="Arial"/>
        </w:rPr>
        <w:t>Enfermagem.Pacientes não Contactantes.Urgência e Emergência</w:t>
      </w:r>
      <w:r w:rsidR="004B2CA4">
        <w:rPr>
          <w:rFonts w:eastAsia="Arial"/>
        </w:rPr>
        <w:t>.</w:t>
      </w:r>
      <w:r w:rsidR="004B2CA4">
        <w:t xml:space="preserve"> </w:t>
      </w:r>
    </w:p>
    <w:p w:rsidR="000D1436" w:rsidRDefault="000D1436" w:rsidP="00FA1D1D">
      <w:pPr>
        <w:pStyle w:val="Corpodetexto"/>
        <w:spacing w:line="360" w:lineRule="auto"/>
        <w:ind w:right="469"/>
        <w:jc w:val="both"/>
      </w:pPr>
      <w:r w:rsidRPr="00FA1D1D">
        <w:rPr>
          <w:b/>
        </w:rPr>
        <w:t>ÁreaTemática</w:t>
      </w:r>
      <w:r w:rsidR="004B2CA4" w:rsidRPr="00FA1D1D">
        <w:rPr>
          <w:b/>
        </w:rPr>
        <w:t>:</w:t>
      </w:r>
      <w:r w:rsidR="00E87552" w:rsidRPr="00E87552">
        <w:rPr>
          <w:color w:val="000000"/>
        </w:rPr>
        <w:t xml:space="preserve"> </w:t>
      </w:r>
      <w:r w:rsidR="00E87552">
        <w:rPr>
          <w:color w:val="000000"/>
        </w:rPr>
        <w:t>Manejo do Paciente Grave</w:t>
      </w:r>
    </w:p>
    <w:p w:rsidR="000D1436" w:rsidRDefault="000D1436" w:rsidP="000D1436">
      <w:pPr>
        <w:pStyle w:val="Corpodetexto"/>
        <w:spacing w:before="8" w:line="247" w:lineRule="auto"/>
        <w:ind w:right="463"/>
        <w:jc w:val="both"/>
      </w:pPr>
    </w:p>
    <w:p w:rsidR="00767098" w:rsidRDefault="00767098">
      <w:pPr>
        <w:spacing w:line="247" w:lineRule="auto"/>
        <w:jc w:val="both"/>
        <w:sectPr w:rsidR="00767098" w:rsidSect="00FA1D1D"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767098" w:rsidRDefault="00767098">
      <w:pPr>
        <w:jc w:val="both"/>
        <w:sectPr w:rsidR="00767098" w:rsidSect="00FA1D1D">
          <w:pgSz w:w="11920" w:h="16840"/>
          <w:pgMar w:top="720" w:right="720" w:bottom="720" w:left="720" w:header="720" w:footer="720" w:gutter="0"/>
          <w:cols w:space="720"/>
        </w:sectPr>
      </w:pPr>
    </w:p>
    <w:p w:rsidR="00767098" w:rsidRDefault="00767098">
      <w:pPr>
        <w:pStyle w:val="Corpodetexto"/>
        <w:spacing w:before="4"/>
        <w:ind w:left="0"/>
        <w:rPr>
          <w:sz w:val="17"/>
        </w:rPr>
      </w:pPr>
    </w:p>
    <w:sectPr w:rsidR="00767098" w:rsidSect="00880146">
      <w:pgSz w:w="11920" w:h="16840"/>
      <w:pgMar w:top="1600" w:right="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67098"/>
    <w:rsid w:val="000D1436"/>
    <w:rsid w:val="000F32B9"/>
    <w:rsid w:val="00301356"/>
    <w:rsid w:val="003D2B4E"/>
    <w:rsid w:val="004B2CA4"/>
    <w:rsid w:val="005C7C35"/>
    <w:rsid w:val="00767098"/>
    <w:rsid w:val="00880146"/>
    <w:rsid w:val="008E4245"/>
    <w:rsid w:val="009065F8"/>
    <w:rsid w:val="00CA4FC3"/>
    <w:rsid w:val="00D2508C"/>
    <w:rsid w:val="00D9562B"/>
    <w:rsid w:val="00E87552"/>
    <w:rsid w:val="00FA1D1D"/>
    <w:rsid w:val="00FC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4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880146"/>
    <w:pPr>
      <w:ind w:left="2734" w:right="28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80146"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880146"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  <w:rsid w:val="00880146"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bumpedfont15">
    <w:name w:val="bumpedfont15"/>
    <w:basedOn w:val="Fontepargpadro"/>
    <w:rsid w:val="00D2508C"/>
  </w:style>
  <w:style w:type="character" w:customStyle="1" w:styleId="apple-converted-space">
    <w:name w:val="apple-converted-space"/>
    <w:basedOn w:val="Fontepargpadro"/>
    <w:rsid w:val="00D250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Érica Andrade</dc:creator>
  <cp:lastModifiedBy>Érica Andrade</cp:lastModifiedBy>
  <cp:revision>2</cp:revision>
  <dcterms:created xsi:type="dcterms:W3CDTF">2024-01-26T14:19:00Z</dcterms:created>
  <dcterms:modified xsi:type="dcterms:W3CDTF">2024-01-26T14:19:00Z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