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919A586" w14:textId="0FF9B881" w:rsidR="001C785D" w:rsidRDefault="00A9060E" w:rsidP="00A906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R</w:t>
      </w:r>
      <w:r w:rsidR="001C785D" w:rsidRPr="00895E2D">
        <w:rPr>
          <w:rFonts w:ascii="Times New Roman" w:hAnsi="Times New Roman" w:cs="Times New Roman"/>
          <w:b/>
          <w:bCs/>
          <w:sz w:val="32"/>
        </w:rPr>
        <w:t xml:space="preserve">elato de experiência da construção dos primeiros pré-projetos de </w:t>
      </w:r>
      <w:proofErr w:type="spellStart"/>
      <w:r w:rsidR="001C785D" w:rsidRPr="00895E2D">
        <w:rPr>
          <w:rFonts w:ascii="Times New Roman" w:hAnsi="Times New Roman" w:cs="Times New Roman"/>
          <w:b/>
          <w:bCs/>
          <w:sz w:val="32"/>
        </w:rPr>
        <w:t>licenciandos</w:t>
      </w:r>
      <w:proofErr w:type="spellEnd"/>
      <w:r w:rsidR="001C785D" w:rsidRPr="00895E2D">
        <w:rPr>
          <w:rFonts w:ascii="Times New Roman" w:hAnsi="Times New Roman" w:cs="Times New Roman"/>
          <w:b/>
          <w:bCs/>
          <w:sz w:val="32"/>
        </w:rPr>
        <w:t xml:space="preserve"> em Pedagogia do Campo no Médio Juruá (AM)</w:t>
      </w:r>
    </w:p>
    <w:p w14:paraId="4D9E2981" w14:textId="77777777" w:rsidR="00800F6E" w:rsidRPr="00895E2D" w:rsidRDefault="00800F6E" w:rsidP="001C785D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14:paraId="45E4CE36" w14:textId="77777777" w:rsidR="003C35BF" w:rsidRPr="00895E2D" w:rsidRDefault="003C35BF" w:rsidP="004B1D01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F974025" w14:textId="6666543C" w:rsidR="00390751" w:rsidRPr="00390751" w:rsidRDefault="00390751" w:rsidP="00390751">
      <w:pPr>
        <w:spacing w:line="240" w:lineRule="auto"/>
        <w:jc w:val="right"/>
        <w:rPr>
          <w:rFonts w:ascii="Times New Roman" w:hAnsi="Times New Roman" w:cs="Times New Roman"/>
          <w:bCs/>
          <w:color w:val="002F3C"/>
          <w:sz w:val="20"/>
          <w:szCs w:val="20"/>
        </w:rPr>
      </w:pPr>
      <w:r w:rsidRPr="00390751">
        <w:rPr>
          <w:rFonts w:ascii="Times New Roman" w:hAnsi="Times New Roman" w:cs="Times New Roman"/>
          <w:b/>
          <w:bCs/>
          <w:color w:val="002F3C"/>
          <w:sz w:val="20"/>
          <w:szCs w:val="20"/>
        </w:rPr>
        <w:t>Carm</w:t>
      </w:r>
      <w:r>
        <w:rPr>
          <w:rFonts w:ascii="Times New Roman" w:hAnsi="Times New Roman" w:cs="Times New Roman"/>
          <w:b/>
          <w:bCs/>
          <w:color w:val="002F3C"/>
          <w:sz w:val="20"/>
          <w:szCs w:val="20"/>
        </w:rPr>
        <w:t xml:space="preserve">el do Nascimento Pereira </w:t>
      </w:r>
      <w:r>
        <w:rPr>
          <w:rFonts w:ascii="Times New Roman" w:hAnsi="Times New Roman" w:cs="Times New Roman"/>
          <w:b/>
          <w:bCs/>
          <w:color w:val="002F3C"/>
          <w:sz w:val="20"/>
          <w:szCs w:val="20"/>
        </w:rPr>
        <w:br/>
      </w:r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t xml:space="preserve">Doutoranda do Programa de </w:t>
      </w:r>
      <w:proofErr w:type="gramStart"/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t>Pós- Graduação</w:t>
      </w:r>
      <w:proofErr w:type="gramEnd"/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t xml:space="preserve"> em</w:t>
      </w:r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br/>
        <w:t>Educação - UFAM- Manaus</w:t>
      </w:r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br/>
        <w:t xml:space="preserve">E-mail: </w:t>
      </w:r>
      <w:hyperlink r:id="rId7" w:history="1">
        <w:r w:rsidRPr="00390751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carmel1902@gmail.com</w:t>
        </w:r>
      </w:hyperlink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t xml:space="preserve"> </w:t>
      </w:r>
    </w:p>
    <w:p w14:paraId="582E902D" w14:textId="44B63F92" w:rsidR="004B646F" w:rsidRPr="00390751" w:rsidRDefault="00390751" w:rsidP="00390751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90751">
        <w:rPr>
          <w:rFonts w:ascii="Times New Roman" w:hAnsi="Times New Roman" w:cs="Times New Roman"/>
          <w:b/>
          <w:bCs/>
          <w:color w:val="002F3C"/>
          <w:sz w:val="20"/>
          <w:szCs w:val="20"/>
        </w:rPr>
        <w:t>Eli</w:t>
      </w:r>
      <w:r>
        <w:rPr>
          <w:rFonts w:ascii="Times New Roman" w:hAnsi="Times New Roman" w:cs="Times New Roman"/>
          <w:b/>
          <w:bCs/>
          <w:color w:val="002F3C"/>
          <w:sz w:val="20"/>
          <w:szCs w:val="20"/>
        </w:rPr>
        <w:t>zandra Rego de Vasconcelos</w:t>
      </w:r>
      <w:r>
        <w:rPr>
          <w:rFonts w:ascii="Times New Roman" w:hAnsi="Times New Roman" w:cs="Times New Roman"/>
          <w:b/>
          <w:bCs/>
          <w:color w:val="002F3C"/>
          <w:sz w:val="20"/>
          <w:szCs w:val="20"/>
        </w:rPr>
        <w:br/>
      </w:r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t xml:space="preserve">Professora </w:t>
      </w:r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t>Doutora, Departamento</w:t>
      </w:r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t xml:space="preserve"> de Biologia, UFAM - Manaus</w:t>
      </w:r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br/>
      </w:r>
      <w:r w:rsidRPr="00390751">
        <w:rPr>
          <w:rFonts w:ascii="Times New Roman" w:hAnsi="Times New Roman" w:cs="Times New Roman"/>
          <w:bCs/>
          <w:color w:val="002F3C"/>
          <w:sz w:val="20"/>
          <w:szCs w:val="20"/>
        </w:rPr>
        <w:t xml:space="preserve">E-mail: </w:t>
      </w:r>
      <w:hyperlink r:id="rId8" w:history="1">
        <w:r w:rsidRPr="00422410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elizandravasconcelos@ufam.edu.br</w:t>
        </w:r>
      </w:hyperlink>
      <w:r>
        <w:rPr>
          <w:rFonts w:ascii="Times New Roman" w:hAnsi="Times New Roman" w:cs="Times New Roman"/>
          <w:bCs/>
          <w:color w:val="002F3C"/>
          <w:sz w:val="20"/>
          <w:szCs w:val="20"/>
        </w:rPr>
        <w:t xml:space="preserve"> </w:t>
      </w:r>
    </w:p>
    <w:p w14:paraId="16EE9ABF" w14:textId="37940DB3" w:rsidR="00822323" w:rsidRPr="00895E2D" w:rsidRDefault="007A4F1E" w:rsidP="004333F9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0E2A">
        <w:rPr>
          <w:rFonts w:ascii="Times New Roman" w:hAnsi="Times New Roman" w:cs="Times New Roman"/>
          <w:b/>
          <w:sz w:val="20"/>
          <w:szCs w:val="20"/>
        </w:rPr>
        <w:t>Eixo 02</w:t>
      </w:r>
      <w:r w:rsidR="003C35BF" w:rsidRPr="00FE0E2A">
        <w:rPr>
          <w:rFonts w:ascii="Times New Roman" w:hAnsi="Times New Roman" w:cs="Times New Roman"/>
          <w:b/>
          <w:sz w:val="20"/>
          <w:szCs w:val="20"/>
        </w:rPr>
        <w:t>:</w:t>
      </w:r>
      <w:r w:rsidR="003C35BF" w:rsidRPr="00895E2D">
        <w:rPr>
          <w:rFonts w:ascii="Times New Roman" w:hAnsi="Times New Roman" w:cs="Times New Roman"/>
          <w:sz w:val="20"/>
          <w:szCs w:val="20"/>
        </w:rPr>
        <w:t xml:space="preserve"> Educação, Ciência e Sustentabilidade Social: pesquisas, práticas e experiências pedagógicas envolvendo povos indígenas, quilombolas, do campo, das florestas e das águas. Pesquisas sobre o desenvolvimento humano, os processos formativos dos sujeitos nos diferentes ciclos de vida e sua relação com a educação. Aborda a </w:t>
      </w:r>
      <w:proofErr w:type="spellStart"/>
      <w:r w:rsidR="003C35BF" w:rsidRPr="00895E2D">
        <w:rPr>
          <w:rFonts w:ascii="Times New Roman" w:hAnsi="Times New Roman" w:cs="Times New Roman"/>
          <w:sz w:val="20"/>
          <w:szCs w:val="20"/>
        </w:rPr>
        <w:t>interculturalidade</w:t>
      </w:r>
      <w:proofErr w:type="spellEnd"/>
      <w:r w:rsidR="003C35BF" w:rsidRPr="00895E2D">
        <w:rPr>
          <w:rFonts w:ascii="Times New Roman" w:hAnsi="Times New Roman" w:cs="Times New Roman"/>
          <w:sz w:val="20"/>
          <w:szCs w:val="20"/>
        </w:rPr>
        <w:t xml:space="preserve"> e os processos educacionais e pedagógicos na Amazônia, discutindo a formação e a práxis de professores como elemento mobilizador, com base em diferentes perspectivas históricas, epistemológicas e sociais.</w:t>
      </w:r>
    </w:p>
    <w:p w14:paraId="1106489D" w14:textId="77777777" w:rsidR="00FE0E2A" w:rsidRDefault="00FE0E2A" w:rsidP="001C785D">
      <w:pPr>
        <w:pStyle w:val="Ttulo2"/>
        <w:rPr>
          <w:rStyle w:val="Forte"/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</w:p>
    <w:p w14:paraId="13A53DE7" w14:textId="0CC7BAEC" w:rsidR="001C785D" w:rsidRPr="00FE0E2A" w:rsidRDefault="001C785D" w:rsidP="00FE0E2A">
      <w:pPr>
        <w:pStyle w:val="SemEspaamento"/>
        <w:rPr>
          <w:rFonts w:ascii="Times New Roman" w:hAnsi="Times New Roman" w:cs="Times New Roman"/>
          <w:sz w:val="28"/>
          <w:szCs w:val="28"/>
        </w:rPr>
      </w:pPr>
      <w:r w:rsidRPr="00FE0E2A">
        <w:rPr>
          <w:rStyle w:val="Forte"/>
          <w:rFonts w:ascii="Times New Roman" w:hAnsi="Times New Roman" w:cs="Times New Roman"/>
          <w:bCs w:val="0"/>
          <w:sz w:val="28"/>
          <w:szCs w:val="28"/>
        </w:rPr>
        <w:t>RESUMO</w:t>
      </w:r>
    </w:p>
    <w:p w14:paraId="454484CF" w14:textId="170999AC" w:rsidR="001C785D" w:rsidRPr="00800F6E" w:rsidRDefault="00800F6E" w:rsidP="001C785D">
      <w:pPr>
        <w:pStyle w:val="NormalWeb"/>
        <w:jc w:val="both"/>
        <w:rPr>
          <w:color w:val="000000" w:themeColor="text1"/>
          <w:sz w:val="22"/>
          <w:szCs w:val="22"/>
        </w:rPr>
      </w:pPr>
      <w:r w:rsidRPr="00800F6E">
        <w:rPr>
          <w:color w:val="000000" w:themeColor="text1"/>
          <w:sz w:val="22"/>
          <w:szCs w:val="22"/>
        </w:rPr>
        <w:t xml:space="preserve">O presente relato apresenta a experiência desenvolvida na disciplina Processos Participativos de Pesquisa e Prática Pedagógica I, do curso de Pedagogia do Campo da UEA em parceria com a FAS, em Carauari (AM, 2022). Por meio da elaboração de pré-projetos, </w:t>
      </w:r>
      <w:proofErr w:type="spellStart"/>
      <w:r w:rsidRPr="00800F6E">
        <w:rPr>
          <w:color w:val="000000" w:themeColor="text1"/>
          <w:sz w:val="22"/>
          <w:szCs w:val="22"/>
        </w:rPr>
        <w:t>licenciandos</w:t>
      </w:r>
      <w:proofErr w:type="spellEnd"/>
      <w:r w:rsidRPr="00800F6E">
        <w:rPr>
          <w:color w:val="000000" w:themeColor="text1"/>
          <w:sz w:val="22"/>
          <w:szCs w:val="22"/>
        </w:rPr>
        <w:t xml:space="preserve"> foram introduzidos à pesquisa acadêmica, revelando demandas locais analisadas pela técnica de Análise de Conteúdo (</w:t>
      </w:r>
      <w:proofErr w:type="spellStart"/>
      <w:r w:rsidRPr="00800F6E">
        <w:rPr>
          <w:color w:val="000000" w:themeColor="text1"/>
          <w:sz w:val="22"/>
          <w:szCs w:val="22"/>
        </w:rPr>
        <w:t>Bardin</w:t>
      </w:r>
      <w:proofErr w:type="spellEnd"/>
      <w:r w:rsidRPr="00800F6E">
        <w:rPr>
          <w:color w:val="000000" w:themeColor="text1"/>
          <w:sz w:val="22"/>
          <w:szCs w:val="22"/>
        </w:rPr>
        <w:t>, 2011). Emergiram cinco eixos: alfabetização e educação infantil; EJA e inclusão; educação ambiental; memória e identidade; ensino contextualizado. Os resultados destacam a valorização da cultura ribeirinha, a identidade local e a pesquisa como prática emancipatória e denúncia social na construção de uma Pedagogia do Campo crítica.</w:t>
      </w:r>
    </w:p>
    <w:p w14:paraId="1AE79630" w14:textId="2EA057C5" w:rsidR="00FE0E2A" w:rsidRPr="00806BC9" w:rsidRDefault="001C785D" w:rsidP="00FE0E2A">
      <w:pPr>
        <w:pStyle w:val="NormalWeb"/>
        <w:rPr>
          <w:color w:val="000000" w:themeColor="text1"/>
          <w:sz w:val="22"/>
          <w:szCs w:val="22"/>
        </w:rPr>
      </w:pPr>
      <w:r w:rsidRPr="00806BC9">
        <w:rPr>
          <w:rStyle w:val="Forte"/>
          <w:rFonts w:eastAsiaTheme="majorEastAsia"/>
          <w:color w:val="000000" w:themeColor="text1"/>
          <w:sz w:val="22"/>
          <w:szCs w:val="22"/>
        </w:rPr>
        <w:t>Palavras-chave:</w:t>
      </w:r>
      <w:r w:rsidR="00217023">
        <w:rPr>
          <w:color w:val="000000" w:themeColor="text1"/>
          <w:sz w:val="22"/>
          <w:szCs w:val="22"/>
        </w:rPr>
        <w:t xml:space="preserve"> </w:t>
      </w:r>
      <w:bookmarkStart w:id="0" w:name="_GoBack"/>
      <w:r w:rsidR="00217023">
        <w:rPr>
          <w:color w:val="000000" w:themeColor="text1"/>
          <w:sz w:val="22"/>
          <w:szCs w:val="22"/>
        </w:rPr>
        <w:t xml:space="preserve">Educação do Campo, </w:t>
      </w:r>
      <w:r w:rsidRPr="00806BC9">
        <w:rPr>
          <w:color w:val="000000" w:themeColor="text1"/>
          <w:sz w:val="22"/>
          <w:szCs w:val="22"/>
        </w:rPr>
        <w:t>Formação de Pr</w:t>
      </w:r>
      <w:r w:rsidR="00217023">
        <w:rPr>
          <w:color w:val="000000" w:themeColor="text1"/>
          <w:sz w:val="22"/>
          <w:szCs w:val="22"/>
        </w:rPr>
        <w:t>ofessores, Pesquisa, Narrativas</w:t>
      </w:r>
      <w:bookmarkEnd w:id="0"/>
    </w:p>
    <w:p w14:paraId="17D113C3" w14:textId="78B034D4" w:rsidR="001C785D" w:rsidRPr="00FE0E2A" w:rsidRDefault="001C785D" w:rsidP="00FE0E2A">
      <w:pPr>
        <w:pStyle w:val="NormalWeb"/>
        <w:rPr>
          <w:color w:val="000000" w:themeColor="text1"/>
        </w:rPr>
      </w:pPr>
      <w:r w:rsidRPr="00895E2D">
        <w:rPr>
          <w:rStyle w:val="Forte"/>
          <w:bCs w:val="0"/>
          <w:color w:val="000000" w:themeColor="text1"/>
          <w:sz w:val="28"/>
          <w:szCs w:val="28"/>
        </w:rPr>
        <w:t>INTRODUÇÃO</w:t>
      </w:r>
    </w:p>
    <w:p w14:paraId="27B9D67F" w14:textId="77777777" w:rsidR="00800F6E" w:rsidRDefault="001C785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895E2D">
        <w:rPr>
          <w:color w:val="000000" w:themeColor="text1"/>
        </w:rPr>
        <w:t>A Educação do Campo no Brasil resulta de lutas históricas dos movimentos sociais, que reivindicam uma escola de qualidade vinculada à vida, aos saberes e às identidades das populações rurais (ARROYO, 2012). No estado do Amazonas, o curso de Pedagogia do Campo da Universidade do Estado do Amazonas (UEA), em parceria com a Fundação Amazônia Sustentável (FAS), representa um avanço significativo para municípios isolados como Carauari, no Território do Médio Juruá.</w:t>
      </w:r>
    </w:p>
    <w:p w14:paraId="7D41F334" w14:textId="4BFC90BF" w:rsidR="00800F6E" w:rsidRDefault="009663AB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O município de </w:t>
      </w:r>
      <w:r w:rsidR="001C785D" w:rsidRPr="00895E2D">
        <w:rPr>
          <w:color w:val="000000" w:themeColor="text1"/>
        </w:rPr>
        <w:t>Carauari está situado a aproximadamente 800 km em linha reta de Manaus e 1600 km por via fluvial, em uma região que conta com três Unidades de Conservação, uma Floresta Nacional e quatro terras indígenas, abrangendo cerca de 48% da área do município. Essa configuração impõe grandes desafios à escolarização, especialmente para comunidades ribeirinhas que chegam a estar a dois dias de viagem da sede municipal.</w:t>
      </w:r>
    </w:p>
    <w:p w14:paraId="2F8BB553" w14:textId="77777777" w:rsidR="009663AB" w:rsidRDefault="002270F3" w:rsidP="00E31266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2270F3">
        <w:rPr>
          <w:color w:val="000000" w:themeColor="text1"/>
        </w:rPr>
        <w:t xml:space="preserve">O curso de Pedagogia do Campo foi realizado no Núcleo de Conservação e Sustentabilidade (NCS) </w:t>
      </w:r>
      <w:proofErr w:type="spellStart"/>
      <w:r w:rsidRPr="002270F3">
        <w:rPr>
          <w:color w:val="000000" w:themeColor="text1"/>
        </w:rPr>
        <w:t>Bauana</w:t>
      </w:r>
      <w:proofErr w:type="spellEnd"/>
      <w:r w:rsidRPr="002270F3">
        <w:rPr>
          <w:color w:val="000000" w:themeColor="text1"/>
        </w:rPr>
        <w:t xml:space="preserve">, na Reserva de Desenvolvimento Sustentável Uacari, e no Núcleo de Inovação e Educação para o Desenvolvimento Sustentável Pe. João </w:t>
      </w:r>
      <w:proofErr w:type="spellStart"/>
      <w:r w:rsidRPr="002270F3">
        <w:rPr>
          <w:color w:val="000000" w:themeColor="text1"/>
        </w:rPr>
        <w:t>Derickx</w:t>
      </w:r>
      <w:proofErr w:type="spellEnd"/>
      <w:r w:rsidRPr="002270F3">
        <w:rPr>
          <w:color w:val="000000" w:themeColor="text1"/>
        </w:rPr>
        <w:t xml:space="preserve"> (NIEDS). Sua criação surgiu da necessidade de formar professores oriundos do próprio território, enfrentando a rotatividade e a dificuldade de adaptação de docentes urbanos, uma demanda histórica do</w:t>
      </w:r>
      <w:r w:rsidR="009663AB">
        <w:rPr>
          <w:color w:val="000000" w:themeColor="text1"/>
        </w:rPr>
        <w:t>s movimentos sociais da região.</w:t>
      </w:r>
    </w:p>
    <w:p w14:paraId="20D31C51" w14:textId="1DB7EEE5" w:rsidR="002270F3" w:rsidRPr="002270F3" w:rsidRDefault="002270F3" w:rsidP="00E31266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2270F3">
        <w:rPr>
          <w:color w:val="000000" w:themeColor="text1"/>
        </w:rPr>
        <w:t>A formação contou ainda com o apoio de organizações locais e regionais, como a Associação dos Produtores Rurais de Carauari (</w:t>
      </w:r>
      <w:proofErr w:type="spellStart"/>
      <w:r w:rsidRPr="002270F3">
        <w:rPr>
          <w:color w:val="000000" w:themeColor="text1"/>
        </w:rPr>
        <w:t>Asproc</w:t>
      </w:r>
      <w:proofErr w:type="spellEnd"/>
      <w:r w:rsidRPr="002270F3">
        <w:rPr>
          <w:color w:val="000000" w:themeColor="text1"/>
        </w:rPr>
        <w:t>), a Associação dos Moradores Agroextrativistas da RDS Uacari (</w:t>
      </w:r>
      <w:proofErr w:type="spellStart"/>
      <w:r w:rsidRPr="002270F3">
        <w:rPr>
          <w:color w:val="000000" w:themeColor="text1"/>
        </w:rPr>
        <w:t>Amaru</w:t>
      </w:r>
      <w:proofErr w:type="spellEnd"/>
      <w:r w:rsidRPr="002270F3">
        <w:rPr>
          <w:color w:val="000000" w:themeColor="text1"/>
        </w:rPr>
        <w:t xml:space="preserve">), o Instituto Juruá (IJ), o </w:t>
      </w:r>
      <w:proofErr w:type="spellStart"/>
      <w:r w:rsidRPr="002270F3">
        <w:rPr>
          <w:color w:val="000000" w:themeColor="text1"/>
        </w:rPr>
        <w:t>ICMBio</w:t>
      </w:r>
      <w:proofErr w:type="spellEnd"/>
      <w:r w:rsidRPr="002270F3">
        <w:rPr>
          <w:color w:val="000000" w:themeColor="text1"/>
        </w:rPr>
        <w:t>, a Secretaria de Estado de Meio Ambiente (Sema), a Associação de Moradores Extrativistas da Comunidade São Raimundo (AMECSARA) e a Associação das Famílias da Casa Familiar Rural de Carauari (ACFRC), entre outros.</w:t>
      </w:r>
    </w:p>
    <w:p w14:paraId="12775E50" w14:textId="6E4B0120" w:rsidR="00800F6E" w:rsidRDefault="001C785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895E2D">
        <w:rPr>
          <w:color w:val="000000" w:themeColor="text1"/>
        </w:rPr>
        <w:t xml:space="preserve">A disciplina </w:t>
      </w:r>
      <w:r w:rsidRPr="00895E2D">
        <w:rPr>
          <w:rStyle w:val="nfase"/>
          <w:rFonts w:eastAsiaTheme="majorEastAsia"/>
          <w:color w:val="000000" w:themeColor="text1"/>
        </w:rPr>
        <w:t>Processos Participativos de Pesquisa e Prática Pedagógica I</w:t>
      </w:r>
      <w:r w:rsidRPr="00895E2D">
        <w:rPr>
          <w:color w:val="000000" w:themeColor="text1"/>
        </w:rPr>
        <w:t xml:space="preserve">, ministrada entre o final de março e início de abril de 2022, marcou o primeiro contato dos </w:t>
      </w:r>
      <w:proofErr w:type="spellStart"/>
      <w:r w:rsidRPr="00895E2D">
        <w:rPr>
          <w:color w:val="000000" w:themeColor="text1"/>
        </w:rPr>
        <w:t>licenciandos</w:t>
      </w:r>
      <w:proofErr w:type="spellEnd"/>
      <w:r w:rsidRPr="00895E2D">
        <w:rPr>
          <w:color w:val="000000" w:themeColor="text1"/>
        </w:rPr>
        <w:t xml:space="preserve"> com a pesquisa científica. Como produto final</w:t>
      </w:r>
      <w:r w:rsidR="009663AB">
        <w:rPr>
          <w:color w:val="000000" w:themeColor="text1"/>
        </w:rPr>
        <w:t xml:space="preserve"> da disciplina</w:t>
      </w:r>
      <w:r w:rsidRPr="00895E2D">
        <w:rPr>
          <w:color w:val="000000" w:themeColor="text1"/>
        </w:rPr>
        <w:t xml:space="preserve">, os estudantes elaboraram pré-projetos de pesquisa, que, sistematizados </w:t>
      </w:r>
      <w:r w:rsidR="009663AB">
        <w:rPr>
          <w:color w:val="000000" w:themeColor="text1"/>
        </w:rPr>
        <w:t>em na tabela 01</w:t>
      </w:r>
      <w:r w:rsidRPr="00895E2D">
        <w:rPr>
          <w:color w:val="000000" w:themeColor="text1"/>
        </w:rPr>
        <w:t xml:space="preserve">, </w:t>
      </w:r>
      <w:r w:rsidR="009663AB">
        <w:rPr>
          <w:color w:val="000000" w:themeColor="text1"/>
        </w:rPr>
        <w:t>apontam</w:t>
      </w:r>
      <w:r w:rsidRPr="00895E2D">
        <w:rPr>
          <w:color w:val="000000" w:themeColor="text1"/>
        </w:rPr>
        <w:t xml:space="preserve"> as demandas e prioridades educacionais da região naquele período.</w:t>
      </w:r>
    </w:p>
    <w:p w14:paraId="43F1AD49" w14:textId="6AEDACD8" w:rsidR="00A35FF7" w:rsidRDefault="00A35FF7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>
        <w:t xml:space="preserve">Segundo Calazans (1985, p. 26), a Educação do Campo representa os movimentos organizados no campo, a partir de uma proposta educativa construída pelos próprios sujeitos, cujo objetivo é a emancipação e a assistência política desse grupo de cidadãos, garantindo-lhes o usufruto do direito à permanência no território e a possibilidade de buscar formas de viver ou </w:t>
      </w:r>
      <w:r>
        <w:lastRenderedPageBreak/>
        <w:t>de se deslocar à cidade para concretizar seus objetivos, sendo sempre uma escolha voluntária, e não uma imposição.</w:t>
      </w:r>
    </w:p>
    <w:p w14:paraId="434A0FBB" w14:textId="1EF27469" w:rsidR="00800F6E" w:rsidRDefault="001C785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895E2D">
        <w:rPr>
          <w:color w:val="000000" w:themeColor="text1"/>
        </w:rPr>
        <w:t>A pesquisa em Educação do Campo deve ser compreendida como um processo formativo e emancipatório. Para Freire (1996), a prática investigativa é central para a autonomia do professor, que aprende a ler criticamente a realidade para transformá-la. Brandão (2002) reforça que a pesquisa, nesse contexto, não se limita à produção acadêmica, mas constitui um ato pedagógico e político.</w:t>
      </w:r>
      <w:r w:rsidR="009663AB">
        <w:rPr>
          <w:color w:val="000000" w:themeColor="text1"/>
        </w:rPr>
        <w:t xml:space="preserve"> </w:t>
      </w:r>
      <w:r w:rsidR="009663AB">
        <w:t>As propostas de pré-projetos escritas no início do curso pelos educandos direcionam-se a questões específicas e demandas vivenciadas por eles, bem como ao desejo de promover mudanças, não saindo do território, mas permanecendo nele.</w:t>
      </w:r>
    </w:p>
    <w:p w14:paraId="491965CB" w14:textId="49C55862" w:rsidR="00E31266" w:rsidRDefault="00E31266" w:rsidP="00E31266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E31266">
        <w:rPr>
          <w:color w:val="000000" w:themeColor="text1"/>
        </w:rPr>
        <w:t>A diretriz para uma educação emancipatória no campo propõe uma organização curricular diferenciada dos tempos e espaços pedagógicos, articulando estudo, trabalho e diversidade sociocultural. Nesse contexto, a escola e a comunidade constituem espaços de construção e avaliação de saberes, com a escola atuando como mediação na reelaboração de formas de pensar e agir. Adota-se, assim, a Pedagogia da Alternância, que integra vivências na instituição e na comunidade.</w:t>
      </w:r>
    </w:p>
    <w:p w14:paraId="32DC7707" w14:textId="45263FE1" w:rsidR="009F07D8" w:rsidRDefault="009F07D8" w:rsidP="00E31266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9F07D8">
        <w:rPr>
          <w:color w:val="000000" w:themeColor="text1"/>
        </w:rPr>
        <w:t>De acordo com</w:t>
      </w:r>
      <w:r>
        <w:rPr>
          <w:color w:val="000000" w:themeColor="text1"/>
        </w:rPr>
        <w:t xml:space="preserve"> </w:t>
      </w:r>
      <w:r w:rsidRPr="009F07D8">
        <w:rPr>
          <w:color w:val="000000" w:themeColor="text1"/>
        </w:rPr>
        <w:t>Molina e</w:t>
      </w:r>
      <w:r>
        <w:rPr>
          <w:color w:val="000000" w:themeColor="text1"/>
        </w:rPr>
        <w:t xml:space="preserve"> </w:t>
      </w:r>
      <w:r w:rsidRPr="009F07D8">
        <w:rPr>
          <w:color w:val="000000" w:themeColor="text1"/>
        </w:rPr>
        <w:t>Sá (2011</w:t>
      </w:r>
      <w:proofErr w:type="gramStart"/>
      <w:r w:rsidRPr="009F07D8">
        <w:rPr>
          <w:color w:val="000000" w:themeColor="text1"/>
        </w:rPr>
        <w:t>),a</w:t>
      </w:r>
      <w:proofErr w:type="gramEnd"/>
      <w:r w:rsidRPr="009F07D8">
        <w:rPr>
          <w:color w:val="000000" w:themeColor="text1"/>
        </w:rPr>
        <w:t xml:space="preserve"> alternância favorece relações não hierárquicas entre  os  modos  de  conhecimento  que  são  apresentados  nestes  distintos  períodos formativos, os quais se articulam na medida em que se constituem espaços de reflexão e ação,  onde  se  encontram  conhecimentos  científicos  e  conhecimentos  produzidos  nas vivências  destes  sujeitos.</w:t>
      </w:r>
    </w:p>
    <w:p w14:paraId="61E42398" w14:textId="3B9DA602" w:rsidR="00B74F2F" w:rsidRDefault="001C785D" w:rsidP="00390751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895E2D">
        <w:rPr>
          <w:color w:val="000000" w:themeColor="text1"/>
        </w:rPr>
        <w:t>A perspectiva do professor-pesquisador ganha destaque em Molina e Hage (2019), que defendem uma formação docente comprometida com a realidade local e com as identidades camponesas. Nesse sentido, a Educação do Campo deve articular as dimensões culturais, sociais e ambientais, como propõe Fernandes (2008), situando-se como prática de resistência e de valorização da vida nos territórios.</w:t>
      </w:r>
    </w:p>
    <w:p w14:paraId="0DCF7A78" w14:textId="77777777" w:rsidR="00390751" w:rsidRPr="00390751" w:rsidRDefault="00390751" w:rsidP="00390751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390751">
        <w:rPr>
          <w:color w:val="000000" w:themeColor="text1"/>
        </w:rPr>
        <w:lastRenderedPageBreak/>
        <w:t xml:space="preserve">Neste sentido, este relato teve como objetivo </w:t>
      </w:r>
      <w:r w:rsidRPr="00390751">
        <w:rPr>
          <w:bCs/>
          <w:color w:val="000000" w:themeColor="text1"/>
        </w:rPr>
        <w:t>analisar os temas dos pré-projetos de pesquisa, considerando tanto a orientação coletiva quanto individual na elaboração dos primeiros pré-projetos, e identificar de que forma os temas escolhidos refletem as necessidades educacionais do campo no Médio Juruá em 2022</w:t>
      </w:r>
      <w:r w:rsidRPr="00390751">
        <w:rPr>
          <w:color w:val="000000" w:themeColor="text1"/>
        </w:rPr>
        <w:t>.</w:t>
      </w:r>
    </w:p>
    <w:p w14:paraId="0A2EB07C" w14:textId="6B99FB5F" w:rsidR="001C785D" w:rsidRPr="00FE0E2A" w:rsidRDefault="001C785D" w:rsidP="00FE0E2A">
      <w:pPr>
        <w:pStyle w:val="NormalWeb"/>
        <w:spacing w:line="360" w:lineRule="auto"/>
        <w:jc w:val="both"/>
        <w:rPr>
          <w:color w:val="000000" w:themeColor="text1"/>
        </w:rPr>
      </w:pPr>
      <w:r w:rsidRPr="00895E2D">
        <w:rPr>
          <w:rStyle w:val="Forte"/>
          <w:bCs w:val="0"/>
          <w:color w:val="000000" w:themeColor="text1"/>
          <w:sz w:val="28"/>
          <w:szCs w:val="28"/>
        </w:rPr>
        <w:t>METODOLOGIA</w:t>
      </w:r>
    </w:p>
    <w:p w14:paraId="6FD18DE2" w14:textId="0A200AE3" w:rsidR="00684ED6" w:rsidRDefault="001C785D" w:rsidP="00684ED6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895E2D">
        <w:rPr>
          <w:color w:val="000000" w:themeColor="text1"/>
        </w:rPr>
        <w:t xml:space="preserve">O presente estudo caracteriza-se como relato de experiência de natureza qualitativa. O corpus da análise foi composto pelos 32 pré-projetos elaborados pelos </w:t>
      </w:r>
      <w:proofErr w:type="spellStart"/>
      <w:r w:rsidRPr="00895E2D">
        <w:rPr>
          <w:color w:val="000000" w:themeColor="text1"/>
        </w:rPr>
        <w:t>licenciandos</w:t>
      </w:r>
      <w:proofErr w:type="spellEnd"/>
      <w:r w:rsidRPr="00895E2D">
        <w:rPr>
          <w:color w:val="000000" w:themeColor="text1"/>
        </w:rPr>
        <w:t xml:space="preserve"> da disciplina </w:t>
      </w:r>
      <w:r w:rsidRPr="00895E2D">
        <w:rPr>
          <w:rStyle w:val="nfase"/>
          <w:rFonts w:eastAsiaTheme="majorEastAsia"/>
          <w:color w:val="000000" w:themeColor="text1"/>
        </w:rPr>
        <w:t>Processos Participativos de Pesquisa e Prática Pedagógica I</w:t>
      </w:r>
      <w:r w:rsidRPr="00895E2D">
        <w:rPr>
          <w:color w:val="000000" w:themeColor="text1"/>
        </w:rPr>
        <w:t>, ofertada no curso de Pedagogia do Campo da UEA em Carauari, no ano de 2022.</w:t>
      </w:r>
      <w:r w:rsidR="00684ED6">
        <w:rPr>
          <w:color w:val="000000" w:themeColor="text1"/>
        </w:rPr>
        <w:t xml:space="preserve"> </w:t>
      </w:r>
      <w:r w:rsidRPr="00895E2D">
        <w:rPr>
          <w:color w:val="000000" w:themeColor="text1"/>
        </w:rPr>
        <w:t>As atividades da disciplina for</w:t>
      </w:r>
      <w:r w:rsidR="00684ED6">
        <w:rPr>
          <w:color w:val="000000" w:themeColor="text1"/>
        </w:rPr>
        <w:t>am estruturadas em três etapas:</w:t>
      </w:r>
    </w:p>
    <w:p w14:paraId="4CB03742" w14:textId="77777777" w:rsidR="00684ED6" w:rsidRDefault="00684ED6" w:rsidP="00684ED6">
      <w:pPr>
        <w:pStyle w:val="NormalWeb"/>
        <w:numPr>
          <w:ilvl w:val="0"/>
          <w:numId w:val="11"/>
        </w:numPr>
        <w:spacing w:line="360" w:lineRule="auto"/>
        <w:jc w:val="both"/>
        <w:rPr>
          <w:color w:val="000000" w:themeColor="text1"/>
        </w:rPr>
      </w:pPr>
      <w:r w:rsidRPr="00684ED6">
        <w:rPr>
          <w:color w:val="000000" w:themeColor="text1"/>
        </w:rPr>
        <w:t>A</w:t>
      </w:r>
      <w:r w:rsidR="001C785D" w:rsidRPr="00684ED6">
        <w:rPr>
          <w:color w:val="000000" w:themeColor="text1"/>
        </w:rPr>
        <w:t>ulas expositivas dialogadas sobre fundamentos da pesquisa e papel do professor-pesquisador;</w:t>
      </w:r>
    </w:p>
    <w:p w14:paraId="45F317E9" w14:textId="77777777" w:rsidR="00684ED6" w:rsidRDefault="00684ED6" w:rsidP="00684ED6">
      <w:pPr>
        <w:pStyle w:val="NormalWeb"/>
        <w:numPr>
          <w:ilvl w:val="0"/>
          <w:numId w:val="11"/>
        </w:numPr>
        <w:spacing w:line="360" w:lineRule="auto"/>
        <w:jc w:val="both"/>
        <w:rPr>
          <w:color w:val="000000" w:themeColor="text1"/>
        </w:rPr>
      </w:pPr>
      <w:r w:rsidRPr="00684ED6">
        <w:rPr>
          <w:color w:val="000000" w:themeColor="text1"/>
        </w:rPr>
        <w:t>O</w:t>
      </w:r>
      <w:r w:rsidR="001C785D" w:rsidRPr="00684ED6">
        <w:rPr>
          <w:color w:val="000000" w:themeColor="text1"/>
        </w:rPr>
        <w:t xml:space="preserve">ficinas de construção de problema, </w:t>
      </w:r>
      <w:proofErr w:type="gramStart"/>
      <w:r w:rsidR="001C785D" w:rsidRPr="00684ED6">
        <w:rPr>
          <w:color w:val="000000" w:themeColor="text1"/>
        </w:rPr>
        <w:t>justificativa, objetivos e caminhos metodológicos</w:t>
      </w:r>
      <w:proofErr w:type="gramEnd"/>
      <w:r w:rsidR="001C785D" w:rsidRPr="00684ED6">
        <w:rPr>
          <w:color w:val="000000" w:themeColor="text1"/>
        </w:rPr>
        <w:t>;</w:t>
      </w:r>
      <w:r>
        <w:rPr>
          <w:color w:val="000000" w:themeColor="text1"/>
        </w:rPr>
        <w:t xml:space="preserve"> </w:t>
      </w:r>
    </w:p>
    <w:p w14:paraId="2D5A1D6E" w14:textId="73F6CB41" w:rsidR="00800F6E" w:rsidRPr="00684ED6" w:rsidRDefault="00684ED6" w:rsidP="00684ED6">
      <w:pPr>
        <w:pStyle w:val="NormalWeb"/>
        <w:numPr>
          <w:ilvl w:val="0"/>
          <w:numId w:val="11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O</w:t>
      </w:r>
      <w:r w:rsidR="001C785D" w:rsidRPr="00684ED6">
        <w:rPr>
          <w:color w:val="000000" w:themeColor="text1"/>
        </w:rPr>
        <w:t>rientação individual e socialização coletiva em seminário final.</w:t>
      </w:r>
    </w:p>
    <w:p w14:paraId="24FCD4E4" w14:textId="72A5E805" w:rsidR="00FE0E2A" w:rsidRDefault="00684ED6" w:rsidP="00FE0E2A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895E2D">
        <w:rPr>
          <w:color w:val="000000" w:themeColor="text1"/>
        </w:rPr>
        <w:t xml:space="preserve">Para analisar as representações sociais emergentes nos pré-projetos, utilizou-se a metodologia de análise de conteúdo, segundo </w:t>
      </w:r>
      <w:proofErr w:type="spellStart"/>
      <w:r w:rsidRPr="00895E2D">
        <w:rPr>
          <w:color w:val="000000" w:themeColor="text1"/>
        </w:rPr>
        <w:t>Bardin</w:t>
      </w:r>
      <w:proofErr w:type="spellEnd"/>
      <w:r w:rsidRPr="00895E2D">
        <w:rPr>
          <w:color w:val="000000" w:themeColor="text1"/>
        </w:rPr>
        <w:t xml:space="preserve"> (2011), que organiza os dados em categorias de sentido, permitindo identificar e interpretar os significados atribuídos pelos sujeitos às suas escolhas e práticas discursivas.</w:t>
      </w:r>
      <w:r>
        <w:rPr>
          <w:color w:val="000000" w:themeColor="text1"/>
        </w:rPr>
        <w:t xml:space="preserve"> </w:t>
      </w:r>
      <w:r w:rsidR="001C785D" w:rsidRPr="00895E2D">
        <w:rPr>
          <w:color w:val="000000" w:themeColor="text1"/>
        </w:rPr>
        <w:t xml:space="preserve">Os dados foram organizados e analisados conforme as três fases da Análise de Conteúdo (BARDIN, 2011): </w:t>
      </w:r>
      <w:proofErr w:type="spellStart"/>
      <w:r w:rsidR="001C785D" w:rsidRPr="00895E2D">
        <w:rPr>
          <w:color w:val="000000" w:themeColor="text1"/>
        </w:rPr>
        <w:t>pré-análise</w:t>
      </w:r>
      <w:proofErr w:type="spellEnd"/>
      <w:r w:rsidR="001C785D" w:rsidRPr="00895E2D">
        <w:rPr>
          <w:color w:val="000000" w:themeColor="text1"/>
        </w:rPr>
        <w:t>, exploração do material e tratamento dos resultados.</w:t>
      </w:r>
    </w:p>
    <w:p w14:paraId="259C0011" w14:textId="6E103E77" w:rsidR="004333F9" w:rsidRPr="00895E2D" w:rsidRDefault="004333F9" w:rsidP="00800F6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95E2D">
        <w:rPr>
          <w:rFonts w:ascii="Times New Roman" w:hAnsi="Times New Roman" w:cs="Times New Roman"/>
        </w:rPr>
        <w:t xml:space="preserve">Durante a disciplina, parte do processo abordamos </w:t>
      </w:r>
      <w:r w:rsidRPr="00895E2D">
        <w:rPr>
          <w:rFonts w:ascii="Times New Roman" w:hAnsi="Times New Roman" w:cs="Times New Roman"/>
          <w:bCs/>
        </w:rPr>
        <w:t xml:space="preserve">Pesquisa na formação docente. </w:t>
      </w:r>
      <w:r w:rsidRPr="00895E2D">
        <w:rPr>
          <w:rFonts w:ascii="Times New Roman" w:hAnsi="Times New Roman" w:cs="Times New Roman"/>
        </w:rPr>
        <w:t xml:space="preserve">Nesta unidade, trabalhou-se a </w:t>
      </w:r>
      <w:r w:rsidRPr="00895E2D">
        <w:rPr>
          <w:rFonts w:ascii="Times New Roman" w:hAnsi="Times New Roman" w:cs="Times New Roman"/>
          <w:bCs/>
        </w:rPr>
        <w:t>importância da pesquisa na formação do professor do campo</w:t>
      </w:r>
      <w:r w:rsidRPr="00895E2D">
        <w:rPr>
          <w:rFonts w:ascii="Times New Roman" w:hAnsi="Times New Roman" w:cs="Times New Roman"/>
        </w:rPr>
        <w:t xml:space="preserve">, destacando seu papel na construção da identidade docente e no fortalecimento da prática pedagógica contextualizada. </w:t>
      </w:r>
    </w:p>
    <w:p w14:paraId="6CBB53A8" w14:textId="72F0E746" w:rsidR="004333F9" w:rsidRPr="00895E2D" w:rsidRDefault="004333F9" w:rsidP="00800F6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95E2D">
        <w:rPr>
          <w:rFonts w:ascii="Times New Roman" w:hAnsi="Times New Roman" w:cs="Times New Roman"/>
        </w:rPr>
        <w:lastRenderedPageBreak/>
        <w:t xml:space="preserve">A atividade buscou valorizar a escuta dos estudantes e colocar suas respostas no centro </w:t>
      </w:r>
      <w:proofErr w:type="gramStart"/>
      <w:r w:rsidRPr="00895E2D">
        <w:rPr>
          <w:rFonts w:ascii="Times New Roman" w:hAnsi="Times New Roman" w:cs="Times New Roman"/>
        </w:rPr>
        <w:t>das</w:t>
      </w:r>
      <w:proofErr w:type="gramEnd"/>
      <w:r w:rsidRPr="00895E2D">
        <w:rPr>
          <w:rFonts w:ascii="Times New Roman" w:hAnsi="Times New Roman" w:cs="Times New Roman"/>
        </w:rPr>
        <w:t xml:space="preserve"> discussões, de modo a promover o diálogo entre diferentes pontos de vista. Cada aluno compartilhou sua compreensão com os colegas, possibilitando um debate coletivo.</w:t>
      </w:r>
    </w:p>
    <w:p w14:paraId="698538CF" w14:textId="4CC261E6" w:rsidR="004333F9" w:rsidRPr="00895E2D" w:rsidRDefault="004333F9" w:rsidP="00FE0E2A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95E2D">
        <w:rPr>
          <w:rFonts w:ascii="Times New Roman" w:hAnsi="Times New Roman" w:cs="Times New Roman"/>
        </w:rPr>
        <w:t xml:space="preserve">Foram também discutidos aspectos gerais sobre </w:t>
      </w:r>
      <w:r w:rsidRPr="00895E2D">
        <w:rPr>
          <w:rFonts w:ascii="Times New Roman" w:hAnsi="Times New Roman" w:cs="Times New Roman"/>
          <w:bCs/>
        </w:rPr>
        <w:t>pesquisa qualitativa e quantitativa</w:t>
      </w:r>
      <w:r w:rsidRPr="00895E2D">
        <w:rPr>
          <w:rFonts w:ascii="Times New Roman" w:hAnsi="Times New Roman" w:cs="Times New Roman"/>
        </w:rPr>
        <w:t>, com ênfase na relevância da abordagem qualitativa para os estudos em educação, especialmente por possibilitar a compreensão das práticas sociais e das experiências dos sujeitos em seus contextos.</w:t>
      </w:r>
    </w:p>
    <w:p w14:paraId="38530A0A" w14:textId="00394149" w:rsidR="009C2713" w:rsidRDefault="004333F9" w:rsidP="0039075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895E2D">
        <w:rPr>
          <w:rFonts w:ascii="Times New Roman" w:hAnsi="Times New Roman" w:cs="Times New Roman"/>
        </w:rPr>
        <w:t xml:space="preserve">Ao final da unidade, os alunos realizaram um exercício escrito, configurado como </w:t>
      </w:r>
      <w:r w:rsidRPr="00895E2D">
        <w:rPr>
          <w:rFonts w:ascii="Times New Roman" w:hAnsi="Times New Roman" w:cs="Times New Roman"/>
          <w:bCs/>
        </w:rPr>
        <w:t>Avaliação Parcial 1 (AP1)</w:t>
      </w:r>
      <w:r w:rsidRPr="00895E2D">
        <w:rPr>
          <w:rFonts w:ascii="Times New Roman" w:hAnsi="Times New Roman" w:cs="Times New Roman"/>
        </w:rPr>
        <w:t xml:space="preserve">, que permitiu consolidar as reflexões individuais e </w:t>
      </w:r>
      <w:r w:rsidR="00F65169">
        <w:rPr>
          <w:rFonts w:ascii="Times New Roman" w:hAnsi="Times New Roman" w:cs="Times New Roman"/>
        </w:rPr>
        <w:t>coletivas sobre o tema.</w:t>
      </w:r>
    </w:p>
    <w:p w14:paraId="0DBD9E1E" w14:textId="104AE829" w:rsidR="006E2D51" w:rsidRDefault="009C2713" w:rsidP="006E2D5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 wp14:anchorId="427820D7" wp14:editId="3F567819">
            <wp:simplePos x="0" y="0"/>
            <wp:positionH relativeFrom="column">
              <wp:posOffset>34290</wp:posOffset>
            </wp:positionH>
            <wp:positionV relativeFrom="paragraph">
              <wp:posOffset>570230</wp:posOffset>
            </wp:positionV>
            <wp:extent cx="5762625" cy="434340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169" w:rsidRPr="006E2D51">
        <w:rPr>
          <w:rFonts w:ascii="Times New Roman" w:hAnsi="Times New Roman" w:cs="Times New Roman"/>
          <w:b/>
        </w:rPr>
        <w:t>Figura 01</w:t>
      </w:r>
      <w:r w:rsidR="00F65169">
        <w:rPr>
          <w:rFonts w:ascii="Times New Roman" w:hAnsi="Times New Roman" w:cs="Times New Roman"/>
        </w:rPr>
        <w:t xml:space="preserve">: </w:t>
      </w:r>
      <w:r w:rsidR="006E2D51">
        <w:rPr>
          <w:rFonts w:ascii="Times New Roman" w:hAnsi="Times New Roman" w:cs="Times New Roman"/>
        </w:rPr>
        <w:t>R</w:t>
      </w:r>
      <w:r w:rsidR="00F65169" w:rsidRPr="00895E2D">
        <w:rPr>
          <w:rFonts w:ascii="Times New Roman" w:hAnsi="Times New Roman" w:cs="Times New Roman"/>
        </w:rPr>
        <w:t xml:space="preserve">egistro </w:t>
      </w:r>
      <w:r w:rsidR="00F65169">
        <w:rPr>
          <w:rFonts w:ascii="Times New Roman" w:hAnsi="Times New Roman" w:cs="Times New Roman"/>
        </w:rPr>
        <w:t xml:space="preserve">dos alunos no </w:t>
      </w:r>
      <w:r w:rsidR="00F65169" w:rsidRPr="00F65169">
        <w:rPr>
          <w:rFonts w:ascii="Times New Roman" w:hAnsi="Times New Roman" w:cs="Times New Roman"/>
        </w:rPr>
        <w:t xml:space="preserve">Núcleo de Inovação e Educação para o Desenvolvimento Sustentável Pe. João </w:t>
      </w:r>
      <w:proofErr w:type="spellStart"/>
      <w:r w:rsidR="00F65169" w:rsidRPr="00F65169">
        <w:rPr>
          <w:rFonts w:ascii="Times New Roman" w:hAnsi="Times New Roman" w:cs="Times New Roman"/>
        </w:rPr>
        <w:t>Derickx</w:t>
      </w:r>
      <w:proofErr w:type="spellEnd"/>
      <w:r w:rsidR="00F65169" w:rsidRPr="00F65169">
        <w:rPr>
          <w:rFonts w:ascii="Times New Roman" w:hAnsi="Times New Roman" w:cs="Times New Roman"/>
        </w:rPr>
        <w:t xml:space="preserve"> (NIEDS) da </w:t>
      </w:r>
      <w:r w:rsidR="00B74F2F">
        <w:rPr>
          <w:rFonts w:ascii="Times New Roman" w:hAnsi="Times New Roman" w:cs="Times New Roman"/>
        </w:rPr>
        <w:t>FAS</w:t>
      </w:r>
      <w:r w:rsidR="00F65169">
        <w:rPr>
          <w:rFonts w:ascii="Times New Roman" w:hAnsi="Times New Roman" w:cs="Times New Roman"/>
        </w:rPr>
        <w:t xml:space="preserve"> durante a atividade proposta.</w:t>
      </w:r>
    </w:p>
    <w:p w14:paraId="7CA728C1" w14:textId="1C62DA31" w:rsidR="006E2D51" w:rsidRPr="009C2713" w:rsidRDefault="006E2D51" w:rsidP="009C2713">
      <w:pPr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F65169">
        <w:rPr>
          <w:rFonts w:ascii="Times New Roman" w:hAnsi="Times New Roman" w:cs="Times New Roman"/>
          <w:sz w:val="20"/>
          <w:szCs w:val="20"/>
        </w:rPr>
        <w:t xml:space="preserve">Fonte: </w:t>
      </w:r>
      <w:r w:rsidR="009663AB" w:rsidRPr="009663AB">
        <w:rPr>
          <w:rFonts w:ascii="Times New Roman" w:hAnsi="Times New Roman" w:cs="Times New Roman"/>
          <w:sz w:val="20"/>
          <w:szCs w:val="20"/>
        </w:rPr>
        <w:t>(Elabor</w:t>
      </w:r>
      <w:r w:rsidR="009663AB">
        <w:rPr>
          <w:rFonts w:ascii="Times New Roman" w:hAnsi="Times New Roman" w:cs="Times New Roman"/>
          <w:sz w:val="20"/>
          <w:szCs w:val="20"/>
        </w:rPr>
        <w:t>ado pela própria da autora, 2022</w:t>
      </w:r>
      <w:r w:rsidR="009663AB" w:rsidRPr="009663AB">
        <w:rPr>
          <w:rFonts w:ascii="Times New Roman" w:hAnsi="Times New Roman" w:cs="Times New Roman"/>
          <w:sz w:val="20"/>
          <w:szCs w:val="20"/>
        </w:rPr>
        <w:t>)</w:t>
      </w:r>
    </w:p>
    <w:p w14:paraId="3FBC0D81" w14:textId="14BB482C" w:rsidR="0063747A" w:rsidRPr="00895E2D" w:rsidRDefault="00B74F2F" w:rsidP="00895E2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Na</w:t>
      </w:r>
      <w:r w:rsidR="0063747A" w:rsidRPr="00895E2D">
        <w:rPr>
          <w:rFonts w:ascii="Times New Roman" w:hAnsi="Times New Roman" w:cs="Times New Roman"/>
        </w:rPr>
        <w:t xml:space="preserve"> terceira unidade da disciplina representou um momento de grande envolvimento dos </w:t>
      </w:r>
      <w:proofErr w:type="spellStart"/>
      <w:r w:rsidR="0063747A" w:rsidRPr="00895E2D">
        <w:rPr>
          <w:rFonts w:ascii="Times New Roman" w:hAnsi="Times New Roman" w:cs="Times New Roman"/>
        </w:rPr>
        <w:t>licenciandos</w:t>
      </w:r>
      <w:proofErr w:type="spellEnd"/>
      <w:r w:rsidR="0063747A" w:rsidRPr="00895E2D">
        <w:rPr>
          <w:rFonts w:ascii="Times New Roman" w:hAnsi="Times New Roman" w:cs="Times New Roman"/>
        </w:rPr>
        <w:t xml:space="preserve"> com a pesquisa acadêmica. Iniciamos com um exercício que desafiava cada estudante a refletir sobre o tema escolhido e, a partir dele, elaborar o problema de pesquisa e os objetivos do trabalho.</w:t>
      </w:r>
      <w:r w:rsidR="00390751">
        <w:rPr>
          <w:rFonts w:ascii="Times New Roman" w:hAnsi="Times New Roman" w:cs="Times New Roman"/>
        </w:rPr>
        <w:t xml:space="preserve"> </w:t>
      </w:r>
    </w:p>
    <w:p w14:paraId="374C6B15" w14:textId="6FCC891D" w:rsidR="00B74F2F" w:rsidRPr="00B74F2F" w:rsidRDefault="00B74F2F" w:rsidP="0039075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4F2F">
        <w:rPr>
          <w:rFonts w:ascii="Times New Roman" w:hAnsi="Times New Roman" w:cs="Times New Roman"/>
        </w:rPr>
        <w:t>O processo foi acompanhado por orientações individualizadas, que abordaram a pertinência do tema, a clareza da justificativa, a delimitação da problemática, a formulação da pergunta norteadora e a coerência dos objetivos. Esse acompanhamento possibilitou diálogo, troca de experiências e amadurecimento intelectual.</w:t>
      </w:r>
    </w:p>
    <w:p w14:paraId="6FAE7DB3" w14:textId="77777777" w:rsidR="00B74F2F" w:rsidRDefault="00B74F2F" w:rsidP="00B74F2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4F2F">
        <w:rPr>
          <w:rFonts w:ascii="Times New Roman" w:hAnsi="Times New Roman" w:cs="Times New Roman"/>
        </w:rPr>
        <w:t>A unidade foi concluída com aulas sobre pesquisa participante e pesquisa-ação, abordagens significativas para os futuros professores do campo, por valorizarem o engajamento dos sujeitos e a transformação da realidade em que vivem. O percurso culminou na entrega dos primeiros pré-projetos, organizados em uma tabela que reuniu os temas escolhidos, configurando um retrato coletivo das preocupações e necessidades educacionais do grupo.</w:t>
      </w:r>
    </w:p>
    <w:p w14:paraId="28B45678" w14:textId="287E89F6" w:rsidR="004333F9" w:rsidRPr="00B74F2F" w:rsidRDefault="00B74F2F" w:rsidP="00B74F2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74F2F">
        <w:rPr>
          <w:rFonts w:ascii="Times New Roman" w:hAnsi="Times New Roman" w:cs="Times New Roman"/>
        </w:rPr>
        <w:t>O encerramento ocorreu com a apresentação dos pré-projetos em formato de seminário, no qual cada aluno dispôs de 10 a 15 minutos para expor tema, justificativa, problema, objetivos e metodologia. Realizadas em dois turnos, as apresentações revelaram diversidade de estratégias, desde o uso de recursos tecnológicos até a leitura direta do celular. Esse momento consolidou-se como um marco da disciplina, em que os estudantes assumiram o papel de pesquisadores em formação, socializando seus projetos e fortalecendo a identidade acadêmica.</w:t>
      </w:r>
      <w:r>
        <w:rPr>
          <w:rFonts w:ascii="Times New Roman" w:hAnsi="Times New Roman" w:cs="Times New Roman"/>
        </w:rPr>
        <w:t xml:space="preserve"> A seguir, o quadro 01 com contendo todos os pré-projetos já categorizados:</w:t>
      </w:r>
    </w:p>
    <w:p w14:paraId="3BB57C61" w14:textId="4F558F43" w:rsidR="004410A6" w:rsidRPr="00B74F2F" w:rsidRDefault="00895E2D" w:rsidP="0049157D">
      <w:pPr>
        <w:jc w:val="center"/>
        <w:rPr>
          <w:rFonts w:ascii="Times New Roman" w:hAnsi="Times New Roman" w:cs="Times New Roman"/>
          <w:sz w:val="22"/>
          <w:szCs w:val="22"/>
          <w:highlight w:val="yellow"/>
        </w:rPr>
      </w:pPr>
      <w:r w:rsidRPr="00B74F2F">
        <w:rPr>
          <w:rFonts w:ascii="Times New Roman" w:hAnsi="Times New Roman" w:cs="Times New Roman"/>
          <w:b/>
          <w:sz w:val="22"/>
          <w:szCs w:val="22"/>
        </w:rPr>
        <w:t>Quadro 1</w:t>
      </w:r>
      <w:r w:rsidRPr="00B74F2F">
        <w:rPr>
          <w:rFonts w:ascii="Times New Roman" w:hAnsi="Times New Roman" w:cs="Times New Roman"/>
          <w:sz w:val="22"/>
          <w:szCs w:val="22"/>
        </w:rPr>
        <w:t xml:space="preserve"> – Classificação dos pré-projetos por categorias temáticas (Carauari, 2022)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6"/>
        <w:gridCol w:w="6003"/>
        <w:gridCol w:w="702"/>
      </w:tblGrid>
      <w:tr w:rsidR="004410A6" w:rsidRPr="004410A6" w14:paraId="440D6BDC" w14:textId="77777777" w:rsidTr="004410A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2724CD5" w14:textId="77777777" w:rsidR="004410A6" w:rsidRPr="004410A6" w:rsidRDefault="004410A6" w:rsidP="00441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Categoria</w:t>
            </w:r>
          </w:p>
        </w:tc>
        <w:tc>
          <w:tcPr>
            <w:tcW w:w="5973" w:type="dxa"/>
            <w:vAlign w:val="center"/>
            <w:hideMark/>
          </w:tcPr>
          <w:p w14:paraId="55FA66B0" w14:textId="77777777" w:rsidR="004410A6" w:rsidRPr="004410A6" w:rsidRDefault="004410A6" w:rsidP="00441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Temas (títulos dos pré-projetos)</w:t>
            </w:r>
          </w:p>
        </w:tc>
        <w:tc>
          <w:tcPr>
            <w:tcW w:w="657" w:type="dxa"/>
            <w:vAlign w:val="center"/>
            <w:hideMark/>
          </w:tcPr>
          <w:p w14:paraId="02424994" w14:textId="77777777" w:rsidR="004410A6" w:rsidRPr="004410A6" w:rsidRDefault="004410A6" w:rsidP="00441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Nº</w:t>
            </w:r>
          </w:p>
        </w:tc>
      </w:tr>
      <w:tr w:rsidR="004410A6" w:rsidRPr="004410A6" w14:paraId="79B7CE92" w14:textId="77777777" w:rsidTr="004410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EFC07F" w14:textId="77777777" w:rsidR="004410A6" w:rsidRPr="004410A6" w:rsidRDefault="004410A6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1. Alfabetização, letramento e educação infantil</w:t>
            </w:r>
          </w:p>
        </w:tc>
        <w:tc>
          <w:tcPr>
            <w:tcW w:w="5973" w:type="dxa"/>
            <w:vAlign w:val="center"/>
            <w:hideMark/>
          </w:tcPr>
          <w:p w14:paraId="3AE012E4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2. Alfabetização e letramento em crianças de 0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4 a 06 anos no Ensino Infantil;</w:t>
            </w:r>
          </w:p>
          <w:p w14:paraId="1E5F3574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3. Hábitos de higiene para cr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ianças com idade de 4 a 7 anos;</w:t>
            </w:r>
          </w:p>
          <w:p w14:paraId="14227B9B" w14:textId="546486E8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5. Educação Matemática nas séries iniciais, usando as quatro operações, em uma escola da comunidade do Roque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;</w:t>
            </w:r>
          </w:p>
          <w:p w14:paraId="76063288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7. Dificuldade na leitura;</w:t>
            </w:r>
          </w:p>
          <w:p w14:paraId="59E89502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10. A formação do professor do Ensino Infant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il para crianças de 4 a 6 anos;</w:t>
            </w:r>
          </w:p>
          <w:p w14:paraId="45C69C1B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13. A importância da leitura nas séries iniciais do Ensino Fundamental 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com crianças entre 7 e 12 anos;</w:t>
            </w:r>
          </w:p>
          <w:p w14:paraId="7208E01E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14. Arte e a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rtesanato na Educação Infantil;</w:t>
            </w:r>
          </w:p>
          <w:p w14:paraId="7F408556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16. Leitura nas séries iniciais do Ensino Fundamental em uma esc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ola da comunidade do Roque;</w:t>
            </w:r>
          </w:p>
          <w:p w14:paraId="4C83B642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21. </w:t>
            </w: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Alfabetização de crianças e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ntre 6 e 7 anos;</w:t>
            </w:r>
          </w:p>
          <w:p w14:paraId="75B8B65A" w14:textId="4E89C50C" w:rsidR="004410A6" w:rsidRPr="004410A6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27. Leitura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;</w:t>
            </w:r>
          </w:p>
        </w:tc>
        <w:tc>
          <w:tcPr>
            <w:tcW w:w="657" w:type="dxa"/>
            <w:vAlign w:val="center"/>
            <w:hideMark/>
          </w:tcPr>
          <w:p w14:paraId="4A38A251" w14:textId="76EF7979" w:rsidR="004410A6" w:rsidRPr="004410A6" w:rsidRDefault="00A40A6D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10</w:t>
            </w:r>
          </w:p>
        </w:tc>
      </w:tr>
      <w:tr w:rsidR="004410A6" w:rsidRPr="004410A6" w14:paraId="3D32A631" w14:textId="77777777" w:rsidTr="004410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7CAC61" w14:textId="4EC22E33" w:rsidR="004410A6" w:rsidRPr="004410A6" w:rsidRDefault="004410A6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2. Educação de jovens e adultos (EJA) e inclusão social</w:t>
            </w:r>
          </w:p>
        </w:tc>
        <w:tc>
          <w:tcPr>
            <w:tcW w:w="5973" w:type="dxa"/>
            <w:vAlign w:val="center"/>
            <w:hideMark/>
          </w:tcPr>
          <w:p w14:paraId="2CF685F0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. Educação de Jovens e Adultos;</w:t>
            </w:r>
          </w:p>
          <w:p w14:paraId="021EED0F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9. Projeto de desenvolvimento de jovens e ado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lescentes da comunidade Bauana;</w:t>
            </w:r>
          </w:p>
          <w:p w14:paraId="512E195A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22. A Educação de Jovens e Adultos da comunidade ribeirinha </w:t>
            </w:r>
            <w:proofErr w:type="spellStart"/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Gumo</w:t>
            </w:r>
            <w:proofErr w:type="spellEnd"/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d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o Facão – RESEX do Médio Juruá;</w:t>
            </w:r>
          </w:p>
          <w:p w14:paraId="18EDCA1A" w14:textId="7AE22839" w:rsidR="004410A6" w:rsidRPr="004410A6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24. Diagnóstico da Educação nas escolas rurais do Médio Juruá; 25. Educação de Jovens e Adultos da comunidade Vila Ramalho; 26. Movimentos sociais na escola</w:t>
            </w:r>
          </w:p>
        </w:tc>
        <w:tc>
          <w:tcPr>
            <w:tcW w:w="657" w:type="dxa"/>
            <w:vAlign w:val="center"/>
            <w:hideMark/>
          </w:tcPr>
          <w:p w14:paraId="756EF825" w14:textId="77777777" w:rsidR="004410A6" w:rsidRPr="004410A6" w:rsidRDefault="004410A6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6</w:t>
            </w:r>
          </w:p>
        </w:tc>
      </w:tr>
      <w:tr w:rsidR="004410A6" w:rsidRPr="004410A6" w14:paraId="1A4C3628" w14:textId="77777777" w:rsidTr="004410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1E7E4A" w14:textId="708F7B44" w:rsidR="004410A6" w:rsidRPr="004410A6" w:rsidRDefault="004410A6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3. Educação ambiental e sustentabilidade</w:t>
            </w:r>
          </w:p>
        </w:tc>
        <w:tc>
          <w:tcPr>
            <w:tcW w:w="5973" w:type="dxa"/>
            <w:vAlign w:val="center"/>
            <w:hideMark/>
          </w:tcPr>
          <w:p w14:paraId="76CDFD7A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6. A </w:t>
            </w:r>
            <w:proofErr w:type="spellStart"/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meliponicultura</w:t>
            </w:r>
            <w:proofErr w:type="spellEnd"/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como ferramenta pedagógica n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a promoção da sustentabilidade;</w:t>
            </w:r>
          </w:p>
          <w:p w14:paraId="2921C0EF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11. Reciclagem 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do lixo na escola e comunidade;</w:t>
            </w:r>
          </w:p>
          <w:p w14:paraId="3E102DDE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12. Saneament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o básico: o cuidado com a água;</w:t>
            </w:r>
          </w:p>
          <w:p w14:paraId="119A87A1" w14:textId="77777777" w:rsidR="004410A6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18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. Tratamento do lixo na escola;</w:t>
            </w:r>
          </w:p>
          <w:p w14:paraId="3BDFCA94" w14:textId="2F128B43" w:rsidR="004410A6" w:rsidRPr="004410A6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28. Articulando a educação científica de conservação e manejo de quelônios com alunos do 5º a</w:t>
            </w: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o 6º ano do Ensino Fundamental;</w:t>
            </w:r>
          </w:p>
        </w:tc>
        <w:tc>
          <w:tcPr>
            <w:tcW w:w="657" w:type="dxa"/>
            <w:vAlign w:val="center"/>
            <w:hideMark/>
          </w:tcPr>
          <w:p w14:paraId="136B669C" w14:textId="314B65D4" w:rsidR="004410A6" w:rsidRPr="004410A6" w:rsidRDefault="00A40A6D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</w:p>
        </w:tc>
      </w:tr>
      <w:tr w:rsidR="004410A6" w:rsidRPr="004410A6" w14:paraId="0BBA1952" w14:textId="77777777" w:rsidTr="004410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C65AF2" w14:textId="316A3436" w:rsidR="004410A6" w:rsidRPr="004410A6" w:rsidRDefault="004410A6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4. História, memória e identidade comunitária</w:t>
            </w:r>
          </w:p>
        </w:tc>
        <w:tc>
          <w:tcPr>
            <w:tcW w:w="5973" w:type="dxa"/>
            <w:vAlign w:val="center"/>
            <w:hideMark/>
          </w:tcPr>
          <w:p w14:paraId="09001AB3" w14:textId="77777777" w:rsidR="00A40A6D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1. Ofi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cina de História da Comunidade;</w:t>
            </w:r>
          </w:p>
          <w:p w14:paraId="66FE228B" w14:textId="77777777" w:rsidR="00A40A6D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15. Resgate da his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tória da comunidade Imperatriz;</w:t>
            </w:r>
          </w:p>
          <w:p w14:paraId="3507324F" w14:textId="77777777" w:rsidR="00A40A6D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20. Pesquisando a história 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dos ribeirinhos do Médio Juruá;</w:t>
            </w:r>
          </w:p>
          <w:p w14:paraId="2E062BC6" w14:textId="77777777" w:rsidR="00A40A6D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30. História e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formação da comunidade Pupuaí;</w:t>
            </w:r>
          </w:p>
          <w:p w14:paraId="21A54FC1" w14:textId="77777777" w:rsidR="00A40A6D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32. História d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a comunidade do Roque;</w:t>
            </w:r>
          </w:p>
          <w:p w14:paraId="02B18E91" w14:textId="77777777" w:rsidR="00A40A6D" w:rsidRPr="00895E2D" w:rsidRDefault="00A40A6D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8. Jovem Pesquisador</w:t>
            </w:r>
            <w:r w:rsidR="004410A6"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; </w:t>
            </w:r>
          </w:p>
          <w:p w14:paraId="6C9BDB84" w14:textId="148B5908" w:rsidR="004410A6" w:rsidRPr="004410A6" w:rsidRDefault="004410A6" w:rsidP="00A40A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31. Educa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ção sobre diversidade de gênero.</w:t>
            </w:r>
          </w:p>
        </w:tc>
        <w:tc>
          <w:tcPr>
            <w:tcW w:w="657" w:type="dxa"/>
            <w:vAlign w:val="center"/>
            <w:hideMark/>
          </w:tcPr>
          <w:p w14:paraId="32413C7B" w14:textId="77777777" w:rsidR="004410A6" w:rsidRPr="004410A6" w:rsidRDefault="004410A6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7</w:t>
            </w:r>
          </w:p>
        </w:tc>
      </w:tr>
      <w:tr w:rsidR="004410A6" w:rsidRPr="004410A6" w14:paraId="1D79B1A9" w14:textId="77777777" w:rsidTr="004410A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6A2212" w14:textId="5DF16937" w:rsidR="004410A6" w:rsidRPr="004410A6" w:rsidRDefault="004410A6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5. Ensino contextualizado e práticas pedagógicas específicas</w:t>
            </w:r>
          </w:p>
        </w:tc>
        <w:tc>
          <w:tcPr>
            <w:tcW w:w="5973" w:type="dxa"/>
            <w:vAlign w:val="center"/>
            <w:hideMark/>
          </w:tcPr>
          <w:p w14:paraId="6E495B5E" w14:textId="77777777" w:rsidR="00A40A6D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17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. Esporte nas escolas do campo;</w:t>
            </w:r>
          </w:p>
          <w:p w14:paraId="14B775FE" w14:textId="77777777" w:rsidR="00A40A6D" w:rsidRPr="00895E2D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19. Ensino matemático para o 4º ano do Ensino Fundamental I; 23. Educação Física com alunos de 07 a 12 a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nos da comunidade Vila Ramalho;</w:t>
            </w:r>
          </w:p>
          <w:p w14:paraId="6BAA1116" w14:textId="0648C7CE" w:rsidR="004410A6" w:rsidRPr="004410A6" w:rsidRDefault="004410A6" w:rsidP="004410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410A6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29. Educação e arte por meio da música</w:t>
            </w:r>
            <w:r w:rsidR="00A40A6D" w:rsidRPr="00895E2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  <w:t>.</w:t>
            </w:r>
          </w:p>
        </w:tc>
        <w:tc>
          <w:tcPr>
            <w:tcW w:w="657" w:type="dxa"/>
            <w:vAlign w:val="center"/>
            <w:hideMark/>
          </w:tcPr>
          <w:p w14:paraId="765E5F44" w14:textId="77777777" w:rsidR="004410A6" w:rsidRPr="004410A6" w:rsidRDefault="004410A6" w:rsidP="00A40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895E2D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4</w:t>
            </w:r>
          </w:p>
        </w:tc>
      </w:tr>
    </w:tbl>
    <w:p w14:paraId="3C93148A" w14:textId="7CF58F96" w:rsidR="00F65169" w:rsidRPr="00F65169" w:rsidRDefault="00F65169" w:rsidP="00F65169">
      <w:pPr>
        <w:pStyle w:val="NormalWeb"/>
        <w:spacing w:line="360" w:lineRule="auto"/>
        <w:jc w:val="center"/>
        <w:rPr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Fonte: </w:t>
      </w:r>
      <w:r w:rsidR="009663AB" w:rsidRPr="009663AB">
        <w:rPr>
          <w:bCs/>
          <w:color w:val="000000" w:themeColor="text1"/>
          <w:sz w:val="20"/>
          <w:szCs w:val="20"/>
        </w:rPr>
        <w:t xml:space="preserve">(Elaborado pela própria </w:t>
      </w:r>
      <w:r w:rsidRPr="009663AB">
        <w:rPr>
          <w:bCs/>
          <w:color w:val="000000" w:themeColor="text1"/>
          <w:sz w:val="20"/>
          <w:szCs w:val="20"/>
        </w:rPr>
        <w:t>da autora</w:t>
      </w:r>
      <w:r w:rsidR="009663AB" w:rsidRPr="009663AB">
        <w:rPr>
          <w:bCs/>
          <w:color w:val="000000" w:themeColor="text1"/>
          <w:sz w:val="20"/>
          <w:szCs w:val="20"/>
        </w:rPr>
        <w:t>, 2025</w:t>
      </w:r>
      <w:r w:rsidR="009663AB">
        <w:rPr>
          <w:bCs/>
          <w:color w:val="000000" w:themeColor="text1"/>
          <w:sz w:val="20"/>
          <w:szCs w:val="20"/>
        </w:rPr>
        <w:t>)</w:t>
      </w:r>
    </w:p>
    <w:p w14:paraId="582CE3FD" w14:textId="2E0B11C3" w:rsidR="00800F6E" w:rsidRPr="00B74F2F" w:rsidRDefault="00A40A6D" w:rsidP="00FE0E2A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B74F2F">
        <w:rPr>
          <w:color w:val="000000" w:themeColor="text1"/>
        </w:rPr>
        <w:t xml:space="preserve">A categorização dos </w:t>
      </w:r>
      <w:r w:rsidRPr="00B74F2F">
        <w:rPr>
          <w:bCs/>
          <w:color w:val="000000" w:themeColor="text1"/>
        </w:rPr>
        <w:t>32 pré-projetos</w:t>
      </w:r>
      <w:r w:rsidRPr="00B74F2F">
        <w:rPr>
          <w:color w:val="000000" w:themeColor="text1"/>
        </w:rPr>
        <w:t xml:space="preserve"> evidenciou cinco eixos analíticos que condensam prioridades formativas e demandas do território do Médio Juruá: (1) alfabetização, letramento e educação infantil; (2) educação de jovens e adultos (EJA) e inclusão social; (3) educação ambiental e sustentabilidade; (4) história, memória e identidade comunitária; (5) ensino contextualizado e práticas pedagógicas específicas. Seguindo a </w:t>
      </w:r>
      <w:r w:rsidRPr="00B74F2F">
        <w:rPr>
          <w:bCs/>
          <w:color w:val="000000" w:themeColor="text1"/>
        </w:rPr>
        <w:t>Análise de Conteúdo</w:t>
      </w:r>
      <w:r w:rsidRPr="00B74F2F">
        <w:rPr>
          <w:color w:val="000000" w:themeColor="text1"/>
        </w:rPr>
        <w:t xml:space="preserve"> (</w:t>
      </w:r>
      <w:proofErr w:type="spellStart"/>
      <w:r w:rsidRPr="00B74F2F">
        <w:rPr>
          <w:color w:val="000000" w:themeColor="text1"/>
        </w:rPr>
        <w:t>Bardin</w:t>
      </w:r>
      <w:proofErr w:type="spellEnd"/>
      <w:r w:rsidRPr="00B74F2F">
        <w:rPr>
          <w:color w:val="000000" w:themeColor="text1"/>
        </w:rPr>
        <w:t xml:space="preserve">, 2011), interpretamos esses eixos como indicadores de sentidos compartilhados pelos </w:t>
      </w:r>
      <w:proofErr w:type="spellStart"/>
      <w:r w:rsidRPr="00B74F2F">
        <w:rPr>
          <w:color w:val="000000" w:themeColor="text1"/>
        </w:rPr>
        <w:t>licenciandos</w:t>
      </w:r>
      <w:proofErr w:type="spellEnd"/>
      <w:r w:rsidRPr="00B74F2F">
        <w:rPr>
          <w:color w:val="000000" w:themeColor="text1"/>
        </w:rPr>
        <w:t xml:space="preserve"> sobre escola, currículo e território.</w:t>
      </w:r>
    </w:p>
    <w:p w14:paraId="50B2A0BD" w14:textId="42CDF00C" w:rsidR="00A40A6D" w:rsidRPr="00895E2D" w:rsidRDefault="00B74F2F" w:rsidP="00A40A6D">
      <w:pPr>
        <w:pStyle w:val="NormalWeb"/>
        <w:spacing w:line="360" w:lineRule="auto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Categoria 0</w:t>
      </w:r>
      <w:r w:rsidR="00A40A6D" w:rsidRPr="00895E2D">
        <w:rPr>
          <w:b/>
          <w:bCs/>
          <w:color w:val="000000" w:themeColor="text1"/>
        </w:rPr>
        <w:t>1</w:t>
      </w:r>
      <w:r>
        <w:rPr>
          <w:b/>
          <w:bCs/>
          <w:color w:val="000000" w:themeColor="text1"/>
        </w:rPr>
        <w:t xml:space="preserve"> -</w:t>
      </w:r>
      <w:r w:rsidR="00A40A6D" w:rsidRPr="00895E2D">
        <w:rPr>
          <w:b/>
          <w:bCs/>
          <w:color w:val="000000" w:themeColor="text1"/>
        </w:rPr>
        <w:t xml:space="preserve"> Alfabetização, letramento e educação infantil</w:t>
      </w:r>
      <w:r>
        <w:rPr>
          <w:b/>
          <w:bCs/>
          <w:color w:val="000000" w:themeColor="text1"/>
        </w:rPr>
        <w:t>.</w:t>
      </w:r>
    </w:p>
    <w:p w14:paraId="0C0CBA17" w14:textId="77777777" w:rsidR="00BC2909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B74F2F">
        <w:rPr>
          <w:color w:val="000000" w:themeColor="text1"/>
        </w:rPr>
        <w:lastRenderedPageBreak/>
        <w:t xml:space="preserve">A maior concentração de temas (n=9) gira em torno de </w:t>
      </w:r>
      <w:r w:rsidRPr="00B74F2F">
        <w:rPr>
          <w:bCs/>
          <w:color w:val="000000" w:themeColor="text1"/>
        </w:rPr>
        <w:t>alfabetização, leitura e Educação Infantil</w:t>
      </w:r>
      <w:r w:rsidRPr="00B74F2F">
        <w:rPr>
          <w:color w:val="000000" w:themeColor="text1"/>
        </w:rPr>
        <w:t xml:space="preserve">, sinalizando uma preocupação estrutural dos </w:t>
      </w:r>
      <w:proofErr w:type="spellStart"/>
      <w:r w:rsidRPr="00B74F2F">
        <w:rPr>
          <w:color w:val="000000" w:themeColor="text1"/>
        </w:rPr>
        <w:t>licenciandos</w:t>
      </w:r>
      <w:proofErr w:type="spellEnd"/>
      <w:r w:rsidRPr="00B74F2F">
        <w:rPr>
          <w:color w:val="000000" w:themeColor="text1"/>
        </w:rPr>
        <w:t xml:space="preserve"> com os processos iniciais de escolarização ribeirinha. Essa ênfase dialoga com a distinção entre </w:t>
      </w:r>
      <w:r w:rsidRPr="00B74F2F">
        <w:rPr>
          <w:bCs/>
          <w:color w:val="000000" w:themeColor="text1"/>
        </w:rPr>
        <w:t>alfabetização</w:t>
      </w:r>
      <w:r w:rsidRPr="00B74F2F">
        <w:rPr>
          <w:color w:val="000000" w:themeColor="text1"/>
        </w:rPr>
        <w:t xml:space="preserve"> e </w:t>
      </w:r>
      <w:r w:rsidRPr="00B74F2F">
        <w:rPr>
          <w:bCs/>
          <w:color w:val="000000" w:themeColor="text1"/>
        </w:rPr>
        <w:t>letramento</w:t>
      </w:r>
      <w:r w:rsidRPr="00B74F2F">
        <w:rPr>
          <w:color w:val="000000" w:themeColor="text1"/>
        </w:rPr>
        <w:t xml:space="preserve">, em que não basta decodificar: é preciso inserir crianças em práticas sociais de leitura e escrita (SOARES, 2003). Em contextos amazônicos, onde a circulação de gêneros textuais está ligada a modos de vida florestais, alfabetizar implica </w:t>
      </w:r>
      <w:r w:rsidRPr="00B74F2F">
        <w:rPr>
          <w:bCs/>
          <w:color w:val="000000" w:themeColor="text1"/>
        </w:rPr>
        <w:t>situar a linguagem na cultura</w:t>
      </w:r>
      <w:r w:rsidRPr="00B74F2F">
        <w:rPr>
          <w:color w:val="000000" w:themeColor="text1"/>
        </w:rPr>
        <w:t xml:space="preserve"> (FREIRE, 1996).</w:t>
      </w:r>
    </w:p>
    <w:p w14:paraId="4BC1244D" w14:textId="77777777" w:rsidR="0017166E" w:rsidRDefault="00BC2909" w:rsidP="0017166E">
      <w:pPr>
        <w:pStyle w:val="NormalWeb"/>
        <w:spacing w:line="360" w:lineRule="auto"/>
        <w:ind w:firstLine="708"/>
        <w:jc w:val="both"/>
      </w:pPr>
      <w:r>
        <w:t xml:space="preserve">Essa categoria </w:t>
      </w:r>
      <w:r w:rsidRPr="00390751">
        <w:t xml:space="preserve">emerge das vivências dos próprios alunos, marcadas por uma alfabetização insuficiente no contexto das classes </w:t>
      </w:r>
      <w:proofErr w:type="spellStart"/>
      <w:r w:rsidRPr="00390751">
        <w:t>multisseriadas</w:t>
      </w:r>
      <w:proofErr w:type="spellEnd"/>
      <w:r w:rsidRPr="00390751">
        <w:t>, recorrentes na</w:t>
      </w:r>
      <w:r>
        <w:t xml:space="preserve"> educação ribeirinha do interior do Amazonas. Em muitas situações, o professor era um ex-aluno que, ao concluir o ensino médio, passava a ensinar os mais jovens a ler e escrever sem formação superior. Nesse cenário, crianças e jovens que permanecem em suas comunidades rurais são submetidos a uma educação </w:t>
      </w:r>
      <w:proofErr w:type="spellStart"/>
      <w:r>
        <w:t>multisseriada</w:t>
      </w:r>
      <w:proofErr w:type="spellEnd"/>
      <w:r>
        <w:t>, em que um único professor atende simultaneamente turmas de diferentes idades. Assim, professores e alunos enfrentam problemáticas diversas, como a falta de infraestrutura, alimentação, formação continuada, recursos e materiais didáticos.</w:t>
      </w:r>
      <w:r w:rsidR="0017166E">
        <w:t xml:space="preserve"> </w:t>
      </w:r>
    </w:p>
    <w:p w14:paraId="44E28112" w14:textId="7E3B6C05" w:rsidR="00800F6E" w:rsidRPr="00B74F2F" w:rsidRDefault="0017166E" w:rsidP="001716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17166E">
        <w:rPr>
          <w:bCs/>
          <w:color w:val="000000" w:themeColor="text1"/>
        </w:rPr>
        <w:t xml:space="preserve">Segundo </w:t>
      </w:r>
      <w:proofErr w:type="spellStart"/>
      <w:r w:rsidRPr="0017166E">
        <w:rPr>
          <w:bCs/>
          <w:color w:val="000000" w:themeColor="text1"/>
        </w:rPr>
        <w:t>Winchuar</w:t>
      </w:r>
      <w:proofErr w:type="spellEnd"/>
      <w:r w:rsidRPr="0017166E">
        <w:rPr>
          <w:bCs/>
          <w:color w:val="000000" w:themeColor="text1"/>
        </w:rPr>
        <w:t xml:space="preserve"> e </w:t>
      </w:r>
      <w:proofErr w:type="spellStart"/>
      <w:r w:rsidRPr="0017166E">
        <w:rPr>
          <w:bCs/>
          <w:color w:val="000000" w:themeColor="text1"/>
        </w:rPr>
        <w:t>Bufrem</w:t>
      </w:r>
      <w:proofErr w:type="spellEnd"/>
      <w:r w:rsidRPr="0017166E">
        <w:rPr>
          <w:bCs/>
          <w:color w:val="000000" w:themeColor="text1"/>
        </w:rPr>
        <w:t xml:space="preserve"> (2020), a escola </w:t>
      </w:r>
      <w:proofErr w:type="spellStart"/>
      <w:r w:rsidRPr="0017166E">
        <w:rPr>
          <w:bCs/>
          <w:color w:val="000000" w:themeColor="text1"/>
        </w:rPr>
        <w:t>multisseriada</w:t>
      </w:r>
      <w:proofErr w:type="spellEnd"/>
      <w:r w:rsidRPr="0017166E">
        <w:rPr>
          <w:bCs/>
          <w:color w:val="000000" w:themeColor="text1"/>
        </w:rPr>
        <w:t xml:space="preserve"> é espaço de luta e resistência, marcada pela diversidade e distinta do modelo seriado. Um </w:t>
      </w:r>
      <w:proofErr w:type="gramStart"/>
      <w:r w:rsidRPr="0017166E">
        <w:rPr>
          <w:bCs/>
          <w:color w:val="000000" w:themeColor="text1"/>
        </w:rPr>
        <w:t>único docente ministra</w:t>
      </w:r>
      <w:proofErr w:type="gramEnd"/>
      <w:r w:rsidRPr="0017166E">
        <w:rPr>
          <w:bCs/>
          <w:color w:val="000000" w:themeColor="text1"/>
        </w:rPr>
        <w:t xml:space="preserve"> aulas a alunos de diferentes séries no mesmo espaço e tempo, exigindo investimentos para melhorar o ensino-aprendizagem e a qualidade de vida no campo.</w:t>
      </w:r>
    </w:p>
    <w:p w14:paraId="327556BE" w14:textId="218FB4FB" w:rsidR="00A40A6D" w:rsidRPr="00BC2909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BC2909">
        <w:rPr>
          <w:color w:val="000000" w:themeColor="text1"/>
        </w:rPr>
        <w:t xml:space="preserve">Os projetos que tratam de </w:t>
      </w:r>
      <w:r w:rsidRPr="00BC2909">
        <w:rPr>
          <w:bCs/>
          <w:color w:val="000000" w:themeColor="text1"/>
        </w:rPr>
        <w:t>hábitos de higiene</w:t>
      </w:r>
      <w:r w:rsidRPr="00BC2909">
        <w:rPr>
          <w:color w:val="000000" w:themeColor="text1"/>
        </w:rPr>
        <w:t xml:space="preserve"> e </w:t>
      </w:r>
      <w:r w:rsidRPr="00BC2909">
        <w:rPr>
          <w:bCs/>
          <w:color w:val="000000" w:themeColor="text1"/>
        </w:rPr>
        <w:t>rotinas do cuidado</w:t>
      </w:r>
      <w:r w:rsidRPr="00BC2909">
        <w:rPr>
          <w:color w:val="000000" w:themeColor="text1"/>
        </w:rPr>
        <w:t xml:space="preserve"> na primeira infância revelam uma leitura ampliada do currículo, aproximando saúde, bem-estar e aprendizagem — abordagem coerente com a </w:t>
      </w:r>
      <w:r w:rsidRPr="00BC2909">
        <w:rPr>
          <w:bCs/>
          <w:color w:val="000000" w:themeColor="text1"/>
        </w:rPr>
        <w:t>Pedagogia do Campo</w:t>
      </w:r>
      <w:r w:rsidRPr="00BC2909">
        <w:rPr>
          <w:color w:val="000000" w:themeColor="text1"/>
        </w:rPr>
        <w:t xml:space="preserve"> enquanto política de direito à infância em territórios rurais (ARROYO, 2012). Também emergem inquietações sobre </w:t>
      </w:r>
      <w:r w:rsidRPr="00BC2909">
        <w:rPr>
          <w:bCs/>
          <w:color w:val="000000" w:themeColor="text1"/>
        </w:rPr>
        <w:t>formação docente</w:t>
      </w:r>
      <w:r w:rsidRPr="00BC2909">
        <w:rPr>
          <w:color w:val="000000" w:themeColor="text1"/>
        </w:rPr>
        <w:t xml:space="preserve">, o que reforça a necessidade de </w:t>
      </w:r>
      <w:r w:rsidRPr="00BC2909">
        <w:rPr>
          <w:bCs/>
          <w:color w:val="000000" w:themeColor="text1"/>
        </w:rPr>
        <w:t>formação inicial e continuada</w:t>
      </w:r>
      <w:r w:rsidRPr="00BC2909">
        <w:rPr>
          <w:color w:val="000000" w:themeColor="text1"/>
        </w:rPr>
        <w:t xml:space="preserve"> que articule saberes acadêmicos e saberes locais (MOLINA; HAGE, 2019).</w:t>
      </w:r>
    </w:p>
    <w:p w14:paraId="00F8E29F" w14:textId="77777777" w:rsidR="00A40A6D" w:rsidRPr="00895E2D" w:rsidRDefault="00A40A6D" w:rsidP="00A40A6D">
      <w:pPr>
        <w:pStyle w:val="NormalWeb"/>
        <w:spacing w:line="360" w:lineRule="auto"/>
        <w:jc w:val="both"/>
        <w:rPr>
          <w:b/>
          <w:bCs/>
          <w:color w:val="000000" w:themeColor="text1"/>
        </w:rPr>
      </w:pPr>
      <w:r w:rsidRPr="00895E2D">
        <w:rPr>
          <w:b/>
          <w:bCs/>
          <w:color w:val="000000" w:themeColor="text1"/>
        </w:rPr>
        <w:t>2) Educação de jovens e adultos e inclusão social</w:t>
      </w:r>
    </w:p>
    <w:p w14:paraId="21802A2F" w14:textId="77777777" w:rsidR="0017166E" w:rsidRDefault="00A40A6D" w:rsidP="001716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2C2077">
        <w:rPr>
          <w:color w:val="000000" w:themeColor="text1"/>
        </w:rPr>
        <w:lastRenderedPageBreak/>
        <w:t xml:space="preserve">Seis projetos focam </w:t>
      </w:r>
      <w:r w:rsidRPr="002C2077">
        <w:rPr>
          <w:bCs/>
          <w:color w:val="000000" w:themeColor="text1"/>
        </w:rPr>
        <w:t>EJA, diagnóstico das escolas rurais e desenvolvimento de jovens</w:t>
      </w:r>
      <w:r w:rsidRPr="002C2077">
        <w:rPr>
          <w:color w:val="000000" w:themeColor="text1"/>
        </w:rPr>
        <w:t>, indicando a “</w:t>
      </w:r>
      <w:r w:rsidRPr="002C2077">
        <w:rPr>
          <w:bCs/>
          <w:color w:val="000000" w:themeColor="text1"/>
        </w:rPr>
        <w:t>dívida histórica</w:t>
      </w:r>
      <w:r w:rsidRPr="002C2077">
        <w:rPr>
          <w:color w:val="000000" w:themeColor="text1"/>
        </w:rPr>
        <w:t xml:space="preserve">” do sistema educacional com sujeitos do campo (ARROYO, 2012). A presença forte de EJA sugere trajetórias interrompidas, mobilidade sazonal de trabalho e distâncias logísticas próprias do Médio Juruá. Nessa chave, a EJA não pode ser mera aceleração de </w:t>
      </w:r>
      <w:proofErr w:type="spellStart"/>
      <w:r w:rsidRPr="002C2077">
        <w:rPr>
          <w:color w:val="000000" w:themeColor="text1"/>
        </w:rPr>
        <w:t>conteúdos</w:t>
      </w:r>
      <w:proofErr w:type="spellEnd"/>
      <w:r w:rsidR="002C2077">
        <w:rPr>
          <w:color w:val="000000" w:themeColor="text1"/>
        </w:rPr>
        <w:t xml:space="preserve">, </w:t>
      </w:r>
      <w:r w:rsidRPr="002C2077">
        <w:rPr>
          <w:color w:val="000000" w:themeColor="text1"/>
        </w:rPr>
        <w:t xml:space="preserve">precisa ser </w:t>
      </w:r>
      <w:r w:rsidRPr="002C2077">
        <w:rPr>
          <w:bCs/>
          <w:color w:val="000000" w:themeColor="text1"/>
        </w:rPr>
        <w:t>currículo de experiências</w:t>
      </w:r>
      <w:r w:rsidRPr="002C2077">
        <w:rPr>
          <w:color w:val="000000" w:themeColor="text1"/>
        </w:rPr>
        <w:t xml:space="preserve"> que reconheça tempos de vida, trabalho, família e comunidade (HADDAD; DI PIERRO, 2000).</w:t>
      </w:r>
    </w:p>
    <w:p w14:paraId="6A75DE15" w14:textId="77777777" w:rsidR="00E048A0" w:rsidRPr="00E048A0" w:rsidRDefault="00E048A0" w:rsidP="00E048A0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E048A0">
        <w:rPr>
          <w:color w:val="000000" w:themeColor="text1"/>
        </w:rPr>
        <w:t>Nessa categoria, destacam-se as vivências de alunos do curso que, em idade avançada, tiveram acesso à educação apenas na vida adulta, ou são filhos e netos de agricultores que permanecem analfabetos por nunca terem tido oportunidade de frequentar a escola, mesmo na modalidade EJA. Trata-se de pessoas que trabalharam desde a infância para o sustento da família, sem que seus direitos à educação fossem garantidos, muitas vezes evitando buscar a escola na idade adulta por vergonha ou constrangimento.</w:t>
      </w:r>
    </w:p>
    <w:p w14:paraId="46D5C098" w14:textId="77777777" w:rsidR="00E048A0" w:rsidRPr="00E048A0" w:rsidRDefault="00E048A0" w:rsidP="00E048A0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E048A0">
        <w:rPr>
          <w:color w:val="000000" w:themeColor="text1"/>
        </w:rPr>
        <w:t>Em um contexto histórico mais amplo, na década de 1970, diante dos elevados índices de analfabetismo, pesquisadores educacionais formularam projetos de alfabetização voltados à erradicação ou redução dessas taxas. Calazans (1985) destaca que surgiram programas como o Programa de Alfabetização de Jovens e Adultos, a Educação Comunitária e a Assistência Técnica, que mobilizaram significativo volume de recursos financeiros e técnicos para o campo, visando ampliar o acesso à educação para populações historicamente marginalizadas.</w:t>
      </w:r>
    </w:p>
    <w:p w14:paraId="114A4F74" w14:textId="77777777" w:rsidR="00E048A0" w:rsidRPr="00E048A0" w:rsidRDefault="00E048A0" w:rsidP="00E048A0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E048A0">
        <w:rPr>
          <w:color w:val="000000" w:themeColor="text1"/>
        </w:rPr>
        <w:t>As experiências dos alunos do curso refletem a continuidade desses desafios, evidenciando como fatores históricos, sociais e econômicos moldaram trajetórias educativas marcadas por exclusão e trabalho infantil. Além disso, revelam a importância de políticas educacionais e práticas pedagógicas contextualizadas, que reconheçam o percurso de vida dos sujeitos, promovam o direito à educação e contribuam para a transformação das condições de aprendizagem no campo.</w:t>
      </w:r>
    </w:p>
    <w:p w14:paraId="7F706135" w14:textId="50D6C567" w:rsidR="002270F3" w:rsidRPr="002270F3" w:rsidRDefault="00A40A6D" w:rsidP="001716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17166E">
        <w:rPr>
          <w:color w:val="000000" w:themeColor="text1"/>
        </w:rPr>
        <w:t xml:space="preserve">A categoria também tangencia </w:t>
      </w:r>
      <w:r w:rsidRPr="0017166E">
        <w:rPr>
          <w:bCs/>
          <w:color w:val="000000" w:themeColor="text1"/>
        </w:rPr>
        <w:t>movimentos sociais na escola</w:t>
      </w:r>
      <w:r w:rsidRPr="0017166E">
        <w:rPr>
          <w:color w:val="000000" w:themeColor="text1"/>
        </w:rPr>
        <w:t xml:space="preserve">, remetendo à ideia de </w:t>
      </w:r>
      <w:r w:rsidRPr="0017166E">
        <w:rPr>
          <w:bCs/>
          <w:color w:val="000000" w:themeColor="text1"/>
        </w:rPr>
        <w:t>escola-território</w:t>
      </w:r>
      <w:r w:rsidRPr="0017166E">
        <w:rPr>
          <w:color w:val="000000" w:themeColor="text1"/>
        </w:rPr>
        <w:t xml:space="preserve"> e pedagogias </w:t>
      </w:r>
      <w:proofErr w:type="spellStart"/>
      <w:r w:rsidRPr="0017166E">
        <w:rPr>
          <w:color w:val="000000" w:themeColor="text1"/>
        </w:rPr>
        <w:t>contra-hegemônicas</w:t>
      </w:r>
      <w:proofErr w:type="spellEnd"/>
      <w:r w:rsidRPr="0017166E">
        <w:rPr>
          <w:color w:val="000000" w:themeColor="text1"/>
        </w:rPr>
        <w:t xml:space="preserve"> (GOHN, 2011). O protagonismo juvenil aparece articulado à </w:t>
      </w:r>
      <w:r w:rsidRPr="0017166E">
        <w:rPr>
          <w:bCs/>
          <w:color w:val="000000" w:themeColor="text1"/>
        </w:rPr>
        <w:t>participação comunitária</w:t>
      </w:r>
      <w:r w:rsidRPr="0017166E">
        <w:rPr>
          <w:color w:val="000000" w:themeColor="text1"/>
        </w:rPr>
        <w:t xml:space="preserve"> e ao fortalecimento de projetos de vida — algo </w:t>
      </w:r>
      <w:r w:rsidRPr="0017166E">
        <w:rPr>
          <w:color w:val="000000" w:themeColor="text1"/>
        </w:rPr>
        <w:lastRenderedPageBreak/>
        <w:t>que a literatura sobre juventudes do campo vem sublinhando como condição para permanência</w:t>
      </w:r>
      <w:r w:rsidRPr="00895E2D">
        <w:rPr>
          <w:color w:val="000000" w:themeColor="text1"/>
        </w:rPr>
        <w:t xml:space="preserve"> e sentido da escola (FERNANDES, 2008).</w:t>
      </w:r>
      <w:r w:rsidR="002270F3">
        <w:rPr>
          <w:color w:val="000000" w:themeColor="text1"/>
        </w:rPr>
        <w:t xml:space="preserve"> Neste contexto, </w:t>
      </w:r>
      <w:proofErr w:type="gramStart"/>
      <w:r w:rsidR="002270F3" w:rsidRPr="002270F3">
        <w:rPr>
          <w:color w:val="000000" w:themeColor="text1"/>
        </w:rPr>
        <w:t>o  diálogo</w:t>
      </w:r>
      <w:proofErr w:type="gramEnd"/>
      <w:r w:rsidR="002270F3" w:rsidRPr="002270F3">
        <w:rPr>
          <w:color w:val="000000" w:themeColor="text1"/>
        </w:rPr>
        <w:t xml:space="preserve"> </w:t>
      </w:r>
      <w:r w:rsidR="002270F3">
        <w:rPr>
          <w:color w:val="000000" w:themeColor="text1"/>
        </w:rPr>
        <w:t>aqui proposto sugere</w:t>
      </w:r>
      <w:r w:rsidR="002270F3" w:rsidRPr="002270F3">
        <w:rPr>
          <w:color w:val="000000" w:themeColor="text1"/>
        </w:rPr>
        <w:t>:</w:t>
      </w:r>
    </w:p>
    <w:p w14:paraId="04F68622" w14:textId="5A5FD157" w:rsidR="00E31266" w:rsidRPr="0017166E" w:rsidRDefault="002270F3" w:rsidP="0017166E">
      <w:pPr>
        <w:pStyle w:val="SemEspaamento"/>
        <w:ind w:left="2832"/>
        <w:jc w:val="both"/>
        <w:rPr>
          <w:rFonts w:ascii="Times New Roman" w:hAnsi="Times New Roman" w:cs="Times New Roman"/>
          <w:sz w:val="22"/>
          <w:szCs w:val="22"/>
        </w:rPr>
      </w:pPr>
      <w:r w:rsidRPr="002270F3">
        <w:rPr>
          <w:rFonts w:ascii="Times New Roman" w:hAnsi="Times New Roman" w:cs="Times New Roman"/>
          <w:sz w:val="22"/>
          <w:szCs w:val="22"/>
        </w:rPr>
        <w:t xml:space="preserve">O campo não se desenvolve na lógica fragmentada com que a racionalidade </w:t>
      </w:r>
      <w:proofErr w:type="gramStart"/>
      <w:r w:rsidRPr="002270F3">
        <w:rPr>
          <w:rFonts w:ascii="Times New Roman" w:hAnsi="Times New Roman" w:cs="Times New Roman"/>
          <w:sz w:val="22"/>
          <w:szCs w:val="22"/>
        </w:rPr>
        <w:t>técnica  recorta</w:t>
      </w:r>
      <w:proofErr w:type="gramEnd"/>
      <w:r w:rsidRPr="002270F3">
        <w:rPr>
          <w:rFonts w:ascii="Times New Roman" w:hAnsi="Times New Roman" w:cs="Times New Roman"/>
          <w:sz w:val="22"/>
          <w:szCs w:val="22"/>
        </w:rPr>
        <w:t xml:space="preserve">  as  cidades,  onde  cada  instituição  e  campo  profissional  é capacitado para dar conta de um recorte do social. No campo, nas formas produtivas em que os diversos povos se organizam, tudo é extremamente articulado.  </w:t>
      </w:r>
      <w:proofErr w:type="gramStart"/>
      <w:r w:rsidRPr="002270F3">
        <w:rPr>
          <w:rFonts w:ascii="Times New Roman" w:hAnsi="Times New Roman" w:cs="Times New Roman"/>
          <w:sz w:val="22"/>
          <w:szCs w:val="22"/>
        </w:rPr>
        <w:t>Os  movimentos</w:t>
      </w:r>
      <w:proofErr w:type="gramEnd"/>
      <w:r w:rsidRPr="002270F3">
        <w:rPr>
          <w:rFonts w:ascii="Times New Roman" w:hAnsi="Times New Roman" w:cs="Times New Roman"/>
          <w:sz w:val="22"/>
          <w:szCs w:val="22"/>
        </w:rPr>
        <w:t xml:space="preserve">  sociais  percebem  e  respeitam  essa  dinâmica produtiva,  social  e  cultural  organicamente.  </w:t>
      </w:r>
      <w:proofErr w:type="gramStart"/>
      <w:r w:rsidRPr="002270F3">
        <w:rPr>
          <w:rFonts w:ascii="Times New Roman" w:hAnsi="Times New Roman" w:cs="Times New Roman"/>
          <w:sz w:val="22"/>
          <w:szCs w:val="22"/>
        </w:rPr>
        <w:t>O  produtivo</w:t>
      </w:r>
      <w:proofErr w:type="gramEnd"/>
      <w:r w:rsidRPr="002270F3">
        <w:rPr>
          <w:rFonts w:ascii="Times New Roman" w:hAnsi="Times New Roman" w:cs="Times New Roman"/>
          <w:sz w:val="22"/>
          <w:szCs w:val="22"/>
        </w:rPr>
        <w:t>,  a  sociabilidade,  a educação  e  a  cultura  estão  tão  imbricadas  que  seus  profissionais  e  suas instituições têm de estar capacitados a intervenções totais (Arroyo, 2005,p. 10).</w:t>
      </w:r>
    </w:p>
    <w:p w14:paraId="72AD1EE4" w14:textId="77777777" w:rsidR="00A40A6D" w:rsidRPr="00895E2D" w:rsidRDefault="00A40A6D" w:rsidP="00A40A6D">
      <w:pPr>
        <w:pStyle w:val="NormalWeb"/>
        <w:spacing w:line="360" w:lineRule="auto"/>
        <w:jc w:val="both"/>
        <w:rPr>
          <w:b/>
          <w:bCs/>
          <w:color w:val="000000" w:themeColor="text1"/>
        </w:rPr>
      </w:pPr>
      <w:r w:rsidRPr="00895E2D">
        <w:rPr>
          <w:b/>
          <w:bCs/>
          <w:color w:val="000000" w:themeColor="text1"/>
        </w:rPr>
        <w:t>3) Educação ambiental e sustentabilidade</w:t>
      </w:r>
    </w:p>
    <w:p w14:paraId="7686F4B4" w14:textId="77777777" w:rsidR="00A40A6D" w:rsidRPr="00791329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791329">
        <w:rPr>
          <w:color w:val="000000" w:themeColor="text1"/>
        </w:rPr>
        <w:t xml:space="preserve">Seis propostas versam sobre </w:t>
      </w:r>
      <w:r w:rsidRPr="00791329">
        <w:rPr>
          <w:bCs/>
          <w:color w:val="000000" w:themeColor="text1"/>
        </w:rPr>
        <w:t xml:space="preserve">lixo, água, saneamento, </w:t>
      </w:r>
      <w:proofErr w:type="spellStart"/>
      <w:r w:rsidRPr="00791329">
        <w:rPr>
          <w:bCs/>
          <w:color w:val="000000" w:themeColor="text1"/>
        </w:rPr>
        <w:t>meliponicultura</w:t>
      </w:r>
      <w:proofErr w:type="spellEnd"/>
      <w:r w:rsidRPr="00791329">
        <w:rPr>
          <w:bCs/>
          <w:color w:val="000000" w:themeColor="text1"/>
        </w:rPr>
        <w:t xml:space="preserve"> e manejo de quelônios</w:t>
      </w:r>
      <w:r w:rsidRPr="00791329">
        <w:rPr>
          <w:color w:val="000000" w:themeColor="text1"/>
        </w:rPr>
        <w:t xml:space="preserve">, revelando que os </w:t>
      </w:r>
      <w:proofErr w:type="spellStart"/>
      <w:r w:rsidRPr="00791329">
        <w:rPr>
          <w:color w:val="000000" w:themeColor="text1"/>
        </w:rPr>
        <w:t>licenciandos</w:t>
      </w:r>
      <w:proofErr w:type="spellEnd"/>
      <w:r w:rsidRPr="00791329">
        <w:rPr>
          <w:color w:val="000000" w:themeColor="text1"/>
        </w:rPr>
        <w:t xml:space="preserve"> leem a </w:t>
      </w:r>
      <w:r w:rsidRPr="00791329">
        <w:rPr>
          <w:bCs/>
          <w:color w:val="000000" w:themeColor="text1"/>
        </w:rPr>
        <w:t>floresta como sala de aula</w:t>
      </w:r>
      <w:r w:rsidRPr="00791329">
        <w:rPr>
          <w:color w:val="000000" w:themeColor="text1"/>
        </w:rPr>
        <w:t xml:space="preserve">. Esse recorte se alinha à </w:t>
      </w:r>
      <w:r w:rsidRPr="00791329">
        <w:rPr>
          <w:bCs/>
          <w:color w:val="000000" w:themeColor="text1"/>
        </w:rPr>
        <w:t>Educação Ambiental crítica</w:t>
      </w:r>
      <w:r w:rsidRPr="00791329">
        <w:rPr>
          <w:color w:val="000000" w:themeColor="text1"/>
        </w:rPr>
        <w:t>, que recusa práticas pontuais e propõe uma leitura socioambiental complexa, vinculando natureza, cultura e economia (LOUREIRO, 2012; LEFF, 2001).</w:t>
      </w:r>
    </w:p>
    <w:p w14:paraId="3266A28A" w14:textId="77777777" w:rsidR="00A40A6D" w:rsidRPr="00791329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791329">
        <w:rPr>
          <w:color w:val="000000" w:themeColor="text1"/>
        </w:rPr>
        <w:t xml:space="preserve">Os temas de </w:t>
      </w:r>
      <w:r w:rsidRPr="00791329">
        <w:rPr>
          <w:bCs/>
          <w:color w:val="000000" w:themeColor="text1"/>
        </w:rPr>
        <w:t>reciclagem e saneamento</w:t>
      </w:r>
      <w:r w:rsidRPr="00791329">
        <w:rPr>
          <w:color w:val="000000" w:themeColor="text1"/>
        </w:rPr>
        <w:t xml:space="preserve"> deslocam a pauta ambiental do “</w:t>
      </w:r>
      <w:proofErr w:type="spellStart"/>
      <w:r w:rsidRPr="00791329">
        <w:rPr>
          <w:color w:val="000000" w:themeColor="text1"/>
        </w:rPr>
        <w:t>ecologismo</w:t>
      </w:r>
      <w:proofErr w:type="spellEnd"/>
      <w:r w:rsidRPr="00791329">
        <w:rPr>
          <w:color w:val="000000" w:themeColor="text1"/>
        </w:rPr>
        <w:t xml:space="preserve"> escolar” para </w:t>
      </w:r>
      <w:r w:rsidRPr="00791329">
        <w:rPr>
          <w:bCs/>
          <w:color w:val="000000" w:themeColor="text1"/>
        </w:rPr>
        <w:t>condições concretas de vida</w:t>
      </w:r>
      <w:r w:rsidRPr="00791329">
        <w:rPr>
          <w:color w:val="000000" w:themeColor="text1"/>
        </w:rPr>
        <w:t xml:space="preserve"> e </w:t>
      </w:r>
      <w:r w:rsidRPr="00791329">
        <w:rPr>
          <w:bCs/>
          <w:color w:val="000000" w:themeColor="text1"/>
        </w:rPr>
        <w:t>saúde coletiva</w:t>
      </w:r>
      <w:r w:rsidRPr="00791329">
        <w:rPr>
          <w:color w:val="000000" w:themeColor="text1"/>
        </w:rPr>
        <w:t xml:space="preserve">. Já a </w:t>
      </w:r>
      <w:proofErr w:type="spellStart"/>
      <w:r w:rsidRPr="00791329">
        <w:rPr>
          <w:color w:val="000000" w:themeColor="text1"/>
        </w:rPr>
        <w:t>meliponicultura</w:t>
      </w:r>
      <w:proofErr w:type="spellEnd"/>
      <w:r w:rsidRPr="00791329">
        <w:rPr>
          <w:color w:val="000000" w:themeColor="text1"/>
        </w:rPr>
        <w:t xml:space="preserve"> e o manejo de quelônios aproximam </w:t>
      </w:r>
      <w:r w:rsidRPr="00791329">
        <w:rPr>
          <w:bCs/>
          <w:color w:val="000000" w:themeColor="text1"/>
        </w:rPr>
        <w:t>saber tradicional, ciência e renda</w:t>
      </w:r>
      <w:r w:rsidRPr="00791329">
        <w:rPr>
          <w:color w:val="000000" w:themeColor="text1"/>
        </w:rPr>
        <w:t xml:space="preserve">, abrindo espaço para </w:t>
      </w:r>
      <w:r w:rsidRPr="00791329">
        <w:rPr>
          <w:bCs/>
          <w:color w:val="000000" w:themeColor="text1"/>
        </w:rPr>
        <w:t>sequências didáticas interdisciplinares</w:t>
      </w:r>
      <w:r w:rsidRPr="00791329">
        <w:rPr>
          <w:color w:val="000000" w:themeColor="text1"/>
        </w:rPr>
        <w:t xml:space="preserve"> em Ciências, Matemática e Língua Portuguesa. Em territórios de conservação como o Médio Juruá, tal abordagem reforça o papel do professor como mediador de </w:t>
      </w:r>
      <w:r w:rsidRPr="00791329">
        <w:rPr>
          <w:bCs/>
          <w:color w:val="000000" w:themeColor="text1"/>
        </w:rPr>
        <w:t>práticas sustentáveis</w:t>
      </w:r>
      <w:r w:rsidRPr="00791329">
        <w:rPr>
          <w:color w:val="000000" w:themeColor="text1"/>
        </w:rPr>
        <w:t xml:space="preserve"> (FERNANDES, 2008) e dá materialidade à noção de </w:t>
      </w:r>
      <w:r w:rsidRPr="00791329">
        <w:rPr>
          <w:bCs/>
          <w:color w:val="000000" w:themeColor="text1"/>
        </w:rPr>
        <w:t xml:space="preserve">currículo </w:t>
      </w:r>
      <w:proofErr w:type="spellStart"/>
      <w:r w:rsidRPr="00791329">
        <w:rPr>
          <w:bCs/>
          <w:color w:val="000000" w:themeColor="text1"/>
        </w:rPr>
        <w:t>territorializado</w:t>
      </w:r>
      <w:proofErr w:type="spellEnd"/>
      <w:r w:rsidRPr="00791329">
        <w:rPr>
          <w:color w:val="000000" w:themeColor="text1"/>
        </w:rPr>
        <w:t xml:space="preserve"> (MOLINA; HAGE, 2019).</w:t>
      </w:r>
    </w:p>
    <w:p w14:paraId="2551ADE0" w14:textId="77777777" w:rsidR="00A40A6D" w:rsidRPr="00895E2D" w:rsidRDefault="00A40A6D" w:rsidP="00A40A6D">
      <w:pPr>
        <w:pStyle w:val="NormalWeb"/>
        <w:spacing w:line="360" w:lineRule="auto"/>
        <w:jc w:val="both"/>
        <w:rPr>
          <w:b/>
          <w:bCs/>
          <w:color w:val="000000" w:themeColor="text1"/>
        </w:rPr>
      </w:pPr>
      <w:r w:rsidRPr="00895E2D">
        <w:rPr>
          <w:b/>
          <w:bCs/>
          <w:color w:val="000000" w:themeColor="text1"/>
        </w:rPr>
        <w:t>4) História, memória e identidade comunitária</w:t>
      </w:r>
    </w:p>
    <w:p w14:paraId="498826D8" w14:textId="77777777" w:rsidR="00A40A6D" w:rsidRPr="00791329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791329">
        <w:rPr>
          <w:color w:val="000000" w:themeColor="text1"/>
        </w:rPr>
        <w:t xml:space="preserve">Sete projetos — história das comunidades, resgates de memória, diversidade de gênero e identidade juvenil — indicam que os estudantes compreendem </w:t>
      </w:r>
      <w:r w:rsidRPr="00791329">
        <w:rPr>
          <w:bCs/>
          <w:color w:val="000000" w:themeColor="text1"/>
        </w:rPr>
        <w:t>currículo como narrativa</w:t>
      </w:r>
      <w:r w:rsidRPr="00791329">
        <w:rPr>
          <w:color w:val="000000" w:themeColor="text1"/>
        </w:rPr>
        <w:t xml:space="preserve"> e a escola como lugar de </w:t>
      </w:r>
      <w:r w:rsidRPr="00791329">
        <w:rPr>
          <w:bCs/>
          <w:color w:val="000000" w:themeColor="text1"/>
        </w:rPr>
        <w:t>produção de memória</w:t>
      </w:r>
      <w:r w:rsidRPr="00791329">
        <w:rPr>
          <w:color w:val="000000" w:themeColor="text1"/>
        </w:rPr>
        <w:t xml:space="preserve">. Essa linha dialoga com a concepção de </w:t>
      </w:r>
      <w:r w:rsidRPr="00791329">
        <w:rPr>
          <w:bCs/>
          <w:color w:val="000000" w:themeColor="text1"/>
        </w:rPr>
        <w:t xml:space="preserve">identidade </w:t>
      </w:r>
      <w:r w:rsidRPr="00791329">
        <w:rPr>
          <w:bCs/>
          <w:color w:val="000000" w:themeColor="text1"/>
        </w:rPr>
        <w:lastRenderedPageBreak/>
        <w:t>como processo</w:t>
      </w:r>
      <w:r w:rsidRPr="00791329">
        <w:rPr>
          <w:color w:val="000000" w:themeColor="text1"/>
        </w:rPr>
        <w:t xml:space="preserve">, relacional e histórico (HALL, 2006), e com a ideia de </w:t>
      </w:r>
      <w:r w:rsidRPr="00791329">
        <w:rPr>
          <w:bCs/>
          <w:color w:val="000000" w:themeColor="text1"/>
        </w:rPr>
        <w:t>memória social</w:t>
      </w:r>
      <w:r w:rsidRPr="00791329">
        <w:rPr>
          <w:color w:val="000000" w:themeColor="text1"/>
        </w:rPr>
        <w:t xml:space="preserve"> como construção coletiva (POLLAK, 1989; BOSI, 1994).</w:t>
      </w:r>
    </w:p>
    <w:p w14:paraId="0746F65A" w14:textId="32CB12DB" w:rsidR="00A40A6D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791329">
        <w:rPr>
          <w:color w:val="000000" w:themeColor="text1"/>
        </w:rPr>
        <w:t xml:space="preserve">Ao investigar histórias de comunidades como Roque, Imperatriz e </w:t>
      </w:r>
      <w:proofErr w:type="spellStart"/>
      <w:r w:rsidRPr="00791329">
        <w:rPr>
          <w:color w:val="000000" w:themeColor="text1"/>
        </w:rPr>
        <w:t>Pupuaí</w:t>
      </w:r>
      <w:proofErr w:type="spellEnd"/>
      <w:r w:rsidRPr="00791329">
        <w:rPr>
          <w:color w:val="000000" w:themeColor="text1"/>
        </w:rPr>
        <w:t xml:space="preserve">, os pré-projetos contribuem para </w:t>
      </w:r>
      <w:r w:rsidRPr="00791329">
        <w:rPr>
          <w:bCs/>
          <w:color w:val="000000" w:themeColor="text1"/>
        </w:rPr>
        <w:t>repertoriar saberes locais</w:t>
      </w:r>
      <w:r w:rsidRPr="00791329">
        <w:rPr>
          <w:color w:val="000000" w:themeColor="text1"/>
        </w:rPr>
        <w:t xml:space="preserve">, </w:t>
      </w:r>
      <w:proofErr w:type="spellStart"/>
      <w:r w:rsidRPr="00791329">
        <w:rPr>
          <w:color w:val="000000" w:themeColor="text1"/>
        </w:rPr>
        <w:t>tensionando</w:t>
      </w:r>
      <w:proofErr w:type="spellEnd"/>
      <w:r w:rsidRPr="00791329">
        <w:rPr>
          <w:color w:val="000000" w:themeColor="text1"/>
        </w:rPr>
        <w:t xml:space="preserve"> materiais didáticos urbanos e universalistas. A presença do tema </w:t>
      </w:r>
      <w:r w:rsidRPr="00791329">
        <w:rPr>
          <w:bCs/>
          <w:color w:val="000000" w:themeColor="text1"/>
        </w:rPr>
        <w:t>diversidade de gênero</w:t>
      </w:r>
      <w:r w:rsidRPr="00791329">
        <w:rPr>
          <w:color w:val="000000" w:themeColor="text1"/>
        </w:rPr>
        <w:t xml:space="preserve"> sugere abertura para </w:t>
      </w:r>
      <w:r w:rsidRPr="00791329">
        <w:rPr>
          <w:bCs/>
          <w:color w:val="000000" w:themeColor="text1"/>
        </w:rPr>
        <w:t>direitos humanos e pluralidade</w:t>
      </w:r>
      <w:r w:rsidRPr="00791329">
        <w:rPr>
          <w:color w:val="000000" w:themeColor="text1"/>
        </w:rPr>
        <w:t xml:space="preserve">, dimensão muito discutida na educação brasileira (LOURO, 1997), importante para enfrentar </w:t>
      </w:r>
      <w:r w:rsidRPr="00791329">
        <w:rPr>
          <w:bCs/>
          <w:color w:val="000000" w:themeColor="text1"/>
        </w:rPr>
        <w:t>violências simbólicas</w:t>
      </w:r>
      <w:r w:rsidRPr="00791329">
        <w:rPr>
          <w:color w:val="000000" w:themeColor="text1"/>
        </w:rPr>
        <w:t xml:space="preserve"> e </w:t>
      </w:r>
      <w:r w:rsidRPr="00791329">
        <w:rPr>
          <w:bCs/>
          <w:color w:val="000000" w:themeColor="text1"/>
        </w:rPr>
        <w:t>estereótipos</w:t>
      </w:r>
      <w:r w:rsidRPr="00791329">
        <w:rPr>
          <w:color w:val="000000" w:themeColor="text1"/>
        </w:rPr>
        <w:t xml:space="preserve"> nos territórios.</w:t>
      </w:r>
    </w:p>
    <w:p w14:paraId="1F4D664B" w14:textId="77777777" w:rsidR="008B3478" w:rsidRDefault="007A7F06" w:rsidP="00800F6E">
      <w:pPr>
        <w:pStyle w:val="NormalWeb"/>
        <w:spacing w:line="360" w:lineRule="auto"/>
        <w:ind w:firstLine="708"/>
        <w:jc w:val="both"/>
      </w:pPr>
      <w:r>
        <w:t xml:space="preserve">O campo é representado por diversos grupos sociais, entre os quais destacam-se ribeirinhos, </w:t>
      </w:r>
      <w:proofErr w:type="spellStart"/>
      <w:r>
        <w:t>bóias-frias</w:t>
      </w:r>
      <w:proofErr w:type="spellEnd"/>
      <w:r>
        <w:t>, ilhéus, assentados, pequenos proprietários e quilombolas, entre outros, variando conforme a região do Brasil. Cada uma dessas organizações contribui para a constituição de identidades políticas e socioculturais. Ao tratar da identidade do campo e de seus povos, recorremos a Souza (2012, p. 35), que ressalta que a história de vida das pessoas “[...] determina sua identidade, ou seja, as identidades são construídas em situações particulares no tempo, pois em todas as situações somos a mesma pessoa, mas somos diferentes devido ao contexto em que estamos inseridos”. Assim, compreende-se que a identidade é socialmente constituída, sendo afetada pelo contexto em que os sujeitos estão inseridos.</w:t>
      </w:r>
    </w:p>
    <w:p w14:paraId="2001CAE8" w14:textId="5331A982" w:rsidR="008B3478" w:rsidRPr="008B3478" w:rsidRDefault="008B3478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8B3478">
        <w:t xml:space="preserve">O </w:t>
      </w:r>
      <w:r w:rsidRPr="008B3478">
        <w:rPr>
          <w:rStyle w:val="Forte"/>
          <w:rFonts w:eastAsiaTheme="majorEastAsia"/>
          <w:b w:val="0"/>
        </w:rPr>
        <w:t xml:space="preserve">processo de reconhecimento </w:t>
      </w:r>
      <w:proofErr w:type="spellStart"/>
      <w:r w:rsidRPr="008B3478">
        <w:rPr>
          <w:rStyle w:val="Forte"/>
          <w:rFonts w:eastAsiaTheme="majorEastAsia"/>
          <w:b w:val="0"/>
        </w:rPr>
        <w:t>identitário</w:t>
      </w:r>
      <w:proofErr w:type="spellEnd"/>
      <w:r w:rsidRPr="008B3478">
        <w:rPr>
          <w:rStyle w:val="Forte"/>
          <w:rFonts w:eastAsiaTheme="majorEastAsia"/>
          <w:b w:val="0"/>
        </w:rPr>
        <w:t xml:space="preserve"> dos povos do campo</w:t>
      </w:r>
      <w:r w:rsidRPr="008B3478">
        <w:t xml:space="preserve"> é analisado por </w:t>
      </w:r>
      <w:proofErr w:type="spellStart"/>
      <w:r w:rsidRPr="008B3478">
        <w:t>Caldart</w:t>
      </w:r>
      <w:proofErr w:type="spellEnd"/>
      <w:r w:rsidRPr="008B3478">
        <w:t xml:space="preserve"> (2011, p. 14), ao afirmar que “[...] a população desse espaço, ao longo do tempo, lutou e, ainda continua, com a árdua luta, em prol do reconhecimento de sua identidade”</w:t>
      </w:r>
      <w:r>
        <w:t>.</w:t>
      </w:r>
    </w:p>
    <w:p w14:paraId="7B9BB930" w14:textId="77777777" w:rsidR="00A40A6D" w:rsidRPr="00895E2D" w:rsidRDefault="00A40A6D" w:rsidP="00A40A6D">
      <w:pPr>
        <w:pStyle w:val="NormalWeb"/>
        <w:spacing w:line="360" w:lineRule="auto"/>
        <w:jc w:val="both"/>
        <w:rPr>
          <w:b/>
          <w:bCs/>
          <w:color w:val="000000" w:themeColor="text1"/>
        </w:rPr>
      </w:pPr>
      <w:r w:rsidRPr="00895E2D">
        <w:rPr>
          <w:b/>
          <w:bCs/>
          <w:color w:val="000000" w:themeColor="text1"/>
        </w:rPr>
        <w:t>5) Ensino contextualizado e práticas pedagógicas específicas</w:t>
      </w:r>
    </w:p>
    <w:p w14:paraId="201C57F5" w14:textId="1BF33B7A" w:rsidR="00A40A6D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791329">
        <w:rPr>
          <w:color w:val="000000" w:themeColor="text1"/>
        </w:rPr>
        <w:t xml:space="preserve">Quatro propostas tratam de </w:t>
      </w:r>
      <w:r w:rsidRPr="00791329">
        <w:rPr>
          <w:bCs/>
          <w:color w:val="000000" w:themeColor="text1"/>
        </w:rPr>
        <w:t>educação física, música e matemática</w:t>
      </w:r>
      <w:r w:rsidRPr="00791329">
        <w:rPr>
          <w:color w:val="000000" w:themeColor="text1"/>
        </w:rPr>
        <w:t xml:space="preserve"> nas séries iniciais. A leitura comum é a busca por </w:t>
      </w:r>
      <w:r w:rsidRPr="00791329">
        <w:rPr>
          <w:bCs/>
          <w:color w:val="000000" w:themeColor="text1"/>
        </w:rPr>
        <w:t>metodologias ativas</w:t>
      </w:r>
      <w:r w:rsidRPr="00791329">
        <w:rPr>
          <w:color w:val="000000" w:themeColor="text1"/>
        </w:rPr>
        <w:t xml:space="preserve"> que façam sentido no campo. Em matemática, o diálogo com a </w:t>
      </w:r>
      <w:proofErr w:type="spellStart"/>
      <w:r w:rsidRPr="00791329">
        <w:rPr>
          <w:bCs/>
          <w:color w:val="000000" w:themeColor="text1"/>
        </w:rPr>
        <w:t>etnomatemática</w:t>
      </w:r>
      <w:proofErr w:type="spellEnd"/>
      <w:r w:rsidRPr="00791329">
        <w:rPr>
          <w:color w:val="000000" w:themeColor="text1"/>
        </w:rPr>
        <w:t xml:space="preserve"> (D’AMBROSIO, 1996) fortalece a ideia de que conceitos podem emergir de </w:t>
      </w:r>
      <w:r w:rsidRPr="00791329">
        <w:rPr>
          <w:bCs/>
          <w:color w:val="000000" w:themeColor="text1"/>
        </w:rPr>
        <w:t>práticas de pesca, manejo e comércio local</w:t>
      </w:r>
      <w:r w:rsidRPr="00791329">
        <w:rPr>
          <w:color w:val="000000" w:themeColor="text1"/>
        </w:rPr>
        <w:t xml:space="preserve">. Em artes e música, há potencial de </w:t>
      </w:r>
      <w:r w:rsidRPr="00791329">
        <w:rPr>
          <w:bCs/>
          <w:color w:val="000000" w:themeColor="text1"/>
        </w:rPr>
        <w:t>currículo expressivo</w:t>
      </w:r>
      <w:r w:rsidRPr="00791329">
        <w:rPr>
          <w:color w:val="000000" w:themeColor="text1"/>
        </w:rPr>
        <w:t xml:space="preserve"> que articula cultura ribeirinha, oralidades e performance, fundamentais para </w:t>
      </w:r>
      <w:r w:rsidRPr="00791329">
        <w:rPr>
          <w:bCs/>
          <w:color w:val="000000" w:themeColor="text1"/>
        </w:rPr>
        <w:t>letramentos múltiplos</w:t>
      </w:r>
      <w:r w:rsidRPr="00791329">
        <w:rPr>
          <w:color w:val="000000" w:themeColor="text1"/>
        </w:rPr>
        <w:t xml:space="preserve"> (STREET, 2014). Na educação física, aparecem oportunidades de </w:t>
      </w:r>
      <w:r w:rsidRPr="00791329">
        <w:rPr>
          <w:bCs/>
          <w:color w:val="000000" w:themeColor="text1"/>
        </w:rPr>
        <w:lastRenderedPageBreak/>
        <w:t>práticas corporais e jogos tradicionais</w:t>
      </w:r>
      <w:r w:rsidRPr="00791329">
        <w:rPr>
          <w:color w:val="000000" w:themeColor="text1"/>
        </w:rPr>
        <w:t xml:space="preserve"> que conectam saúde, cultura e território (DARIDO; RANGEL, 2005).</w:t>
      </w:r>
      <w:r w:rsidR="000B7145">
        <w:rPr>
          <w:color w:val="000000" w:themeColor="text1"/>
        </w:rPr>
        <w:t xml:space="preserve"> </w:t>
      </w:r>
    </w:p>
    <w:p w14:paraId="33E83AE4" w14:textId="3C5B8A02" w:rsidR="000B7145" w:rsidRPr="000B7145" w:rsidRDefault="000B7145" w:rsidP="000B7145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0B7145">
        <w:rPr>
          <w:color w:val="000000" w:themeColor="text1"/>
        </w:rPr>
        <w:t xml:space="preserve">Para esta categoria, </w:t>
      </w:r>
      <w:r>
        <w:rPr>
          <w:color w:val="000000" w:themeColor="text1"/>
        </w:rPr>
        <w:t xml:space="preserve">em conversa com alunos, </w:t>
      </w:r>
      <w:r w:rsidRPr="000B7145">
        <w:rPr>
          <w:color w:val="000000" w:themeColor="text1"/>
        </w:rPr>
        <w:t xml:space="preserve">as atividades desenvolvidas pelas associações, </w:t>
      </w:r>
      <w:r w:rsidRPr="000B7145">
        <w:rPr>
          <w:bCs/>
          <w:color w:val="000000" w:themeColor="text1"/>
        </w:rPr>
        <w:t>são mobilizados saberes matemáticos</w:t>
      </w:r>
      <w:r w:rsidRPr="000B7145">
        <w:rPr>
          <w:color w:val="000000" w:themeColor="text1"/>
        </w:rPr>
        <w:t xml:space="preserve">, muitas vezes utilizados em práticas consideradas simples, como no manejo do </w:t>
      </w:r>
      <w:r w:rsidRPr="000B7145">
        <w:rPr>
          <w:bCs/>
          <w:color w:val="000000" w:themeColor="text1"/>
        </w:rPr>
        <w:t>pirarucu</w:t>
      </w:r>
      <w:r w:rsidRPr="000B7145">
        <w:rPr>
          <w:color w:val="000000" w:themeColor="text1"/>
        </w:rPr>
        <w:t xml:space="preserve">, uma atividade de grande relevância econômica no município de </w:t>
      </w:r>
      <w:r w:rsidRPr="000B7145">
        <w:rPr>
          <w:bCs/>
          <w:color w:val="000000" w:themeColor="text1"/>
        </w:rPr>
        <w:t>Carauari</w:t>
      </w:r>
      <w:r w:rsidRPr="000B7145">
        <w:rPr>
          <w:color w:val="000000" w:themeColor="text1"/>
        </w:rPr>
        <w:t xml:space="preserve">. A matemática se manifesta e se potencializa no trabalho, especialmente na </w:t>
      </w:r>
      <w:r w:rsidRPr="000B7145">
        <w:rPr>
          <w:bCs/>
          <w:color w:val="000000" w:themeColor="text1"/>
        </w:rPr>
        <w:t>medição, pesagem e manejo do peixe</w:t>
      </w:r>
      <w:r w:rsidRPr="000B7145">
        <w:rPr>
          <w:color w:val="000000" w:themeColor="text1"/>
        </w:rPr>
        <w:t xml:space="preserve">, envolvendo desde crianças até idosos, que aprendem nesses espaços por meio de </w:t>
      </w:r>
      <w:r w:rsidRPr="000B7145">
        <w:rPr>
          <w:bCs/>
          <w:color w:val="000000" w:themeColor="text1"/>
        </w:rPr>
        <w:t>saberes compartilhados e trocas comunitárias</w:t>
      </w:r>
      <w:r w:rsidRPr="000B7145">
        <w:rPr>
          <w:color w:val="000000" w:themeColor="text1"/>
        </w:rPr>
        <w:t>.</w:t>
      </w:r>
    </w:p>
    <w:p w14:paraId="6F281098" w14:textId="4DEA9B67" w:rsidR="000B7145" w:rsidRPr="000B7145" w:rsidRDefault="000B7145" w:rsidP="000B7145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0B7145">
        <w:rPr>
          <w:color w:val="000000" w:themeColor="text1"/>
        </w:rPr>
        <w:t xml:space="preserve">O manejo do pirarucu em Carauari, liderado pela </w:t>
      </w:r>
      <w:r w:rsidRPr="000B7145">
        <w:rPr>
          <w:bCs/>
          <w:color w:val="000000" w:themeColor="text1"/>
        </w:rPr>
        <w:t>Associação dos Produtores Rurais de Carauari (ASPROC)</w:t>
      </w:r>
      <w:r w:rsidRPr="000B7145">
        <w:rPr>
          <w:color w:val="000000" w:themeColor="text1"/>
        </w:rPr>
        <w:t xml:space="preserve">, constitui um modelo </w:t>
      </w:r>
      <w:r w:rsidRPr="000B7145">
        <w:rPr>
          <w:bCs/>
          <w:color w:val="000000" w:themeColor="text1"/>
        </w:rPr>
        <w:t>inovador e sustentável</w:t>
      </w:r>
      <w:r>
        <w:rPr>
          <w:color w:val="000000" w:themeColor="text1"/>
        </w:rPr>
        <w:t>.</w:t>
      </w:r>
      <w:r w:rsidRPr="000B7145">
        <w:rPr>
          <w:color w:val="000000" w:themeColor="text1"/>
        </w:rPr>
        <w:t xml:space="preserve"> Esse processo garante não apenas o </w:t>
      </w:r>
      <w:r w:rsidRPr="000B7145">
        <w:rPr>
          <w:bCs/>
          <w:color w:val="000000" w:themeColor="text1"/>
        </w:rPr>
        <w:t>aumento da população de pirarucus</w:t>
      </w:r>
      <w:r w:rsidRPr="000B7145">
        <w:rPr>
          <w:color w:val="000000" w:themeColor="text1"/>
        </w:rPr>
        <w:t xml:space="preserve">, mas também a </w:t>
      </w:r>
      <w:r w:rsidRPr="000B7145">
        <w:rPr>
          <w:bCs/>
          <w:color w:val="000000" w:themeColor="text1"/>
        </w:rPr>
        <w:t>geração de renda para os pescadores por meio do comércio justo</w:t>
      </w:r>
      <w:r w:rsidRPr="000B7145">
        <w:rPr>
          <w:color w:val="000000" w:themeColor="text1"/>
        </w:rPr>
        <w:t xml:space="preserve"> e a </w:t>
      </w:r>
      <w:r w:rsidRPr="000B7145">
        <w:rPr>
          <w:bCs/>
          <w:color w:val="000000" w:themeColor="text1"/>
        </w:rPr>
        <w:t>conservação da biodiversidade</w:t>
      </w:r>
      <w:r w:rsidRPr="000B7145">
        <w:rPr>
          <w:color w:val="000000" w:themeColor="text1"/>
        </w:rPr>
        <w:t xml:space="preserve"> local, consolidando a importância da matemática vivida como instrumento de gestão comunitária e de sustentabilidade ambiental.</w:t>
      </w:r>
    </w:p>
    <w:p w14:paraId="7A670CAB" w14:textId="77777777" w:rsidR="00A40A6D" w:rsidRPr="00895E2D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791329">
        <w:rPr>
          <w:color w:val="000000" w:themeColor="text1"/>
        </w:rPr>
        <w:t xml:space="preserve">No plano didático, essa categoria encontra sustentação em uma pedagogia </w:t>
      </w:r>
      <w:r w:rsidRPr="00791329">
        <w:rPr>
          <w:bCs/>
          <w:color w:val="000000" w:themeColor="text1"/>
        </w:rPr>
        <w:t>histórico-crítica</w:t>
      </w:r>
      <w:r w:rsidRPr="00791329">
        <w:rPr>
          <w:color w:val="000000" w:themeColor="text1"/>
        </w:rPr>
        <w:t xml:space="preserve"> que articula conteúdos e realidade (SAVIANI, 2008) ou, ainda, em perspectivas</w:t>
      </w:r>
      <w:r w:rsidRPr="00895E2D">
        <w:rPr>
          <w:color w:val="000000" w:themeColor="text1"/>
        </w:rPr>
        <w:t xml:space="preserve"> </w:t>
      </w:r>
      <w:proofErr w:type="spellStart"/>
      <w:r w:rsidRPr="00791329">
        <w:rPr>
          <w:bCs/>
          <w:color w:val="000000" w:themeColor="text1"/>
        </w:rPr>
        <w:t>socioconstrutivistas</w:t>
      </w:r>
      <w:proofErr w:type="spellEnd"/>
      <w:r w:rsidRPr="00791329">
        <w:rPr>
          <w:color w:val="000000" w:themeColor="text1"/>
        </w:rPr>
        <w:t xml:space="preserve"> centradas em resolução de problemas e mediação docente (LIBÂNEO, 2012).</w:t>
      </w:r>
    </w:p>
    <w:p w14:paraId="3B7D4236" w14:textId="77777777" w:rsidR="00A40A6D" w:rsidRPr="00895E2D" w:rsidRDefault="00A40A6D" w:rsidP="00A40A6D">
      <w:pPr>
        <w:pStyle w:val="NormalWeb"/>
        <w:spacing w:line="360" w:lineRule="auto"/>
        <w:jc w:val="both"/>
        <w:rPr>
          <w:b/>
          <w:bCs/>
          <w:color w:val="000000" w:themeColor="text1"/>
        </w:rPr>
      </w:pPr>
      <w:r w:rsidRPr="00895E2D">
        <w:rPr>
          <w:b/>
          <w:bCs/>
          <w:color w:val="000000" w:themeColor="text1"/>
        </w:rPr>
        <w:t>Síntese interpretativa transversal</w:t>
      </w:r>
    </w:p>
    <w:p w14:paraId="4F61DC52" w14:textId="110BB2EF" w:rsidR="00A40A6D" w:rsidRPr="008B3478" w:rsidRDefault="00A40A6D" w:rsidP="00800F6E">
      <w:pPr>
        <w:pStyle w:val="NormalWeb"/>
        <w:spacing w:line="360" w:lineRule="auto"/>
        <w:ind w:firstLine="708"/>
        <w:jc w:val="both"/>
        <w:rPr>
          <w:color w:val="000000" w:themeColor="text1"/>
        </w:rPr>
      </w:pPr>
      <w:r w:rsidRPr="008B3478">
        <w:rPr>
          <w:color w:val="000000" w:themeColor="text1"/>
        </w:rPr>
        <w:t xml:space="preserve">Os cinco eixos </w:t>
      </w:r>
      <w:r w:rsidRPr="008B3478">
        <w:rPr>
          <w:bCs/>
          <w:color w:val="000000" w:themeColor="text1"/>
        </w:rPr>
        <w:t>convergem</w:t>
      </w:r>
      <w:r w:rsidRPr="008B3478">
        <w:rPr>
          <w:color w:val="000000" w:themeColor="text1"/>
        </w:rPr>
        <w:t xml:space="preserve"> para uma compreensão de </w:t>
      </w:r>
      <w:r w:rsidRPr="008B3478">
        <w:rPr>
          <w:bCs/>
          <w:color w:val="000000" w:themeColor="text1"/>
        </w:rPr>
        <w:t>professor-pesquisador</w:t>
      </w:r>
      <w:r w:rsidRPr="008B3478">
        <w:rPr>
          <w:color w:val="000000" w:themeColor="text1"/>
        </w:rPr>
        <w:t xml:space="preserve"> que investiga sua própria prática e o território (FREIRE, 1996), articulando </w:t>
      </w:r>
      <w:r w:rsidRPr="008B3478">
        <w:rPr>
          <w:bCs/>
          <w:color w:val="000000" w:themeColor="text1"/>
        </w:rPr>
        <w:t>pesquisa e intervenção</w:t>
      </w:r>
      <w:r w:rsidRPr="008B3478">
        <w:rPr>
          <w:color w:val="000000" w:themeColor="text1"/>
        </w:rPr>
        <w:t xml:space="preserve"> — horizonte coerente com </w:t>
      </w:r>
      <w:r w:rsidRPr="008B3478">
        <w:rPr>
          <w:bCs/>
          <w:color w:val="000000" w:themeColor="text1"/>
        </w:rPr>
        <w:t>pesquisa-ação</w:t>
      </w:r>
      <w:r w:rsidRPr="008B3478">
        <w:rPr>
          <w:color w:val="000000" w:themeColor="text1"/>
        </w:rPr>
        <w:t xml:space="preserve"> e </w:t>
      </w:r>
      <w:r w:rsidRPr="008B3478">
        <w:rPr>
          <w:bCs/>
          <w:color w:val="000000" w:themeColor="text1"/>
        </w:rPr>
        <w:t>pesquisa participante</w:t>
      </w:r>
      <w:r w:rsidRPr="008B3478">
        <w:rPr>
          <w:color w:val="000000" w:themeColor="text1"/>
        </w:rPr>
        <w:t xml:space="preserve"> que informaram a disciplina. Ao priorizar alfabetização, EJA, sustentabilidade e memória, os </w:t>
      </w:r>
      <w:proofErr w:type="spellStart"/>
      <w:r w:rsidRPr="008B3478">
        <w:rPr>
          <w:color w:val="000000" w:themeColor="text1"/>
        </w:rPr>
        <w:t>licenciandos</w:t>
      </w:r>
      <w:proofErr w:type="spellEnd"/>
      <w:r w:rsidRPr="008B3478">
        <w:rPr>
          <w:color w:val="000000" w:themeColor="text1"/>
        </w:rPr>
        <w:t xml:space="preserve"> constroem um </w:t>
      </w:r>
      <w:r w:rsidRPr="008B3478">
        <w:rPr>
          <w:bCs/>
          <w:color w:val="000000" w:themeColor="text1"/>
        </w:rPr>
        <w:t>mapa diagnóstico</w:t>
      </w:r>
      <w:r w:rsidRPr="008B3478">
        <w:rPr>
          <w:color w:val="000000" w:themeColor="text1"/>
        </w:rPr>
        <w:t xml:space="preserve"> das urgências educativas ribeirinhas e explicitam um projeto de escola </w:t>
      </w:r>
      <w:r w:rsidRPr="008B3478">
        <w:rPr>
          <w:bCs/>
          <w:color w:val="000000" w:themeColor="text1"/>
        </w:rPr>
        <w:t>comunitária, intercultural e ambientalmente comprometida</w:t>
      </w:r>
      <w:r w:rsidRPr="008B3478">
        <w:rPr>
          <w:color w:val="000000" w:themeColor="text1"/>
        </w:rPr>
        <w:t xml:space="preserve"> (ARROYO, 2012; MOLINA; HAGE, 2019).</w:t>
      </w:r>
      <w:r w:rsidR="005F2183">
        <w:rPr>
          <w:color w:val="000000" w:themeColor="text1"/>
        </w:rPr>
        <w:t xml:space="preserve"> </w:t>
      </w:r>
      <w:r w:rsidR="005F2183" w:rsidRPr="005F2183">
        <w:rPr>
          <w:color w:val="000000" w:themeColor="text1"/>
        </w:rPr>
        <w:t xml:space="preserve">A educação de jovens e adultos (EJA) é um direito garantido por lei, que valoriza </w:t>
      </w:r>
      <w:r w:rsidR="005F2183" w:rsidRPr="005F2183">
        <w:rPr>
          <w:color w:val="000000" w:themeColor="text1"/>
        </w:rPr>
        <w:lastRenderedPageBreak/>
        <w:t>experiências não-formais e incorpora vivências práticas ao currículo, promovendo diálogo e interação entre os educandos. Esse conceito aproxima-se da educação popular à medida que a realidade exige dos educadores sensibilidade e competência científica para compreender criticamente o cotidiano do meio popular (GADOTTI, 2003). Para Paulo Freire, precursor da EJA, o conhecimento produzido pela educação é um instrumento de transformação do mundo, configurando o ato de educar como político e gerador de mudanças, jamais neutro.</w:t>
      </w:r>
    </w:p>
    <w:p w14:paraId="30ECEAFF" w14:textId="106CD557" w:rsidR="001C785D" w:rsidRPr="00895E2D" w:rsidRDefault="001C785D" w:rsidP="001C785D">
      <w:pPr>
        <w:pStyle w:val="Ttulo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2D">
        <w:rPr>
          <w:rStyle w:val="Forte"/>
          <w:rFonts w:ascii="Times New Roman" w:hAnsi="Times New Roman" w:cs="Times New Roman"/>
          <w:bCs w:val="0"/>
          <w:color w:val="000000" w:themeColor="text1"/>
          <w:sz w:val="28"/>
          <w:szCs w:val="28"/>
        </w:rPr>
        <w:t>5. CONSIDERAÇÕES FINAIS</w:t>
      </w:r>
    </w:p>
    <w:p w14:paraId="52E1E2FC" w14:textId="77777777" w:rsidR="00FE0E2A" w:rsidRDefault="00FE0E2A" w:rsidP="00800F6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</w:p>
    <w:p w14:paraId="45A5BA1C" w14:textId="64313A06" w:rsidR="00800F6E" w:rsidRDefault="005F2183" w:rsidP="00800F6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O presente relato, que teve como base o</w:t>
      </w:r>
      <w:r w:rsidR="00A40A6D" w:rsidRPr="00895E2D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s pré-projetos analisados evidenciam que os </w:t>
      </w:r>
      <w:proofErr w:type="spellStart"/>
      <w:r w:rsidR="00A40A6D" w:rsidRPr="00895E2D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licenciandos</w:t>
      </w:r>
      <w:proofErr w:type="spellEnd"/>
      <w:r w:rsidR="00A40A6D" w:rsidRPr="00895E2D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 do Médio Juruá articulam teoria, prática e território, evidenciando um compromisso com a construção de uma escola comunitária, intercultural e ambientalmente comprometida. A centralidade da alfabetização, da EJA, da educação ambiental e da memória comunitária revela um entendimento de que a educação no campo exige integração entre saberes acadêmicos e saberes locais, reconhecendo as especificidades culturais, sociais e ambientais do território.</w:t>
      </w:r>
    </w:p>
    <w:p w14:paraId="12CE4A6E" w14:textId="77777777" w:rsidR="008C50A6" w:rsidRDefault="00A40A6D" w:rsidP="008C50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895E2D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Os resultados indicam que a formação docente deve priorizar práticas contextualizadas, currículos territoriais e metodologias ativas, capazes de articular educação, sustentabilidade e protagonismo comunitário. Além disso, apontam para a necessidade de políticas públicas que garantam infraestrutura adequada, recursos pedagógicos e apoio à pesquisa e extensão, consolidando a escola como espaço de cidadania e transformação social.</w:t>
      </w:r>
    </w:p>
    <w:p w14:paraId="0C67D730" w14:textId="0F0A071A" w:rsidR="008C50A6" w:rsidRDefault="008C50A6" w:rsidP="008C50A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8C50A6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 xml:space="preserve">Destacamos, neste relato, o protagonismo dos </w:t>
      </w:r>
      <w:proofErr w:type="spellStart"/>
      <w:r w:rsidRPr="008C50A6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licenciandos</w:t>
      </w:r>
      <w:proofErr w:type="spellEnd"/>
      <w:r w:rsidRPr="008C50A6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, que, por meio de seus projetos, expressam demandas, desafios e o desejo de mudança. Em cada projeto que observei e tive oportunidade de orientar, percebe-se a vontade de transformar desafios em oportunidades de melhoria, beneficiando seu povo e as futuras gerações. Trata-se de uma luta que agora se dá por meio da emancipação, do conhecimento, da leitura e da escrita, e não mais por armas e batalhas, sem perder a identidade comunitária, a equidade e a sustentabilidade territorial.</w:t>
      </w:r>
    </w:p>
    <w:p w14:paraId="182D5814" w14:textId="06B6F880" w:rsidR="00FE0E2A" w:rsidRPr="00FE0E2A" w:rsidRDefault="00FE0E2A" w:rsidP="00FE0E2A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</w:pPr>
      <w:r w:rsidRPr="00FE0E2A">
        <w:rPr>
          <w:rFonts w:ascii="Times New Roman" w:eastAsia="Times New Roman" w:hAnsi="Times New Roman" w:cs="Times New Roman"/>
          <w:b/>
          <w:color w:val="000000" w:themeColor="text1"/>
          <w:kern w:val="0"/>
          <w:lang w:eastAsia="pt-BR"/>
          <w14:ligatures w14:val="none"/>
        </w:rPr>
        <w:t>AGRADECIMENTOS</w:t>
      </w:r>
      <w:r>
        <w:rPr>
          <w:rFonts w:ascii="Times New Roman" w:eastAsia="Times New Roman" w:hAnsi="Times New Roman" w:cs="Times New Roman"/>
          <w:b/>
          <w:color w:val="000000" w:themeColor="text1"/>
          <w:kern w:val="0"/>
          <w:lang w:eastAsia="pt-BR"/>
          <w14:ligatures w14:val="none"/>
        </w:rPr>
        <w:t xml:space="preserve">: </w:t>
      </w:r>
      <w:r w:rsidRPr="00FE0E2A">
        <w:rPr>
          <w:rFonts w:ascii="Times New Roman" w:eastAsia="Times New Roman" w:hAnsi="Times New Roman" w:cs="Times New Roman"/>
          <w:color w:val="000000" w:themeColor="text1"/>
          <w:kern w:val="0"/>
          <w:lang w:eastAsia="pt-BR"/>
          <w14:ligatures w14:val="none"/>
        </w:rPr>
        <w:t>CAPES, CNPC, FAPEAM</w:t>
      </w:r>
    </w:p>
    <w:p w14:paraId="7C04A6B3" w14:textId="5E890347" w:rsidR="001C785D" w:rsidRPr="00895E2D" w:rsidRDefault="001C785D" w:rsidP="001C785D">
      <w:pPr>
        <w:pStyle w:val="Ttulo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5E2D">
        <w:rPr>
          <w:rStyle w:val="Forte"/>
          <w:rFonts w:ascii="Times New Roman" w:hAnsi="Times New Roman" w:cs="Times New Roman"/>
          <w:bCs w:val="0"/>
          <w:color w:val="000000" w:themeColor="text1"/>
          <w:sz w:val="28"/>
          <w:szCs w:val="28"/>
        </w:rPr>
        <w:lastRenderedPageBreak/>
        <w:t>REFERÊNCIAS</w:t>
      </w:r>
    </w:p>
    <w:p w14:paraId="3F3D9A2C" w14:textId="5FF53BA1" w:rsidR="005F2183" w:rsidRDefault="001C785D" w:rsidP="005F2183">
      <w:pPr>
        <w:pStyle w:val="NormalWeb"/>
      </w:pPr>
      <w:r w:rsidRPr="00895E2D">
        <w:rPr>
          <w:color w:val="000000" w:themeColor="text1"/>
        </w:rPr>
        <w:t xml:space="preserve">ARROYO, M. G. </w:t>
      </w:r>
      <w:r w:rsidRPr="00895E2D">
        <w:rPr>
          <w:rStyle w:val="nfase"/>
          <w:rFonts w:eastAsiaTheme="majorEastAsia"/>
          <w:color w:val="000000" w:themeColor="text1"/>
        </w:rPr>
        <w:t>Por uma educação do campo</w:t>
      </w:r>
      <w:r w:rsidRPr="00895E2D">
        <w:rPr>
          <w:color w:val="000000" w:themeColor="text1"/>
        </w:rPr>
        <w:t>. Petrópolis: Vozes, 2012.</w:t>
      </w:r>
      <w:r w:rsidR="004F4909">
        <w:rPr>
          <w:color w:val="000000" w:themeColor="text1"/>
        </w:rPr>
        <w:br/>
      </w:r>
      <w:r w:rsidRPr="00895E2D">
        <w:rPr>
          <w:color w:val="000000" w:themeColor="text1"/>
        </w:rPr>
        <w:t xml:space="preserve">BARDIN, L. </w:t>
      </w:r>
      <w:r w:rsidRPr="00895E2D">
        <w:rPr>
          <w:rStyle w:val="nfase"/>
          <w:rFonts w:eastAsiaTheme="majorEastAsia"/>
          <w:color w:val="000000" w:themeColor="text1"/>
        </w:rPr>
        <w:t>Análise de conteúdo</w:t>
      </w:r>
      <w:r w:rsidRPr="00895E2D">
        <w:rPr>
          <w:color w:val="000000" w:themeColor="text1"/>
        </w:rPr>
        <w:t>. Lisboa: Edições 70, 2011.</w:t>
      </w:r>
      <w:r w:rsidR="004F4909">
        <w:rPr>
          <w:color w:val="000000" w:themeColor="text1"/>
        </w:rPr>
        <w:br/>
      </w:r>
      <w:r w:rsidRPr="00895E2D">
        <w:rPr>
          <w:color w:val="000000" w:themeColor="text1"/>
        </w:rPr>
        <w:t xml:space="preserve">BRANDÃO, C. R. </w:t>
      </w:r>
      <w:r w:rsidRPr="00895E2D">
        <w:rPr>
          <w:rStyle w:val="nfase"/>
          <w:rFonts w:eastAsiaTheme="majorEastAsia"/>
          <w:color w:val="000000" w:themeColor="text1"/>
        </w:rPr>
        <w:t>O que é educação popular</w:t>
      </w:r>
      <w:r w:rsidRPr="00895E2D">
        <w:rPr>
          <w:color w:val="000000" w:themeColor="text1"/>
        </w:rPr>
        <w:t>. São Paulo: Brasiliense, 2002.</w:t>
      </w:r>
      <w:r w:rsidR="004F4909">
        <w:rPr>
          <w:color w:val="000000" w:themeColor="text1"/>
        </w:rPr>
        <w:br/>
      </w:r>
      <w:r w:rsidRPr="00895E2D">
        <w:rPr>
          <w:color w:val="000000" w:themeColor="text1"/>
        </w:rPr>
        <w:t xml:space="preserve">FERNANDES, B. M. </w:t>
      </w:r>
      <w:r w:rsidRPr="00895E2D">
        <w:rPr>
          <w:rStyle w:val="nfase"/>
          <w:rFonts w:eastAsiaTheme="majorEastAsia"/>
          <w:color w:val="000000" w:themeColor="text1"/>
        </w:rPr>
        <w:t>Educação do campo e desenvolvimento territorial</w:t>
      </w:r>
      <w:r w:rsidRPr="00895E2D">
        <w:rPr>
          <w:color w:val="000000" w:themeColor="text1"/>
        </w:rPr>
        <w:t>. Campinas: Autores Associados, 2008.</w:t>
      </w:r>
      <w:r w:rsidR="004F4909">
        <w:rPr>
          <w:color w:val="000000" w:themeColor="text1"/>
        </w:rPr>
        <w:br/>
      </w:r>
      <w:r w:rsidRPr="00895E2D">
        <w:rPr>
          <w:color w:val="000000" w:themeColor="text1"/>
        </w:rPr>
        <w:t xml:space="preserve">FREIRE, P. </w:t>
      </w:r>
      <w:r w:rsidRPr="00895E2D">
        <w:rPr>
          <w:rStyle w:val="nfase"/>
          <w:rFonts w:eastAsiaTheme="majorEastAsia"/>
          <w:color w:val="000000" w:themeColor="text1"/>
        </w:rPr>
        <w:t>Pedagogia da autonomia: saberes necessários à prática educativa</w:t>
      </w:r>
      <w:r w:rsidRPr="00895E2D">
        <w:rPr>
          <w:color w:val="000000" w:themeColor="text1"/>
        </w:rPr>
        <w:t>. São Paulo: Paz e Terra, 1996.</w:t>
      </w:r>
      <w:r w:rsidR="004F4909">
        <w:rPr>
          <w:color w:val="000000" w:themeColor="text1"/>
        </w:rPr>
        <w:br/>
      </w:r>
      <w:r w:rsidRPr="00895E2D">
        <w:rPr>
          <w:color w:val="000000" w:themeColor="text1"/>
        </w:rPr>
        <w:t xml:space="preserve">HALL, S. </w:t>
      </w:r>
      <w:r w:rsidRPr="00895E2D">
        <w:rPr>
          <w:rStyle w:val="nfase"/>
          <w:rFonts w:eastAsiaTheme="majorEastAsia"/>
          <w:color w:val="000000" w:themeColor="text1"/>
        </w:rPr>
        <w:t>A identidade cultural na pós-modernidade</w:t>
      </w:r>
      <w:r w:rsidRPr="00895E2D">
        <w:rPr>
          <w:color w:val="000000" w:themeColor="text1"/>
        </w:rPr>
        <w:t>. Rio de Janeiro: DP&amp;A, 2006.</w:t>
      </w:r>
      <w:r w:rsidR="004F4909">
        <w:rPr>
          <w:color w:val="000000" w:themeColor="text1"/>
        </w:rPr>
        <w:br/>
      </w:r>
      <w:r w:rsidRPr="00895E2D">
        <w:rPr>
          <w:color w:val="000000" w:themeColor="text1"/>
        </w:rPr>
        <w:t xml:space="preserve">MOLINA, M. C.; HAGE, S. A. </w:t>
      </w:r>
      <w:r w:rsidRPr="00895E2D">
        <w:rPr>
          <w:rStyle w:val="nfase"/>
          <w:rFonts w:eastAsiaTheme="majorEastAsia"/>
          <w:color w:val="000000" w:themeColor="text1"/>
        </w:rPr>
        <w:t>Educação do campo: história, práticas e desafios no Brasil</w:t>
      </w:r>
      <w:r w:rsidRPr="00895E2D">
        <w:rPr>
          <w:color w:val="000000" w:themeColor="text1"/>
        </w:rPr>
        <w:t>. Campinas: Papirus, 2019.</w:t>
      </w:r>
      <w:r w:rsidR="004F4909">
        <w:rPr>
          <w:color w:val="000000" w:themeColor="text1"/>
        </w:rPr>
        <w:br/>
      </w:r>
      <w:r w:rsidR="005F2183">
        <w:t xml:space="preserve">ARROYO, M. G. A Educação Básica e o movimento social do campo. In: ARROYO, M. G.; CALDART, R. S.; MOLINA, M. C. (Org.). </w:t>
      </w:r>
      <w:r w:rsidR="005F2183">
        <w:rPr>
          <w:rStyle w:val="nfase"/>
          <w:rFonts w:eastAsiaTheme="majorEastAsia"/>
        </w:rPr>
        <w:t>Por uma educação do campo</w:t>
      </w:r>
      <w:r w:rsidR="005F2183">
        <w:t>. Petrópolis: Vozes, 2004. p. 65-86.</w:t>
      </w:r>
      <w:r w:rsidR="008C50A6">
        <w:br/>
      </w:r>
      <w:r w:rsidR="005F2183">
        <w:t xml:space="preserve">ARROYO, M. G. Políticas de formação de educadores do campo. </w:t>
      </w:r>
      <w:r w:rsidR="005F2183">
        <w:rPr>
          <w:rStyle w:val="nfase"/>
          <w:rFonts w:eastAsiaTheme="majorEastAsia"/>
        </w:rPr>
        <w:t>Rev. Cad. Cedes</w:t>
      </w:r>
      <w:r w:rsidR="005F2183">
        <w:t>, v. 27, n. 72, p. 157-176, 2007.</w:t>
      </w:r>
      <w:r w:rsidR="008C50A6">
        <w:br/>
      </w:r>
      <w:r w:rsidR="005F2183">
        <w:t xml:space="preserve">CALDART, R. S. Por uma educação do campo: traços de uma identidade em construção. In: </w:t>
      </w:r>
      <w:r w:rsidR="005F2183">
        <w:rPr>
          <w:rStyle w:val="nfase"/>
          <w:rFonts w:eastAsiaTheme="majorEastAsia"/>
        </w:rPr>
        <w:t>Educação do campo: identidade e políticas públicas – Caderno 4</w:t>
      </w:r>
      <w:r w:rsidR="005F2183">
        <w:t>. Brasília: Articulação Nacional “Por Uma Educação do Campo”, 2002.</w:t>
      </w:r>
      <w:r w:rsidR="008C50A6">
        <w:br/>
      </w:r>
      <w:r w:rsidR="005F2183">
        <w:t xml:space="preserve">GADOTTI, M. </w:t>
      </w:r>
      <w:r w:rsidR="005F2183">
        <w:rPr>
          <w:rStyle w:val="nfase"/>
          <w:rFonts w:eastAsiaTheme="majorEastAsia"/>
        </w:rPr>
        <w:t>Boniteza de um sonho: ensinar – e – aprender com sentido</w:t>
      </w:r>
      <w:r w:rsidR="005F2183">
        <w:t>. São Paulo, 2003.</w:t>
      </w:r>
      <w:r w:rsidR="008C50A6">
        <w:br/>
      </w:r>
      <w:r w:rsidR="005F2183">
        <w:t xml:space="preserve">MOLINA, M.; SÁ, L. M. Educação do campo. In: ALENTEJANO, P.; CALDART, R. S.; FRIGOTTO, G.; PEREIRA, I. B. </w:t>
      </w:r>
      <w:r w:rsidR="005F2183">
        <w:rPr>
          <w:rStyle w:val="nfase"/>
          <w:rFonts w:eastAsiaTheme="majorEastAsia"/>
        </w:rPr>
        <w:t>Dicionário da educação do campo</w:t>
      </w:r>
      <w:r w:rsidR="005F2183">
        <w:t>. Rio de Janeiro: Escola Politécnica de Saúde Joaquim Venâncio; Expressão Popular, 2012.</w:t>
      </w:r>
    </w:p>
    <w:p w14:paraId="3EBB76F9" w14:textId="77777777" w:rsidR="005F2183" w:rsidRPr="00895E2D" w:rsidRDefault="005F2183" w:rsidP="004F4909">
      <w:pPr>
        <w:pStyle w:val="NormalWeb"/>
      </w:pPr>
    </w:p>
    <w:sectPr w:rsidR="005F2183" w:rsidRPr="00895E2D" w:rsidSect="00D536D8">
      <w:headerReference w:type="default" r:id="rId10"/>
      <w:footerReference w:type="default" r:id="rId11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79CC5" w14:textId="77777777" w:rsidR="00187590" w:rsidRDefault="00187590" w:rsidP="00D61F18">
      <w:pPr>
        <w:spacing w:after="0" w:line="240" w:lineRule="auto"/>
      </w:pPr>
      <w:r>
        <w:separator/>
      </w:r>
    </w:p>
  </w:endnote>
  <w:endnote w:type="continuationSeparator" w:id="0">
    <w:p w14:paraId="344E091D" w14:textId="77777777" w:rsidR="00187590" w:rsidRDefault="00187590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8BDF5" w14:textId="159003EB" w:rsidR="0063142D" w:rsidRDefault="0063142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199C8" w14:textId="77777777" w:rsidR="00187590" w:rsidRDefault="00187590" w:rsidP="00D61F18">
      <w:pPr>
        <w:spacing w:after="0" w:line="240" w:lineRule="auto"/>
      </w:pPr>
      <w:r>
        <w:separator/>
      </w:r>
    </w:p>
  </w:footnote>
  <w:footnote w:type="continuationSeparator" w:id="0">
    <w:p w14:paraId="07AA2E0D" w14:textId="77777777" w:rsidR="00187590" w:rsidRDefault="00187590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65517" w14:textId="29B92964" w:rsidR="0063142D" w:rsidRDefault="0063142D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6395"/>
    <w:multiLevelType w:val="multilevel"/>
    <w:tmpl w:val="36720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06C28"/>
    <w:multiLevelType w:val="hybridMultilevel"/>
    <w:tmpl w:val="FBA0EC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F6F10"/>
    <w:multiLevelType w:val="multilevel"/>
    <w:tmpl w:val="08E0E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0E7ED1"/>
    <w:multiLevelType w:val="multilevel"/>
    <w:tmpl w:val="C760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482959"/>
    <w:multiLevelType w:val="hybridMultilevel"/>
    <w:tmpl w:val="F1886F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87A07"/>
    <w:multiLevelType w:val="hybridMultilevel"/>
    <w:tmpl w:val="735876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960BA"/>
    <w:multiLevelType w:val="hybridMultilevel"/>
    <w:tmpl w:val="AFDC2654"/>
    <w:lvl w:ilvl="0" w:tplc="A4B40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3138C"/>
    <w:multiLevelType w:val="hybridMultilevel"/>
    <w:tmpl w:val="16D8BAE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6125E61"/>
    <w:multiLevelType w:val="hybridMultilevel"/>
    <w:tmpl w:val="EEEEE1C6"/>
    <w:lvl w:ilvl="0" w:tplc="A4B40C1A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E3DAC"/>
    <w:multiLevelType w:val="multilevel"/>
    <w:tmpl w:val="5532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1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18"/>
    <w:rsid w:val="0006143D"/>
    <w:rsid w:val="00081B17"/>
    <w:rsid w:val="00095A79"/>
    <w:rsid w:val="000A0777"/>
    <w:rsid w:val="000B7145"/>
    <w:rsid w:val="000F1FF4"/>
    <w:rsid w:val="00120498"/>
    <w:rsid w:val="001314EF"/>
    <w:rsid w:val="00153758"/>
    <w:rsid w:val="0017166E"/>
    <w:rsid w:val="00174ECF"/>
    <w:rsid w:val="001750B6"/>
    <w:rsid w:val="00187590"/>
    <w:rsid w:val="001A43B9"/>
    <w:rsid w:val="001B6ECA"/>
    <w:rsid w:val="001C785D"/>
    <w:rsid w:val="001D3EEB"/>
    <w:rsid w:val="00211DE3"/>
    <w:rsid w:val="00217023"/>
    <w:rsid w:val="002270F3"/>
    <w:rsid w:val="00242EEC"/>
    <w:rsid w:val="002931C3"/>
    <w:rsid w:val="002C1EB4"/>
    <w:rsid w:val="002C2077"/>
    <w:rsid w:val="002D5FB1"/>
    <w:rsid w:val="002D7D4A"/>
    <w:rsid w:val="002F3609"/>
    <w:rsid w:val="00333537"/>
    <w:rsid w:val="003478E9"/>
    <w:rsid w:val="00390751"/>
    <w:rsid w:val="003A4221"/>
    <w:rsid w:val="003A69D4"/>
    <w:rsid w:val="003C35BF"/>
    <w:rsid w:val="004333F9"/>
    <w:rsid w:val="004410A6"/>
    <w:rsid w:val="004418AF"/>
    <w:rsid w:val="00450EA5"/>
    <w:rsid w:val="00453AB3"/>
    <w:rsid w:val="00461B0B"/>
    <w:rsid w:val="004705C4"/>
    <w:rsid w:val="00483CA9"/>
    <w:rsid w:val="0048697F"/>
    <w:rsid w:val="0049157D"/>
    <w:rsid w:val="004A45FD"/>
    <w:rsid w:val="004B1D01"/>
    <w:rsid w:val="004B646F"/>
    <w:rsid w:val="004C5576"/>
    <w:rsid w:val="004D6E26"/>
    <w:rsid w:val="004E0C7C"/>
    <w:rsid w:val="004F4909"/>
    <w:rsid w:val="00520890"/>
    <w:rsid w:val="005239FA"/>
    <w:rsid w:val="005A7B60"/>
    <w:rsid w:val="005D43EC"/>
    <w:rsid w:val="005F2183"/>
    <w:rsid w:val="005F5B37"/>
    <w:rsid w:val="0063142D"/>
    <w:rsid w:val="0063747A"/>
    <w:rsid w:val="00642304"/>
    <w:rsid w:val="00660095"/>
    <w:rsid w:val="00674210"/>
    <w:rsid w:val="00684ED6"/>
    <w:rsid w:val="00686E4C"/>
    <w:rsid w:val="006E2D51"/>
    <w:rsid w:val="006E4C52"/>
    <w:rsid w:val="006F7FF7"/>
    <w:rsid w:val="00734F8B"/>
    <w:rsid w:val="00745CBF"/>
    <w:rsid w:val="00760152"/>
    <w:rsid w:val="007838DA"/>
    <w:rsid w:val="00791329"/>
    <w:rsid w:val="007A4F1E"/>
    <w:rsid w:val="007A7F06"/>
    <w:rsid w:val="007B29E8"/>
    <w:rsid w:val="00800F6E"/>
    <w:rsid w:val="00806BC9"/>
    <w:rsid w:val="008107E8"/>
    <w:rsid w:val="00812218"/>
    <w:rsid w:val="00822323"/>
    <w:rsid w:val="00827B86"/>
    <w:rsid w:val="00895E2D"/>
    <w:rsid w:val="008B3478"/>
    <w:rsid w:val="008C50A6"/>
    <w:rsid w:val="008F0C3B"/>
    <w:rsid w:val="00913B6E"/>
    <w:rsid w:val="009363CF"/>
    <w:rsid w:val="00942D4D"/>
    <w:rsid w:val="00964F52"/>
    <w:rsid w:val="009663AB"/>
    <w:rsid w:val="009727FA"/>
    <w:rsid w:val="00990F61"/>
    <w:rsid w:val="009C2713"/>
    <w:rsid w:val="009F07D8"/>
    <w:rsid w:val="009F2F7E"/>
    <w:rsid w:val="00A35FF7"/>
    <w:rsid w:val="00A40A6D"/>
    <w:rsid w:val="00A668AF"/>
    <w:rsid w:val="00A81B22"/>
    <w:rsid w:val="00A9060E"/>
    <w:rsid w:val="00AC0681"/>
    <w:rsid w:val="00AF09D0"/>
    <w:rsid w:val="00B54C74"/>
    <w:rsid w:val="00B71C61"/>
    <w:rsid w:val="00B7405F"/>
    <w:rsid w:val="00B74D0F"/>
    <w:rsid w:val="00B74F2F"/>
    <w:rsid w:val="00B83CB5"/>
    <w:rsid w:val="00B85379"/>
    <w:rsid w:val="00BC2909"/>
    <w:rsid w:val="00C1690B"/>
    <w:rsid w:val="00C510B0"/>
    <w:rsid w:val="00C82AF9"/>
    <w:rsid w:val="00C91957"/>
    <w:rsid w:val="00D00C12"/>
    <w:rsid w:val="00D10917"/>
    <w:rsid w:val="00D2337E"/>
    <w:rsid w:val="00D536D8"/>
    <w:rsid w:val="00D61F18"/>
    <w:rsid w:val="00DE2C59"/>
    <w:rsid w:val="00DF6617"/>
    <w:rsid w:val="00E03430"/>
    <w:rsid w:val="00E048A0"/>
    <w:rsid w:val="00E13A34"/>
    <w:rsid w:val="00E31266"/>
    <w:rsid w:val="00EB7930"/>
    <w:rsid w:val="00EE5B1D"/>
    <w:rsid w:val="00EF3058"/>
    <w:rsid w:val="00F65169"/>
    <w:rsid w:val="00F70560"/>
    <w:rsid w:val="00FE0E2A"/>
    <w:rsid w:val="00FE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3C35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A4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C785D"/>
    <w:rPr>
      <w:b/>
      <w:bCs/>
    </w:rPr>
  </w:style>
  <w:style w:type="character" w:styleId="nfase">
    <w:name w:val="Emphasis"/>
    <w:basedOn w:val="Fontepargpadro"/>
    <w:uiPriority w:val="20"/>
    <w:qFormat/>
    <w:rsid w:val="001C785D"/>
    <w:rPr>
      <w:i/>
      <w:iCs/>
    </w:rPr>
  </w:style>
  <w:style w:type="paragraph" w:styleId="SemEspaamento">
    <w:name w:val="No Spacing"/>
    <w:uiPriority w:val="1"/>
    <w:qFormat/>
    <w:rsid w:val="004333F9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A0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07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492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041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4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806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04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1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zandravasconcelos@ufam.edu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mel1902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14</Pages>
  <Words>4353</Words>
  <Characters>23510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Carmel do Nascimento Pereira</cp:lastModifiedBy>
  <cp:revision>35</cp:revision>
  <cp:lastPrinted>2025-09-10T15:49:00Z</cp:lastPrinted>
  <dcterms:created xsi:type="dcterms:W3CDTF">2025-09-08T15:51:00Z</dcterms:created>
  <dcterms:modified xsi:type="dcterms:W3CDTF">2025-09-10T22:21:00Z</dcterms:modified>
</cp:coreProperties>
</file>