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3270" w:rsidRDefault="002713C8" w:rsidP="00EF6085">
      <w:pPr>
        <w:spacing w:before="240" w:after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GEOMETRIA NOS ANOS INICIAIS: UTILIZAN</w:t>
      </w:r>
      <w:r w:rsidR="00713362">
        <w:rPr>
          <w:b/>
          <w:sz w:val="24"/>
          <w:szCs w:val="24"/>
        </w:rPr>
        <w:t>DO TDICS PARA O ENSINO DE FORMAS</w:t>
      </w:r>
      <w:bookmarkStart w:id="0" w:name="_GoBack"/>
      <w:bookmarkEnd w:id="0"/>
      <w:r>
        <w:rPr>
          <w:b/>
          <w:sz w:val="24"/>
          <w:szCs w:val="24"/>
        </w:rPr>
        <w:t xml:space="preserve"> GEOMÉTRICAS</w:t>
      </w:r>
    </w:p>
    <w:p w:rsidR="00DF3270" w:rsidRPr="00EF05AD" w:rsidRDefault="00DB01A4">
      <w:pPr>
        <w:spacing w:line="240" w:lineRule="auto"/>
        <w:jc w:val="right"/>
        <w:rPr>
          <w:sz w:val="20"/>
          <w:szCs w:val="24"/>
        </w:rPr>
      </w:pPr>
      <w:r>
        <w:rPr>
          <w:sz w:val="20"/>
          <w:szCs w:val="24"/>
        </w:rPr>
        <w:t xml:space="preserve">Claudia de Oliveira </w:t>
      </w:r>
      <w:proofErr w:type="spellStart"/>
      <w:r>
        <w:rPr>
          <w:sz w:val="20"/>
          <w:szCs w:val="24"/>
        </w:rPr>
        <w:t>Lozada</w:t>
      </w:r>
      <w:proofErr w:type="spellEnd"/>
    </w:p>
    <w:p w:rsidR="00DF3270" w:rsidRPr="00EF05AD" w:rsidRDefault="00DB01A4">
      <w:pPr>
        <w:spacing w:line="240" w:lineRule="auto"/>
        <w:jc w:val="right"/>
        <w:rPr>
          <w:sz w:val="20"/>
          <w:szCs w:val="24"/>
        </w:rPr>
      </w:pPr>
      <w:r>
        <w:rPr>
          <w:sz w:val="20"/>
          <w:szCs w:val="24"/>
        </w:rPr>
        <w:t>Universidade Federal de Alagoas</w:t>
      </w:r>
    </w:p>
    <w:p w:rsidR="00DF3270" w:rsidRPr="00DB01A4" w:rsidRDefault="00DB01A4" w:rsidP="00DB01A4">
      <w:pPr>
        <w:spacing w:after="60" w:line="240" w:lineRule="auto"/>
        <w:jc w:val="right"/>
        <w:rPr>
          <w:sz w:val="20"/>
          <w:szCs w:val="24"/>
        </w:rPr>
      </w:pPr>
      <w:r>
        <w:rPr>
          <w:sz w:val="20"/>
          <w:szCs w:val="24"/>
        </w:rPr>
        <w:t>clalloz@yahoo.com.br</w:t>
      </w:r>
    </w:p>
    <w:p w:rsidR="00DB01A4" w:rsidRDefault="002713C8" w:rsidP="00EF6085">
      <w:pPr>
        <w:spacing w:line="360" w:lineRule="auto"/>
        <w:ind w:firstLine="700"/>
        <w:jc w:val="both"/>
        <w:rPr>
          <w:sz w:val="24"/>
          <w:szCs w:val="24"/>
        </w:rPr>
      </w:pPr>
      <w:r w:rsidRPr="002713C8">
        <w:rPr>
          <w:sz w:val="24"/>
          <w:szCs w:val="24"/>
        </w:rPr>
        <w:t xml:space="preserve">Este trabalho traz os resultados iniciais de uma pesquisa qualitativa que </w:t>
      </w:r>
      <w:r w:rsidR="00DD0A45">
        <w:rPr>
          <w:sz w:val="24"/>
          <w:szCs w:val="24"/>
        </w:rPr>
        <w:t xml:space="preserve">está sendo desenvolvida pelo grupo </w:t>
      </w:r>
      <w:proofErr w:type="spellStart"/>
      <w:r w:rsidR="00DD0A45">
        <w:rPr>
          <w:sz w:val="24"/>
          <w:szCs w:val="24"/>
        </w:rPr>
        <w:t>Matedtec</w:t>
      </w:r>
      <w:proofErr w:type="spellEnd"/>
      <w:r w:rsidR="00DD0A45">
        <w:rPr>
          <w:sz w:val="24"/>
          <w:szCs w:val="24"/>
        </w:rPr>
        <w:t xml:space="preserve"> do Instituto de Matemática (UFAL) e que </w:t>
      </w:r>
      <w:r w:rsidRPr="002713C8">
        <w:rPr>
          <w:sz w:val="24"/>
          <w:szCs w:val="24"/>
        </w:rPr>
        <w:t xml:space="preserve">aborda o uso de tecnologias digitais de informação e comunicação </w:t>
      </w:r>
      <w:r w:rsidR="00DD0A45">
        <w:rPr>
          <w:sz w:val="24"/>
          <w:szCs w:val="24"/>
        </w:rPr>
        <w:t>(</w:t>
      </w:r>
      <w:proofErr w:type="spellStart"/>
      <w:r w:rsidR="00DD0A45">
        <w:rPr>
          <w:sz w:val="24"/>
          <w:szCs w:val="24"/>
        </w:rPr>
        <w:t>TDICs</w:t>
      </w:r>
      <w:proofErr w:type="spellEnd"/>
      <w:r w:rsidR="00DD0A45">
        <w:rPr>
          <w:sz w:val="24"/>
          <w:szCs w:val="24"/>
        </w:rPr>
        <w:t xml:space="preserve">) </w:t>
      </w:r>
      <w:r w:rsidRPr="002713C8">
        <w:rPr>
          <w:sz w:val="24"/>
          <w:szCs w:val="24"/>
        </w:rPr>
        <w:t>para o ensino de geometria nos anos iniciais</w:t>
      </w:r>
      <w:r w:rsidR="00D74418">
        <w:rPr>
          <w:sz w:val="24"/>
          <w:szCs w:val="24"/>
        </w:rPr>
        <w:t>, no caso, as formas geométricas</w:t>
      </w:r>
      <w:r w:rsidRPr="002713C8">
        <w:rPr>
          <w:sz w:val="24"/>
          <w:szCs w:val="24"/>
        </w:rPr>
        <w:t>. Para tanto, realizamos um levantamento bibliográfico para identificar os principais referenciais teóricos que abordam o pensamento geométrico, seguido de uma análise das habilidades previstas pela BNCC e mapeamento de jogos online para o ensino de formas geométricas nos anos inic</w:t>
      </w:r>
      <w:r w:rsidR="00437F1C">
        <w:rPr>
          <w:sz w:val="24"/>
          <w:szCs w:val="24"/>
        </w:rPr>
        <w:t>iais e como foco no 1º ano</w:t>
      </w:r>
      <w:r w:rsidRPr="002713C8">
        <w:rPr>
          <w:sz w:val="24"/>
          <w:szCs w:val="24"/>
        </w:rPr>
        <w:t xml:space="preserve">. </w:t>
      </w:r>
      <w:r w:rsidR="00DD0A45">
        <w:rPr>
          <w:sz w:val="24"/>
          <w:szCs w:val="24"/>
        </w:rPr>
        <w:t xml:space="preserve">A BNCC (BRASIL, 2018) coloca que nos anos iniciais </w:t>
      </w:r>
      <w:r w:rsidR="00607D73">
        <w:rPr>
          <w:sz w:val="24"/>
          <w:szCs w:val="24"/>
        </w:rPr>
        <w:t xml:space="preserve">em relação à Geometria, </w:t>
      </w:r>
      <w:r w:rsidR="00D74418">
        <w:rPr>
          <w:sz w:val="24"/>
          <w:szCs w:val="24"/>
        </w:rPr>
        <w:t xml:space="preserve">os professores devem retomar as vivências que os alunos tiveram em relação às formas e </w:t>
      </w:r>
      <w:r w:rsidR="00D74418" w:rsidRPr="00D74418">
        <w:rPr>
          <w:color w:val="000000" w:themeColor="text1"/>
          <w:sz w:val="24"/>
          <w:szCs w:val="24"/>
        </w:rPr>
        <w:t xml:space="preserve">espaço, </w:t>
      </w:r>
      <w:r w:rsidR="00D74418" w:rsidRPr="00D74418">
        <w:rPr>
          <w:rStyle w:val="nfaseSutil"/>
          <w:i w:val="0"/>
          <w:color w:val="000000" w:themeColor="text1"/>
          <w:sz w:val="24"/>
          <w:szCs w:val="24"/>
        </w:rPr>
        <w:t xml:space="preserve">de modo que os alunos possam identificar formas geométricas bidimensionais e tridimensionais, associando figuras espaciais com suas planificações, bem como espera-se que os alunos nomeiem e comparem polígonos por meio de suas propriedades, tais como lados, vértices e ângulos. Para tanto, a BNCC recomenda que </w:t>
      </w:r>
      <w:r w:rsidR="00D74418" w:rsidRPr="00D74418">
        <w:rPr>
          <w:color w:val="000000" w:themeColor="text1"/>
          <w:sz w:val="24"/>
          <w:szCs w:val="24"/>
        </w:rPr>
        <w:t xml:space="preserve">os professores devem possibilitar situações lúdicas de </w:t>
      </w:r>
      <w:r w:rsidR="00D74418">
        <w:rPr>
          <w:sz w:val="24"/>
          <w:szCs w:val="24"/>
        </w:rPr>
        <w:t>aprendizagem, e para tanto, os materiais concretos e digitais, podem auxiliar no processo de aprendizagem dos conceitos geométricos.</w:t>
      </w:r>
      <w:r w:rsidR="00FA27F1">
        <w:rPr>
          <w:sz w:val="24"/>
          <w:szCs w:val="24"/>
        </w:rPr>
        <w:t xml:space="preserve"> Nesse sentido, </w:t>
      </w:r>
      <w:proofErr w:type="spellStart"/>
      <w:r w:rsidR="00F129C6">
        <w:rPr>
          <w:sz w:val="24"/>
          <w:szCs w:val="24"/>
        </w:rPr>
        <w:t>Kuzle</w:t>
      </w:r>
      <w:proofErr w:type="spellEnd"/>
      <w:r w:rsidR="00F129C6">
        <w:rPr>
          <w:sz w:val="24"/>
          <w:szCs w:val="24"/>
        </w:rPr>
        <w:t xml:space="preserve"> (2023) fala em didática da geometria e potencial geométrico</w:t>
      </w:r>
      <w:r w:rsidR="00A94EE6">
        <w:rPr>
          <w:sz w:val="24"/>
          <w:szCs w:val="24"/>
        </w:rPr>
        <w:t xml:space="preserve"> da didática e dos materiais utilizados nas aulas sendo composto por 8 categorias: motivação</w:t>
      </w:r>
      <w:r w:rsidR="00980B5F">
        <w:rPr>
          <w:sz w:val="24"/>
          <w:szCs w:val="24"/>
        </w:rPr>
        <w:t xml:space="preserve"> (materiais que levem os alunos a experimentação), ambientes de aprendizagem sustentáveis (ambiente de aprendizagem cooperativo), resolução de problemas (as aulas de geometria devem possibilitar o desenvolvimento de habilidades de resolução de problemas), compreensão da realidade (aprender geometria ajuda a desenvolver competências que são utilizados no dia a dia), capacidade de visualização espacial (capacidade de orientar-se no espaço e realizar operações mentalmente), aquisição de conceitos aritméticos (a geometria dá suporte </w:t>
      </w:r>
      <w:r w:rsidR="00980B5F">
        <w:rPr>
          <w:sz w:val="24"/>
          <w:szCs w:val="24"/>
        </w:rPr>
        <w:lastRenderedPageBreak/>
        <w:t>e complementa a aquisição de conceitos geométricos, formação de conceitos geométricos e conhecimentos básicos (a geometria faz do conhecimento geral e fornece uma base para a compreensão de outros conteúdos matemáticos e da história da Matemática). Na BNCC (BRASIL, 2018) os conceitos inic</w:t>
      </w:r>
      <w:r w:rsidR="00437F1C">
        <w:rPr>
          <w:sz w:val="24"/>
          <w:szCs w:val="24"/>
        </w:rPr>
        <w:t xml:space="preserve">iais de geometria no 1º ano se concentram em localização de objetos e pessoas e reconhecimento de figuras geométricas espaciais e planas.  Para tanto, em relação ao reconhecimento de figuras planas propomos uma sequência didática que envolva o uso material concreto, no caso os blocos lógicos para o reconhecimento inicial com o qual os alunos podem manipular identificando a forma e relacionando com objetos do cotidiano. Visando uma abordagem lúdica que possibilitará reforçar o trabalho sobre reconhecimento de figuras planas, propomos o uso do jogo online “Road </w:t>
      </w:r>
      <w:proofErr w:type="spellStart"/>
      <w:r w:rsidR="00437F1C">
        <w:rPr>
          <w:sz w:val="24"/>
          <w:szCs w:val="24"/>
        </w:rPr>
        <w:t>Repair</w:t>
      </w:r>
      <w:proofErr w:type="spellEnd"/>
      <w:r w:rsidR="00437F1C">
        <w:rPr>
          <w:sz w:val="24"/>
          <w:szCs w:val="24"/>
        </w:rPr>
        <w:t>” no qual o aluno poderá identificar as formas geométricas planas e completar o caminho pelo qual o personagem irá passar. Em cada etapa o personagem aborda um tipo de fi</w:t>
      </w:r>
      <w:r w:rsidR="00DB01A4">
        <w:rPr>
          <w:sz w:val="24"/>
          <w:szCs w:val="24"/>
        </w:rPr>
        <w:t>gura plana, como quadriláteros e seus tipos, triângulos e seus tipos, e nas etapas posteriores a combinação de figuras, como vemos abaixo:</w:t>
      </w:r>
    </w:p>
    <w:p w:rsidR="00DB01A4" w:rsidRPr="00DB01A4" w:rsidRDefault="00DB01A4" w:rsidP="00EF6085">
      <w:pPr>
        <w:spacing w:line="240" w:lineRule="auto"/>
        <w:ind w:firstLine="700"/>
        <w:jc w:val="center"/>
      </w:pPr>
      <w:r w:rsidRPr="00DB01A4">
        <w:t>Figura 1: Jogo sobre as formas geométricas planas</w:t>
      </w:r>
    </w:p>
    <w:p w:rsidR="00D74418" w:rsidRDefault="00DB01A4" w:rsidP="00EF6085">
      <w:pPr>
        <w:spacing w:line="24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1F522DB" wp14:editId="41619739">
            <wp:extent cx="1168997" cy="627303"/>
            <wp:effectExtent l="0" t="0" r="0" b="190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779" t="35755" r="20962" b="7683"/>
                    <a:stretch/>
                  </pic:blipFill>
                  <pic:spPr bwMode="auto">
                    <a:xfrm>
                      <a:off x="0" y="0"/>
                      <a:ext cx="1192079" cy="639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749A8B" wp14:editId="405986BF">
            <wp:extent cx="1194816" cy="648982"/>
            <wp:effectExtent l="0" t="0" r="571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564" t="34988" r="21315" b="7891"/>
                    <a:stretch/>
                  </pic:blipFill>
                  <pic:spPr bwMode="auto">
                    <a:xfrm>
                      <a:off x="0" y="0"/>
                      <a:ext cx="1206472" cy="655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0F106B" wp14:editId="33F5AE37">
            <wp:extent cx="1182624" cy="638276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989" t="36122" r="21101" b="7322"/>
                    <a:stretch/>
                  </pic:blipFill>
                  <pic:spPr bwMode="auto">
                    <a:xfrm>
                      <a:off x="0" y="0"/>
                      <a:ext cx="1199430" cy="647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BDDCEC" wp14:editId="2DD11E08">
            <wp:extent cx="1182624" cy="631871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882" t="36122" r="21207" b="7890"/>
                    <a:stretch/>
                  </pic:blipFill>
                  <pic:spPr bwMode="auto">
                    <a:xfrm>
                      <a:off x="0" y="0"/>
                      <a:ext cx="1192476" cy="637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01A4" w:rsidRPr="00DB01A4" w:rsidRDefault="00DB01A4" w:rsidP="00EF6085">
      <w:pPr>
        <w:spacing w:line="240" w:lineRule="auto"/>
        <w:jc w:val="center"/>
        <w:rPr>
          <w:sz w:val="20"/>
          <w:szCs w:val="20"/>
        </w:rPr>
      </w:pPr>
      <w:r w:rsidRPr="00DB01A4">
        <w:rPr>
          <w:sz w:val="20"/>
          <w:szCs w:val="20"/>
        </w:rPr>
        <w:t xml:space="preserve">Fonte: Site </w:t>
      </w:r>
      <w:proofErr w:type="spellStart"/>
      <w:r w:rsidRPr="00DB01A4">
        <w:rPr>
          <w:sz w:val="20"/>
          <w:szCs w:val="20"/>
        </w:rPr>
        <w:t>PBSKids</w:t>
      </w:r>
      <w:proofErr w:type="spellEnd"/>
      <w:r w:rsidRPr="00DB01A4">
        <w:rPr>
          <w:sz w:val="20"/>
          <w:szCs w:val="20"/>
        </w:rPr>
        <w:t xml:space="preserve"> (2023)</w:t>
      </w:r>
      <w:r w:rsidR="00EF6085">
        <w:rPr>
          <w:sz w:val="20"/>
          <w:szCs w:val="20"/>
        </w:rPr>
        <w:t xml:space="preserve"> - </w:t>
      </w:r>
      <w:r w:rsidR="00EF6085" w:rsidRPr="00EF6085">
        <w:rPr>
          <w:sz w:val="20"/>
          <w:szCs w:val="20"/>
        </w:rPr>
        <w:t>https://pbskids.org/wombats/games/road-repair</w:t>
      </w:r>
    </w:p>
    <w:p w:rsidR="00DB01A4" w:rsidRDefault="00DB01A4" w:rsidP="00EF6085">
      <w:pPr>
        <w:spacing w:before="240" w:after="24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O jogo online sugerido traz uma abordagem lúdica do conteúdo geométrico, p</w:t>
      </w:r>
      <w:r w:rsidR="00EF6085">
        <w:rPr>
          <w:sz w:val="24"/>
          <w:szCs w:val="24"/>
        </w:rPr>
        <w:t>ossibilitando ao aluno reconhecer</w:t>
      </w:r>
      <w:r>
        <w:rPr>
          <w:sz w:val="24"/>
          <w:szCs w:val="24"/>
        </w:rPr>
        <w:t>, experimentar</w:t>
      </w:r>
      <w:r w:rsidR="00EF6085">
        <w:rPr>
          <w:sz w:val="24"/>
          <w:szCs w:val="24"/>
        </w:rPr>
        <w:t>,</w:t>
      </w:r>
      <w:r w:rsidRPr="00DB01A4">
        <w:rPr>
          <w:sz w:val="24"/>
          <w:szCs w:val="24"/>
        </w:rPr>
        <w:t xml:space="preserve"> </w:t>
      </w:r>
      <w:r w:rsidR="00EF6085">
        <w:rPr>
          <w:sz w:val="24"/>
          <w:szCs w:val="24"/>
        </w:rPr>
        <w:t>compor e decompor figuras, além de conectar com o que foi aprendido com os blocos lógicos, sendo um material potencial significativo para o desenvolvimento do pensamento geométrico nos anos iniciais, além de inserir o aluno na cultura digital, conforme prevê a BNCC.</w:t>
      </w:r>
    </w:p>
    <w:p w:rsidR="00DF3270" w:rsidRDefault="00EB4619" w:rsidP="00EF6085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REFERÊNCIAS </w:t>
      </w:r>
    </w:p>
    <w:p w:rsidR="00980B5F" w:rsidRPr="00717888" w:rsidRDefault="00980B5F" w:rsidP="00EF6085">
      <w:pPr>
        <w:spacing w:line="360" w:lineRule="auto"/>
        <w:jc w:val="both"/>
        <w:rPr>
          <w:sz w:val="24"/>
          <w:szCs w:val="24"/>
          <w:lang w:val="en-US"/>
        </w:rPr>
      </w:pPr>
      <w:r w:rsidRPr="00437F1C">
        <w:rPr>
          <w:sz w:val="24"/>
          <w:szCs w:val="24"/>
        </w:rPr>
        <w:t xml:space="preserve">BRASIL. </w:t>
      </w:r>
      <w:r w:rsidRPr="00EF6085">
        <w:rPr>
          <w:b/>
          <w:sz w:val="24"/>
          <w:szCs w:val="24"/>
        </w:rPr>
        <w:t>Base nacional comum curricular</w:t>
      </w:r>
      <w:r w:rsidRPr="00717888">
        <w:rPr>
          <w:sz w:val="24"/>
          <w:szCs w:val="24"/>
        </w:rPr>
        <w:t xml:space="preserve">. </w:t>
      </w:r>
      <w:r w:rsidRPr="00717888">
        <w:rPr>
          <w:sz w:val="24"/>
          <w:szCs w:val="24"/>
          <w:lang w:val="en-US"/>
        </w:rPr>
        <w:t>Brasília: MEC, 2018.</w:t>
      </w:r>
    </w:p>
    <w:p w:rsidR="00980B5F" w:rsidRPr="00717888" w:rsidRDefault="00980B5F" w:rsidP="00EF6085">
      <w:pPr>
        <w:spacing w:line="360" w:lineRule="auto"/>
        <w:jc w:val="both"/>
        <w:rPr>
          <w:sz w:val="24"/>
          <w:szCs w:val="24"/>
          <w:lang w:val="en-US"/>
        </w:rPr>
      </w:pPr>
      <w:r w:rsidRPr="00717888">
        <w:rPr>
          <w:sz w:val="24"/>
          <w:szCs w:val="24"/>
          <w:lang w:val="en-US"/>
        </w:rPr>
        <w:t>KUZLE, A. Ge</w:t>
      </w:r>
      <w:r w:rsidR="00717888" w:rsidRPr="00717888">
        <w:rPr>
          <w:sz w:val="24"/>
          <w:szCs w:val="24"/>
          <w:lang w:val="en-US"/>
        </w:rPr>
        <w:t>ometry teaching in t</w:t>
      </w:r>
      <w:r w:rsidRPr="00717888">
        <w:rPr>
          <w:sz w:val="24"/>
          <w:szCs w:val="24"/>
          <w:lang w:val="en-US"/>
        </w:rPr>
        <w:t xml:space="preserve">ransition: </w:t>
      </w:r>
      <w:r w:rsidR="00717888" w:rsidRPr="00717888">
        <w:rPr>
          <w:sz w:val="24"/>
          <w:szCs w:val="24"/>
          <w:lang w:val="en-US"/>
        </w:rPr>
        <w:t xml:space="preserve">an </w:t>
      </w:r>
      <w:r w:rsidR="00EF6085">
        <w:rPr>
          <w:sz w:val="24"/>
          <w:szCs w:val="24"/>
          <w:lang w:val="en-US"/>
        </w:rPr>
        <w:t>i</w:t>
      </w:r>
      <w:r w:rsidRPr="00717888">
        <w:rPr>
          <w:sz w:val="24"/>
          <w:szCs w:val="24"/>
          <w:lang w:val="en-US"/>
        </w:rPr>
        <w:t xml:space="preserve">nvestigation </w:t>
      </w:r>
      <w:r w:rsidR="00717888" w:rsidRPr="00717888">
        <w:rPr>
          <w:sz w:val="24"/>
          <w:szCs w:val="24"/>
          <w:lang w:val="en-US"/>
        </w:rPr>
        <w:t>on the i</w:t>
      </w:r>
      <w:r w:rsidRPr="00717888">
        <w:rPr>
          <w:sz w:val="24"/>
          <w:szCs w:val="24"/>
          <w:lang w:val="en-US"/>
        </w:rPr>
        <w:t>mport</w:t>
      </w:r>
      <w:r w:rsidR="00717888" w:rsidRPr="00717888">
        <w:rPr>
          <w:sz w:val="24"/>
          <w:szCs w:val="24"/>
          <w:lang w:val="en-US"/>
        </w:rPr>
        <w:t>ance of school geometry in p</w:t>
      </w:r>
      <w:r w:rsidRPr="00717888">
        <w:rPr>
          <w:sz w:val="24"/>
          <w:szCs w:val="24"/>
          <w:lang w:val="en-US"/>
        </w:rPr>
        <w:t xml:space="preserve">rimary </w:t>
      </w:r>
      <w:r w:rsidR="00717888" w:rsidRPr="00717888">
        <w:rPr>
          <w:sz w:val="24"/>
          <w:szCs w:val="24"/>
          <w:lang w:val="en-US"/>
        </w:rPr>
        <w:t>e</w:t>
      </w:r>
      <w:r w:rsidRPr="00717888">
        <w:rPr>
          <w:sz w:val="24"/>
          <w:szCs w:val="24"/>
          <w:lang w:val="en-US"/>
        </w:rPr>
        <w:t xml:space="preserve">ducation. </w:t>
      </w:r>
      <w:r w:rsidRPr="00EF6085">
        <w:rPr>
          <w:b/>
          <w:sz w:val="24"/>
          <w:szCs w:val="24"/>
          <w:lang w:val="en-US"/>
        </w:rPr>
        <w:t>CEPS Journal</w:t>
      </w:r>
      <w:r w:rsidR="00EF6085">
        <w:rPr>
          <w:sz w:val="24"/>
          <w:szCs w:val="24"/>
          <w:lang w:val="en-US"/>
        </w:rPr>
        <w:t>, v. 13, n.2, p. 98 – 123, 2023.</w:t>
      </w:r>
    </w:p>
    <w:p w:rsidR="00DF3270" w:rsidRPr="00980B5F" w:rsidRDefault="00DF3270" w:rsidP="00077E70">
      <w:pPr>
        <w:spacing w:before="240" w:after="240"/>
        <w:jc w:val="both"/>
        <w:rPr>
          <w:lang w:val="en-US"/>
        </w:rPr>
      </w:pPr>
    </w:p>
    <w:sectPr w:rsidR="00DF3270" w:rsidRPr="00980B5F" w:rsidSect="00EF6085">
      <w:headerReference w:type="default" r:id="rId10"/>
      <w:pgSz w:w="11909" w:h="16834"/>
      <w:pgMar w:top="1440" w:right="1440" w:bottom="1134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1BE6" w:rsidRDefault="00301BE6">
      <w:pPr>
        <w:spacing w:line="240" w:lineRule="auto"/>
      </w:pPr>
      <w:r>
        <w:separator/>
      </w:r>
    </w:p>
  </w:endnote>
  <w:endnote w:type="continuationSeparator" w:id="0">
    <w:p w:rsidR="00301BE6" w:rsidRDefault="00301BE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altName w:val="Calibri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1BE6" w:rsidRDefault="00301BE6">
      <w:pPr>
        <w:spacing w:line="240" w:lineRule="auto"/>
      </w:pPr>
      <w:r>
        <w:separator/>
      </w:r>
    </w:p>
  </w:footnote>
  <w:footnote w:type="continuationSeparator" w:id="0">
    <w:p w:rsidR="00301BE6" w:rsidRDefault="00301BE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3270" w:rsidRDefault="00077E70" w:rsidP="00077E70">
    <w:pPr>
      <w:jc w:val="right"/>
    </w:pPr>
    <w:r w:rsidRPr="00077E70">
      <w:rPr>
        <w:noProof/>
      </w:rPr>
      <w:drawing>
        <wp:inline distT="0" distB="0" distL="0" distR="0">
          <wp:extent cx="5726570" cy="1048512"/>
          <wp:effectExtent l="0" t="0" r="0" b="0"/>
          <wp:docPr id="8" name="Imagem 8" descr="C:\Users\Carloney\Desktop\AT\EVENTO TEMA 2023\LOGOMARCA\LOGO FUNDO TRANSP HORIZONT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Carloney\Desktop\AT\EVENTO TEMA 2023\LOGOMARCA\LOGO FUNDO TRANSP HORIZONT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89993" cy="10601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77E70" w:rsidRPr="00EF05AD" w:rsidRDefault="00EF05AD" w:rsidP="00EF05AD">
    <w:pPr>
      <w:tabs>
        <w:tab w:val="center" w:pos="4514"/>
        <w:tab w:val="right" w:pos="9029"/>
      </w:tabs>
      <w:spacing w:line="240" w:lineRule="auto"/>
      <w:rPr>
        <w:rFonts w:ascii="Arial Rounded MT Bold" w:hAnsi="Arial Rounded MT Bold"/>
        <w:color w:val="002060"/>
      </w:rPr>
    </w:pPr>
    <w:r>
      <w:rPr>
        <w:rFonts w:ascii="Arial Rounded MT Bold" w:hAnsi="Arial Rounded MT Bold"/>
        <w:color w:val="002060"/>
      </w:rPr>
      <w:tab/>
    </w:r>
    <w:r>
      <w:rPr>
        <w:rFonts w:ascii="Arial Rounded MT Bold" w:hAnsi="Arial Rounded MT Bold"/>
        <w:color w:val="002060"/>
      </w:rPr>
      <w:tab/>
    </w:r>
    <w:r w:rsidR="00077E70" w:rsidRPr="00EF05AD">
      <w:rPr>
        <w:rFonts w:ascii="Arial Rounded MT Bold" w:hAnsi="Arial Rounded MT Bold"/>
        <w:color w:val="002060"/>
      </w:rPr>
      <w:t>18 a 20 de outubro de 2023</w:t>
    </w:r>
  </w:p>
  <w:p w:rsidR="00077E70" w:rsidRDefault="00077E70" w:rsidP="00077E70">
    <w:pPr>
      <w:jc w:val="right"/>
      <w:rPr>
        <w:rFonts w:ascii="Arial Rounded MT Bold" w:hAnsi="Arial Rounded MT Bold"/>
        <w:color w:val="002060"/>
      </w:rPr>
    </w:pPr>
    <w:r w:rsidRPr="00EF05AD">
      <w:rPr>
        <w:rFonts w:ascii="Arial Rounded MT Bold" w:hAnsi="Arial Rounded MT Bold"/>
        <w:color w:val="002060"/>
      </w:rPr>
      <w:t>ISSN: 2764-9059</w:t>
    </w:r>
  </w:p>
  <w:p w:rsidR="00EF05AD" w:rsidRPr="00EF05AD" w:rsidRDefault="00301BE6" w:rsidP="00077E70">
    <w:pPr>
      <w:jc w:val="right"/>
      <w:rPr>
        <w:rFonts w:ascii="Arial Rounded MT Bold" w:hAnsi="Arial Rounded MT Bold"/>
        <w:color w:val="002060"/>
      </w:rPr>
    </w:pPr>
    <w:r>
      <w:pict>
        <v:rect id="_x0000_i1025" style="width:0;height:1.5pt" o:hralign="center" o:hrstd="t" o:hr="t" fillcolor="#a0a0a0" stroked="f"/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270"/>
    <w:rsid w:val="00077E70"/>
    <w:rsid w:val="002713C8"/>
    <w:rsid w:val="00301BE6"/>
    <w:rsid w:val="00437F1C"/>
    <w:rsid w:val="00607D73"/>
    <w:rsid w:val="00713362"/>
    <w:rsid w:val="00717888"/>
    <w:rsid w:val="00980B5F"/>
    <w:rsid w:val="00981D0A"/>
    <w:rsid w:val="00A94EE6"/>
    <w:rsid w:val="00B53809"/>
    <w:rsid w:val="00D74418"/>
    <w:rsid w:val="00DB01A4"/>
    <w:rsid w:val="00DD0A45"/>
    <w:rsid w:val="00DF3270"/>
    <w:rsid w:val="00EB4619"/>
    <w:rsid w:val="00EF05AD"/>
    <w:rsid w:val="00EF6085"/>
    <w:rsid w:val="00F129C6"/>
    <w:rsid w:val="00FA27F1"/>
    <w:rsid w:val="00FE2C03"/>
    <w:rsid w:val="00FE6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27CEAD"/>
  <w15:docId w15:val="{E9E0D619-B56D-4756-825A-809D2695B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077E7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77E70"/>
  </w:style>
  <w:style w:type="paragraph" w:styleId="Rodap">
    <w:name w:val="footer"/>
    <w:basedOn w:val="Normal"/>
    <w:link w:val="RodapChar"/>
    <w:uiPriority w:val="99"/>
    <w:unhideWhenUsed/>
    <w:rsid w:val="00077E7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77E70"/>
  </w:style>
  <w:style w:type="character" w:styleId="nfaseSutil">
    <w:name w:val="Subtle Emphasis"/>
    <w:basedOn w:val="Fontepargpadro"/>
    <w:uiPriority w:val="19"/>
    <w:qFormat/>
    <w:rsid w:val="00D74418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08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73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23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637</Words>
  <Characters>3446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Carloney Alves de Oliveira</dc:creator>
  <cp:lastModifiedBy>Carloney</cp:lastModifiedBy>
  <cp:revision>2</cp:revision>
  <dcterms:created xsi:type="dcterms:W3CDTF">2023-09-30T02:04:00Z</dcterms:created>
  <dcterms:modified xsi:type="dcterms:W3CDTF">2023-09-30T02:04:00Z</dcterms:modified>
</cp:coreProperties>
</file>