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B2" w:rsidRDefault="004233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2977" w:type="dxa"/>
        <w:tblInd w:w="7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</w:tblGrid>
      <w:tr w:rsidR="004233B2">
        <w:tc>
          <w:tcPr>
            <w:tcW w:w="2977" w:type="dxa"/>
          </w:tcPr>
          <w:p w:rsidR="004233B2" w:rsidRDefault="005F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dobe Devanagari" w:eastAsia="Adobe Devanagari" w:hAnsi="Adobe Devanagari" w:cs="Adobe Devanagari"/>
                <w:b/>
                <w:i/>
                <w:color w:val="385623"/>
                <w:sz w:val="24"/>
                <w:szCs w:val="24"/>
              </w:rPr>
            </w:pPr>
            <w:r>
              <w:rPr>
                <w:rFonts w:ascii="Adobe Devanagari" w:eastAsia="Adobe Devanagari" w:hAnsi="Adobe Devanagari" w:cs="Adobe Devanagari"/>
                <w:b/>
                <w:i/>
                <w:color w:val="385623"/>
                <w:sz w:val="24"/>
                <w:szCs w:val="24"/>
              </w:rPr>
              <w:t>Resumo simples</w:t>
            </w:r>
          </w:p>
        </w:tc>
      </w:tr>
    </w:tbl>
    <w:p w:rsidR="004233B2" w:rsidRDefault="00423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385623"/>
          <w:sz w:val="28"/>
          <w:szCs w:val="28"/>
        </w:rPr>
      </w:pPr>
    </w:p>
    <w:p w:rsidR="004233B2" w:rsidRDefault="005F4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</w:pPr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ATIVIDADE LARVICIDA DO ÓLEO ESSENCIAL MICROENCAPSULADO DE </w:t>
      </w:r>
      <w:r>
        <w:rPr>
          <w:rFonts w:ascii="Adobe Devanagari" w:eastAsia="Adobe Devanagari" w:hAnsi="Adobe Devanagari" w:cs="Adobe Devanagari"/>
          <w:b/>
          <w:i/>
          <w:color w:val="385623"/>
          <w:sz w:val="28"/>
          <w:szCs w:val="28"/>
        </w:rPr>
        <w:t xml:space="preserve">Eucalyptus globulus </w:t>
      </w:r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Labill FRENTE A LARVAS </w:t>
      </w:r>
      <w:r>
        <w:rPr>
          <w:rFonts w:ascii="Adobe Devanagari" w:eastAsia="Adobe Devanagari" w:hAnsi="Adobe Devanagari" w:cs="Adobe Devanagari"/>
          <w:b/>
          <w:i/>
          <w:color w:val="385623"/>
          <w:sz w:val="28"/>
          <w:szCs w:val="28"/>
        </w:rPr>
        <w:t>Aedes aegypti</w:t>
      </w:r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 L. (Diptera: Culicidae)</w:t>
      </w:r>
    </w:p>
    <w:p w:rsidR="004233B2" w:rsidRDefault="00423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385623"/>
          <w:sz w:val="28"/>
          <w:szCs w:val="28"/>
        </w:rPr>
      </w:pPr>
    </w:p>
    <w:p w:rsidR="004233B2" w:rsidRDefault="00423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</w:pPr>
    </w:p>
    <w:p w:rsidR="004233B2" w:rsidRDefault="005F41D0">
      <w:pPr>
        <w:spacing w:after="0" w:line="240" w:lineRule="auto"/>
        <w:jc w:val="center"/>
        <w:rPr>
          <w:rFonts w:ascii="Adobe Devanagari" w:eastAsia="Adobe Devanagari" w:hAnsi="Adobe Devanagari" w:cs="Adobe Devanagari"/>
          <w:b/>
          <w:i/>
          <w:sz w:val="24"/>
          <w:szCs w:val="24"/>
        </w:rPr>
      </w:pP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Iure Bernardino DE SOUSA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1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*; Larissa Gabrielle Pinheiro FERREIRA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2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; Nilton Costa MAFRA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3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; Thayane Lopes DE SOUSA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4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; Victor Elias Mouchrek FILHO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5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; Thércia Gabrielle Teixeira MARTINS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6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; Paulo Victor Serra ROSA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7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; Gustavo Oliveira EVERTON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8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;</w:t>
      </w:r>
    </w:p>
    <w:p w:rsidR="00BC784E" w:rsidRDefault="00BC784E">
      <w:pPr>
        <w:spacing w:after="0" w:line="240" w:lineRule="auto"/>
        <w:jc w:val="center"/>
        <w:rPr>
          <w:rFonts w:ascii="Adobe Devanagari" w:eastAsia="Adobe Devanagari" w:hAnsi="Adobe Devanagari" w:cs="Adobe Devanagari"/>
          <w:b/>
          <w:color w:val="000000"/>
          <w:sz w:val="24"/>
          <w:szCs w:val="24"/>
        </w:rPr>
      </w:pPr>
      <w:bookmarkStart w:id="0" w:name="_GoBack"/>
      <w:bookmarkEnd w:id="0"/>
    </w:p>
    <w:p w:rsidR="004233B2" w:rsidRDefault="005F4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obe Devanagari" w:eastAsia="Adobe Devanagari" w:hAnsi="Adobe Devanagari" w:cs="Adobe Devanagari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>INTRODUÇÃO:</w:t>
      </w:r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Por muitos anos o organofosforado temefós foi o larvicida mais usado no Brasil para o controle do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Aedes aegypti,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porém buscaram-se alternativas, por conta do desenvolvimento de grande resistência das larvas. Extratos vegetais ou óleos essenciais são alternativas aos pesticidas sintéticos, com o objetivo de reduzir a velocidade de seleção de populações resistentes a p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esticidas químicos, organofosforados e piretróides. A tecnologia de microencapsulação do ponto de vista prático, além de proteger os componentes encapsulados dos efeitos adversos do meio ambiente, como luz, umidade, oxigênio e a interação com outros compos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tos do ambiente externo, também pode estender a vida útil, solubilidade, dispersibilidade e fluidez de substâncias biologicamente ativas. 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OBJETIVO: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Avaliar a atividade larvicida frente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Aedes aegypti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de micropartículas do óleo essencial (OE)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Eucalyptus g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lobulus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Labill. 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MATERIAL E MÉTODOS: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Foram coletadas folhas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E. globulus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em São Luís (MA), posteriormente secas, trituradas e moídas. Foram utilizadas 100 g das folhas secas para obtenção do OE pelo método de hidrodestilação. Para a síntese do OE microenc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apsulado, 60g de alginato de sódio (2,5% m/v) foram adicionados a mistura de 15g de Tween 80 com 6g do OE. A mistura foi homogeneizada e gotejada sobre solução de CaCl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bscript"/>
        </w:rPr>
        <w:t>2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5% m/v para o endurecimento das partículas via crosslinking. As micropartículas foram l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avadas com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lastRenderedPageBreak/>
        <w:t>água destilada em filtro e secas à 35ºC/24h e 15 dias à t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bscript"/>
        </w:rPr>
        <w:t>amb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(30ºC). Os ovos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Aedes aegypti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foram coletados na Universidade Federal do Maranhão pelo método de ovitrampas. As larvas que eclodiram foram alimentantadas até atingirem o quarto ínst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ar. Submeteu-se grupos de larvas (n=20) a soluções do OE e das micropartículas de 10-90 mg/L . Após 24h contou-se as larvas vivas e mortas e calculou-se a CL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bscript"/>
        </w:rPr>
        <w:t>50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pelo método de Reed &amp; Muench, utilizando o critério de Cheng para classificação do potencial ati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vo.;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 RESULTADOS: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Todas as larvas apresentaram mortalidade em todas as concentrações testadas. A CL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bscript"/>
        </w:rPr>
        <w:t>50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obtida para o OE foi de 66,18 mg/L e para a nanoemulsão 23,90 mg/L, ambos classificados como ativo segundo o critério adotado, porém observa-se que as </w:t>
      </w:r>
      <w:r>
        <w:rPr>
          <w:rFonts w:ascii="Adobe Devanagari" w:eastAsia="Adobe Devanagari" w:hAnsi="Adobe Devanagari" w:cs="Adobe Devanagari"/>
          <w:sz w:val="28"/>
          <w:szCs w:val="28"/>
        </w:rPr>
        <w:t>micr</w:t>
      </w:r>
      <w:r>
        <w:rPr>
          <w:rFonts w:ascii="Adobe Devanagari" w:eastAsia="Adobe Devanagari" w:hAnsi="Adobe Devanagari" w:cs="Adobe Devanagari"/>
          <w:sz w:val="28"/>
          <w:szCs w:val="28"/>
        </w:rPr>
        <w:t>opartículas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aumentaram o potencial larvicida do OE.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>; CONSIDERAÇÕES FINAIS:</w:t>
      </w:r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Portanto, destaca-se que as </w:t>
      </w:r>
      <w:r>
        <w:rPr>
          <w:rFonts w:ascii="Adobe Devanagari" w:eastAsia="Adobe Devanagari" w:hAnsi="Adobe Devanagari" w:cs="Adobe Devanagari"/>
          <w:sz w:val="28"/>
          <w:szCs w:val="28"/>
        </w:rPr>
        <w:t>micropartículas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formuladas com o OE mostraram-se eficazes como um produto no combate, a propagação do vetor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Aedes aegypti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.</w:t>
      </w:r>
    </w:p>
    <w:p w:rsidR="004233B2" w:rsidRDefault="00423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obe Devanagari" w:eastAsia="Adobe Devanagari" w:hAnsi="Adobe Devanagari" w:cs="Adobe Devanagari"/>
          <w:color w:val="000000"/>
          <w:sz w:val="28"/>
          <w:szCs w:val="28"/>
        </w:rPr>
      </w:pPr>
    </w:p>
    <w:p w:rsidR="004233B2" w:rsidRDefault="005F4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obe Devanagari" w:eastAsia="Adobe Devanagari" w:hAnsi="Adobe Devanagari" w:cs="Adobe Devanagari"/>
          <w:color w:val="000000"/>
          <w:sz w:val="28"/>
          <w:szCs w:val="28"/>
        </w:rPr>
      </w:pP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PALAVRAS-CHAVE: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folhas, larvas, microencapsulado.</w:t>
      </w:r>
    </w:p>
    <w:p w:rsidR="004233B2" w:rsidRDefault="00423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b/>
          <w:color w:val="000000"/>
          <w:sz w:val="24"/>
          <w:szCs w:val="24"/>
        </w:rPr>
      </w:pPr>
    </w:p>
    <w:sectPr w:rsidR="004233B2">
      <w:headerReference w:type="default" r:id="rId8"/>
      <w:footerReference w:type="default" r:id="rId9"/>
      <w:pgSz w:w="11906" w:h="16838"/>
      <w:pgMar w:top="1134" w:right="1134" w:bottom="1418" w:left="1134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D0" w:rsidRDefault="005F41D0">
      <w:pPr>
        <w:spacing w:after="0" w:line="240" w:lineRule="auto"/>
      </w:pPr>
      <w:r>
        <w:separator/>
      </w:r>
    </w:p>
  </w:endnote>
  <w:endnote w:type="continuationSeparator" w:id="0">
    <w:p w:rsidR="005F41D0" w:rsidRDefault="005F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B2" w:rsidRDefault="005F41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pt-BR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-272565</wp:posOffset>
          </wp:positionV>
          <wp:extent cx="7825740" cy="872490"/>
          <wp:effectExtent l="0" t="0" r="0" b="0"/>
          <wp:wrapSquare wrapText="bothSides" distT="0" distB="0" distL="0" distR="0"/>
          <wp:docPr id="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2150" b="2416"/>
                  <a:stretch>
                    <a:fillRect/>
                  </a:stretch>
                </pic:blipFill>
                <pic:spPr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D0" w:rsidRDefault="005F41D0">
      <w:pPr>
        <w:spacing w:after="0" w:line="240" w:lineRule="auto"/>
      </w:pPr>
      <w:r>
        <w:separator/>
      </w:r>
    </w:p>
  </w:footnote>
  <w:footnote w:type="continuationSeparator" w:id="0">
    <w:p w:rsidR="005F41D0" w:rsidRDefault="005F41D0">
      <w:pPr>
        <w:spacing w:after="0" w:line="240" w:lineRule="auto"/>
      </w:pPr>
      <w:r>
        <w:continuationSeparator/>
      </w:r>
    </w:p>
  </w:footnote>
  <w:footnote w:id="1">
    <w:p w:rsidR="004233B2" w:rsidRDefault="005F41D0">
      <w:pPr>
        <w:spacing w:after="0" w:line="240" w:lineRule="auto"/>
        <w:rPr>
          <w:rFonts w:ascii="Adobe Devanagari" w:eastAsia="Adobe Devanagari" w:hAnsi="Adobe Devanagari" w:cs="Adobe Devanaga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sz w:val="16"/>
          <w:szCs w:val="16"/>
        </w:rPr>
        <w:t>* autor correspondente; Universidade Federal do Maranhão; iurebdes@gmail.com;</w:t>
      </w:r>
    </w:p>
  </w:footnote>
  <w:footnote w:id="2">
    <w:p w:rsidR="004233B2" w:rsidRDefault="005F41D0">
      <w:pPr>
        <w:spacing w:after="0" w:line="240" w:lineRule="auto"/>
        <w:rPr>
          <w:rFonts w:ascii="Adobe Devanagari" w:eastAsia="Adobe Devanagari" w:hAnsi="Adobe Devanagari" w:cs="Adobe Devanaga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eastAsia="Adobe Devanagari" w:hAnsi="Adobe Devanagari" w:cs="Adobe Devanagari"/>
          <w:sz w:val="16"/>
          <w:szCs w:val="16"/>
        </w:rPr>
        <w:t xml:space="preserve">Universidade </w:t>
      </w:r>
      <w:r>
        <w:rPr>
          <w:rFonts w:ascii="Adobe Devanagari" w:eastAsia="Adobe Devanagari" w:hAnsi="Adobe Devanagari" w:cs="Adobe Devanagari"/>
          <w:sz w:val="16"/>
          <w:szCs w:val="16"/>
        </w:rPr>
        <w:t>Federal do Maranhão; lgabriellepinheiro@gmail.com;</w:t>
      </w:r>
    </w:p>
  </w:footnote>
  <w:footnote w:id="3">
    <w:p w:rsidR="004233B2" w:rsidRDefault="005F41D0">
      <w:pPr>
        <w:spacing w:after="0" w:line="240" w:lineRule="auto"/>
        <w:rPr>
          <w:rFonts w:ascii="Adobe Devanagari" w:eastAsia="Adobe Devanagari" w:hAnsi="Adobe Devanagari" w:cs="Adobe Devanaga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eastAsia="Adobe Devanagari" w:hAnsi="Adobe Devanagari" w:cs="Adobe Devanagari"/>
          <w:sz w:val="16"/>
          <w:szCs w:val="16"/>
        </w:rPr>
        <w:t xml:space="preserve">Universidade </w:t>
      </w:r>
      <w:r>
        <w:rPr>
          <w:rFonts w:ascii="Adobe Devanagari" w:eastAsia="Adobe Devanagari" w:hAnsi="Adobe Devanagari" w:cs="Adobe Devanagari"/>
          <w:sz w:val="16"/>
          <w:szCs w:val="16"/>
        </w:rPr>
        <w:t>Federal do Maranhão; nilton.mafra@hotmail.com;</w:t>
      </w:r>
    </w:p>
  </w:footnote>
  <w:footnote w:id="4">
    <w:p w:rsidR="004233B2" w:rsidRDefault="005F41D0">
      <w:pPr>
        <w:spacing w:after="0" w:line="240" w:lineRule="auto"/>
        <w:rPr>
          <w:rFonts w:ascii="Adobe Devanagari" w:eastAsia="Adobe Devanagari" w:hAnsi="Adobe Devanagari" w:cs="Adobe Devanaga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eastAsia="Adobe Devanagari" w:hAnsi="Adobe Devanagari" w:cs="Adobe Devanagari"/>
          <w:sz w:val="16"/>
          <w:szCs w:val="16"/>
        </w:rPr>
        <w:t xml:space="preserve">Universidade </w:t>
      </w:r>
      <w:r>
        <w:rPr>
          <w:rFonts w:ascii="Adobe Devanagari" w:eastAsia="Adobe Devanagari" w:hAnsi="Adobe Devanagari" w:cs="Adobe Devanagari"/>
          <w:sz w:val="16"/>
          <w:szCs w:val="16"/>
        </w:rPr>
        <w:t>Federal do Maranhão; thayane.lopes@discente.ufma.br;</w:t>
      </w:r>
    </w:p>
  </w:footnote>
  <w:footnote w:id="5">
    <w:p w:rsidR="004233B2" w:rsidRDefault="005F41D0">
      <w:pPr>
        <w:spacing w:after="0" w:line="240" w:lineRule="auto"/>
        <w:rPr>
          <w:rFonts w:ascii="Adobe Devanagari" w:eastAsia="Adobe Devanagari" w:hAnsi="Adobe Devanagari" w:cs="Adobe Devanaga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eastAsia="Adobe Devanagari" w:hAnsi="Adobe Devanagari" w:cs="Adobe Devanagari"/>
          <w:sz w:val="16"/>
          <w:szCs w:val="16"/>
        </w:rPr>
        <w:t xml:space="preserve">Universidade </w:t>
      </w:r>
      <w:r>
        <w:rPr>
          <w:rFonts w:ascii="Adobe Devanagari" w:eastAsia="Adobe Devanagari" w:hAnsi="Adobe Devanagari" w:cs="Adobe Devanagari"/>
          <w:sz w:val="16"/>
          <w:szCs w:val="16"/>
        </w:rPr>
        <w:t>Federal do Maranhão; victor.mouchrek@ufma.br;</w:t>
      </w:r>
    </w:p>
  </w:footnote>
  <w:footnote w:id="6">
    <w:p w:rsidR="004233B2" w:rsidRDefault="005F41D0">
      <w:pPr>
        <w:spacing w:after="0" w:line="240" w:lineRule="auto"/>
        <w:rPr>
          <w:rFonts w:ascii="Adobe Devanagari" w:eastAsia="Adobe Devanagari" w:hAnsi="Adobe Devanagari" w:cs="Adobe Devanaga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eastAsia="Adobe Devanagari" w:hAnsi="Adobe Devanagari" w:cs="Adobe Devanagari"/>
          <w:sz w:val="16"/>
          <w:szCs w:val="16"/>
        </w:rPr>
        <w:t xml:space="preserve">Universidade </w:t>
      </w:r>
      <w:r>
        <w:rPr>
          <w:rFonts w:ascii="Adobe Devanagari" w:eastAsia="Adobe Devanagari" w:hAnsi="Adobe Devanagari" w:cs="Adobe Devanagari"/>
          <w:sz w:val="16"/>
          <w:szCs w:val="16"/>
        </w:rPr>
        <w:t>Federal do Maranhão; thercia.martins@discente.ufma.</w:t>
      </w:r>
      <w:r>
        <w:rPr>
          <w:rFonts w:ascii="Adobe Devanagari" w:eastAsia="Adobe Devanagari" w:hAnsi="Adobe Devanagari" w:cs="Adobe Devanagari"/>
          <w:sz w:val="16"/>
          <w:szCs w:val="16"/>
        </w:rPr>
        <w:t>br;</w:t>
      </w:r>
    </w:p>
  </w:footnote>
  <w:footnote w:id="7">
    <w:p w:rsidR="004233B2" w:rsidRDefault="005F41D0">
      <w:pPr>
        <w:spacing w:after="0" w:line="240" w:lineRule="auto"/>
        <w:rPr>
          <w:rFonts w:ascii="Adobe Devanagari" w:eastAsia="Adobe Devanagari" w:hAnsi="Adobe Devanagari" w:cs="Adobe Devanaga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eastAsia="Adobe Devanagari" w:hAnsi="Adobe Devanagari" w:cs="Adobe Devanagari"/>
          <w:sz w:val="16"/>
          <w:szCs w:val="16"/>
        </w:rPr>
        <w:t>Universidade Federal do Maranhão; paullovictorserra@gmail.com;</w:t>
      </w:r>
    </w:p>
  </w:footnote>
  <w:footnote w:id="8">
    <w:p w:rsidR="004233B2" w:rsidRDefault="005F41D0">
      <w:pPr>
        <w:spacing w:after="0" w:line="240" w:lineRule="auto"/>
        <w:rPr>
          <w:rFonts w:ascii="Adobe Devanagari" w:eastAsia="Adobe Devanagari" w:hAnsi="Adobe Devanagari" w:cs="Adobe Devanaga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eastAsia="Adobe Devanagari" w:hAnsi="Adobe Devanagari" w:cs="Adobe Devanagari"/>
          <w:sz w:val="16"/>
          <w:szCs w:val="16"/>
        </w:rPr>
        <w:t xml:space="preserve">Universidade </w:t>
      </w:r>
      <w:r>
        <w:rPr>
          <w:rFonts w:ascii="Adobe Devanagari" w:eastAsia="Adobe Devanagari" w:hAnsi="Adobe Devanagari" w:cs="Adobe Devanagari"/>
          <w:sz w:val="16"/>
          <w:szCs w:val="16"/>
        </w:rPr>
        <w:t>Federal do Maranhão; gustavooliveiraeverton@gmail.com;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B2" w:rsidRDefault="005F41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-90169</wp:posOffset>
          </wp:positionV>
          <wp:extent cx="7825740" cy="2125345"/>
          <wp:effectExtent l="0" t="0" r="0" b="0"/>
          <wp:wrapSquare wrapText="bothSides" distT="0" distB="0" distL="114300" distR="114300"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2102" b="25982"/>
                  <a:stretch>
                    <a:fillRect/>
                  </a:stretch>
                </pic:blipFill>
                <pic:spPr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33B2"/>
    <w:rsid w:val="004233B2"/>
    <w:rsid w:val="005F41D0"/>
    <w:rsid w:val="00B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-DE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3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-DE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3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FbG4WjLc0jtCij8pkCgQ0PUayA==">AMUW2mUjiKeT7Mk387YEJWUjMOq+zHtzSTmoEqCB4HIwdfg8J73m/kvnBUNuRk9krZK37t+PnYRDHONuWW00NAjqGU3pmGwoYlT6gWmgIbe/YN8YMSKfZxtUAp1pLS3XOHV3bGENZGkt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 Oliveira</cp:lastModifiedBy>
  <cp:revision>2</cp:revision>
  <dcterms:created xsi:type="dcterms:W3CDTF">2020-10-06T23:53:00Z</dcterms:created>
  <dcterms:modified xsi:type="dcterms:W3CDTF">2020-11-27T18:40:00Z</dcterms:modified>
</cp:coreProperties>
</file>