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INVESTIGAÇÃO MICROBIOLÓGICA DA ÁGUA DE TORNEIRA E FILTRO RESIDENCIAL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Carlos Daniel de Lima Correa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Sara Lodi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Ingrid Larissa Trindade da Costa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; Amanda Teixeira de Oliveira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; Felipe Silva de Souza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; Lucas Gabriel Barros da Costa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6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sz w:val="24"/>
          <w:szCs w:val="24"/>
          <w:rtl w:val="0"/>
        </w:rPr>
        <w:t xml:space="preserve">Graduando em Licenciatura em Ciências Biológicas. Universidade Federal do Pará.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carlosdanieldelimacorrea@gmail.com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250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 2</w:t>
      </w:r>
      <w:r w:rsidDel="00000000" w:rsidR="00000000" w:rsidRPr="00000000">
        <w:rPr>
          <w:sz w:val="24"/>
          <w:szCs w:val="24"/>
          <w:rtl w:val="0"/>
        </w:rPr>
        <w:t xml:space="preserve"> Doutora em ecologia e evolução. Universidade Federal do Pará.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Graduanda em Licenciatura em Ciências Biológicas. Universidade Federal do Pará.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Graduanda em Bacharelado em Ciências Biológicas. Universidade Federal do Pará.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 </w:t>
      </w:r>
      <w:r w:rsidDel="00000000" w:rsidR="00000000" w:rsidRPr="00000000">
        <w:rPr>
          <w:sz w:val="24"/>
          <w:szCs w:val="24"/>
          <w:rtl w:val="0"/>
        </w:rPr>
        <w:t xml:space="preserve">Graduando em Licenciatura em Ciências Biológicas. Universidade Federal do Pará.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6 </w:t>
      </w:r>
      <w:r w:rsidDel="00000000" w:rsidR="00000000" w:rsidRPr="00000000">
        <w:rPr>
          <w:sz w:val="24"/>
          <w:szCs w:val="24"/>
          <w:rtl w:val="0"/>
        </w:rPr>
        <w:t xml:space="preserve">Graduando em Licenciatura em Ciências Biológicas. Universidade Federal do Pará.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2500"/>
        </w:tabs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acesso precário à água potável no Brasil, com apenas 84,9% da população atendida e 51,1% de água tratada no Pará, é uma preocupação de saúde pública que favorece a disseminação de doenças hídricas. Este estudo objetivou analisar a qualidade microbiológica da água consumida em residências de alunos da Universidade Federal do Pará (UFPA), no estado do Pará, na cidade de Belém, no período de março de 2025, conforme a Portaria GM/MS n° 888/2021, que exige a ausência de coliformes totais 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Escherichia coli</w:t>
      </w:r>
      <w:r w:rsidDel="00000000" w:rsidR="00000000" w:rsidRPr="00000000">
        <w:rPr>
          <w:sz w:val="24"/>
          <w:szCs w:val="24"/>
          <w:rtl w:val="0"/>
        </w:rPr>
        <w:t xml:space="preserve">. Foram incluídos três alunos do curso de Ciências Biológicas da UFPA, selecionados por conveniência. Os critérios de inclusão foram: morar em domicílio com água encanada, usar filtro ou torneira e consentir a coleta. Cada aluno coletou duas amostras: uma da torneira da cozinha e outra do filtro doméstico e cada amostra tinha, aproximadamente, uma quantidade de água de 100 ml, cada amostra foi devidamente identificada com local, data e hora da coleta, as amostras foram coletadas no período de março de 2025. As análises seguiram métodos padronizados para coliformes 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E. coli</w:t>
      </w:r>
      <w:r w:rsidDel="00000000" w:rsidR="00000000" w:rsidRPr="00000000">
        <w:rPr>
          <w:sz w:val="24"/>
          <w:szCs w:val="24"/>
          <w:rtl w:val="0"/>
        </w:rPr>
        <w:t xml:space="preserve">, incluindo Análise por Substrato Cromogênico Enzimático e Semeio em Ágar MacConkey. Colônias isoladas foram avaliadas por Coloração de Gram, oito Provas Bioquímicas e Antibiograma. Foi utilizado controle positivo com cepa padrão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E. coli</w:t>
      </w:r>
      <w:r w:rsidDel="00000000" w:rsidR="00000000" w:rsidRPr="00000000">
        <w:rPr>
          <w:sz w:val="24"/>
          <w:szCs w:val="24"/>
          <w:rtl w:val="0"/>
        </w:rPr>
        <w:t xml:space="preserve">. A água estava livre de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E. coli</w:t>
      </w:r>
      <w:r w:rsidDel="00000000" w:rsidR="00000000" w:rsidRPr="00000000">
        <w:rPr>
          <w:sz w:val="24"/>
          <w:szCs w:val="24"/>
          <w:rtl w:val="0"/>
        </w:rPr>
        <w:t xml:space="preserve">, mas positiva para coliformes totais. Três colônias foram isoladas: C1F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Klebsiella ornithinolytica</w:t>
      </w:r>
      <w:r w:rsidDel="00000000" w:rsidR="00000000" w:rsidRPr="00000000">
        <w:rPr>
          <w:sz w:val="24"/>
          <w:szCs w:val="24"/>
          <w:rtl w:val="0"/>
        </w:rPr>
        <w:t xml:space="preserve">), C1T 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Klebsiella pneumoniae</w:t>
      </w:r>
      <w:r w:rsidDel="00000000" w:rsidR="00000000" w:rsidRPr="00000000">
        <w:rPr>
          <w:sz w:val="24"/>
          <w:szCs w:val="24"/>
          <w:rtl w:val="0"/>
        </w:rPr>
        <w:t xml:space="preserve">), e C2T (Bacilo Gram-Negativo Não Fermentador - BGNNF). Todas são patógenos oportunistas. O antibiograma demonstrou resistência à Eritromicina, Amoxicilina + clavulanato e Cefuroxima, mas Levofloxacina e Sulfazotrim foram eficazes. A presença de coliformes totais, BGNNF,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K. ornithinolytica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K. pneumoniae</w:t>
      </w:r>
      <w:r w:rsidDel="00000000" w:rsidR="00000000" w:rsidRPr="00000000">
        <w:rPr>
          <w:sz w:val="24"/>
          <w:szCs w:val="24"/>
          <w:rtl w:val="0"/>
        </w:rPr>
        <w:t xml:space="preserve"> torna a água inadequada para consumo. Estes achados, com a resistência antimicrobiana, reforçam a urgência do monitoramento e de ações educativas para a saúde pública.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250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2500"/>
        </w:tabs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Qualidade da água. Coliformes. Resistência antimicrobiana. 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2500"/>
        </w:tabs>
        <w:jc w:val="both"/>
        <w:rPr>
          <w:b w:val="1"/>
          <w:bCs w:val="1"/>
          <w:color w:val="0000ff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 de Interesse</w:t>
      </w:r>
      <w:r w:rsidDel="00000000" w:rsidR="00000000" w:rsidRPr="00000000">
        <w:rPr>
          <w:sz w:val="24"/>
          <w:szCs w:val="24"/>
          <w:rtl w:val="0"/>
        </w:rPr>
        <w:t xml:space="preserve">: Ciências Biológicas e da Saúde.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4" name="image4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0" name="image10.png"/>
          <a:graphic>
            <a:graphicData uri="http://schemas.openxmlformats.org/drawingml/2006/picture">
              <pic:pic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9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7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5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3332661" cy="1650309"/>
          <wp:effectExtent b="0" l="0" r="0" t="0"/>
          <wp:docPr id="6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26667" l="2865" r="-2171" t="33993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arlosdanieldelimacorrea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0.png"/><Relationship Id="rId4" Type="http://schemas.openxmlformats.org/officeDocument/2006/relationships/image" Target="media/image9.png"/><Relationship Id="rId9" Type="http://schemas.openxmlformats.org/officeDocument/2006/relationships/image" Target="media/image3.png"/><Relationship Id="rId5" Type="http://schemas.openxmlformats.org/officeDocument/2006/relationships/image" Target="media/image7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