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24EED" w:rsidRPr="009C3D42" w:rsidRDefault="00992381" w:rsidP="0094089A">
      <w:pPr>
        <w:spacing w:before="40" w:after="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D42">
        <w:rPr>
          <w:rFonts w:ascii="Times New Roman" w:eastAsia="Times New Roman" w:hAnsi="Times New Roman" w:cs="Times New Roman"/>
          <w:b/>
          <w:sz w:val="24"/>
          <w:szCs w:val="24"/>
        </w:rPr>
        <w:t>A relação do marcador tumoral p5</w:t>
      </w:r>
      <w:bookmarkStart w:id="0" w:name="_GoBack"/>
      <w:bookmarkEnd w:id="0"/>
      <w:r w:rsidRPr="009C3D42">
        <w:rPr>
          <w:rFonts w:ascii="Times New Roman" w:eastAsia="Times New Roman" w:hAnsi="Times New Roman" w:cs="Times New Roman"/>
          <w:b/>
          <w:sz w:val="24"/>
          <w:szCs w:val="24"/>
        </w:rPr>
        <w:t xml:space="preserve">3 com a Síndrome de Li </w:t>
      </w:r>
      <w:proofErr w:type="spellStart"/>
      <w:r w:rsidRPr="009C3D42">
        <w:rPr>
          <w:rFonts w:ascii="Times New Roman" w:eastAsia="Times New Roman" w:hAnsi="Times New Roman" w:cs="Times New Roman"/>
          <w:b/>
          <w:sz w:val="24"/>
          <w:szCs w:val="24"/>
        </w:rPr>
        <w:t>Fraumeni</w:t>
      </w:r>
      <w:proofErr w:type="spellEnd"/>
      <w:r w:rsidRPr="009C3D42">
        <w:rPr>
          <w:rFonts w:ascii="Times New Roman" w:eastAsia="Times New Roman" w:hAnsi="Times New Roman" w:cs="Times New Roman"/>
          <w:b/>
          <w:sz w:val="24"/>
          <w:szCs w:val="24"/>
        </w:rPr>
        <w:t>: uma revisão bibliográfica.</w:t>
      </w:r>
    </w:p>
    <w:p w14:paraId="5FF53F34" w14:textId="19B3E5FD" w:rsidR="00B855D4" w:rsidRPr="009C3D42" w:rsidRDefault="00B855D4" w:rsidP="0094089A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C3D42">
        <w:rPr>
          <w:rFonts w:ascii="Times New Roman" w:eastAsia="Times New Roman" w:hAnsi="Times New Roman" w:cs="Times New Roman"/>
          <w:sz w:val="24"/>
          <w:szCs w:val="24"/>
        </w:rPr>
        <w:t>Anderson Luiz Neves de Albuquerque</w:t>
      </w:r>
      <w:r w:rsidR="00E6565D" w:rsidRPr="009C3D4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9C3D42">
        <w:rPr>
          <w:rFonts w:ascii="Times New Roman" w:eastAsia="Times New Roman" w:hAnsi="Times New Roman" w:cs="Times New Roman"/>
          <w:sz w:val="24"/>
          <w:szCs w:val="24"/>
        </w:rPr>
        <w:t>*, Isabella Gomes Chagas</w:t>
      </w:r>
      <w:r w:rsidRPr="009C3D4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C3D4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3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D42">
        <w:rPr>
          <w:rFonts w:ascii="Times New Roman" w:eastAsia="Times New Roman" w:hAnsi="Times New Roman" w:cs="Times New Roman"/>
          <w:sz w:val="24"/>
          <w:szCs w:val="24"/>
        </w:rPr>
        <w:t>Tarsiane</w:t>
      </w:r>
      <w:proofErr w:type="spellEnd"/>
      <w:r w:rsidRPr="009C3D42">
        <w:rPr>
          <w:rFonts w:ascii="Times New Roman" w:eastAsia="Times New Roman" w:hAnsi="Times New Roman" w:cs="Times New Roman"/>
          <w:sz w:val="24"/>
          <w:szCs w:val="24"/>
        </w:rPr>
        <w:t xml:space="preserve"> Dias Muniz dos Santos</w:t>
      </w:r>
      <w:r w:rsidRPr="009C3D4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C3D4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C3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D42">
        <w:rPr>
          <w:rFonts w:ascii="Times New Roman" w:eastAsia="Times New Roman" w:hAnsi="Times New Roman" w:cs="Times New Roman"/>
          <w:sz w:val="24"/>
          <w:szCs w:val="24"/>
        </w:rPr>
        <w:t>Vívian</w:t>
      </w:r>
      <w:proofErr w:type="spellEnd"/>
      <w:r w:rsidRPr="009C3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D42">
        <w:rPr>
          <w:rFonts w:ascii="Times New Roman" w:eastAsia="Times New Roman" w:hAnsi="Times New Roman" w:cs="Times New Roman"/>
          <w:sz w:val="24"/>
          <w:szCs w:val="24"/>
        </w:rPr>
        <w:t>Sthefane</w:t>
      </w:r>
      <w:proofErr w:type="spellEnd"/>
      <w:r w:rsidRPr="009C3D42">
        <w:rPr>
          <w:rFonts w:ascii="Times New Roman" w:eastAsia="Times New Roman" w:hAnsi="Times New Roman" w:cs="Times New Roman"/>
          <w:sz w:val="24"/>
          <w:szCs w:val="24"/>
        </w:rPr>
        <w:t xml:space="preserve"> Santos de Lucena</w:t>
      </w:r>
      <w:r w:rsidRPr="009C3D4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C3D4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9C3D42">
        <w:rPr>
          <w:rFonts w:ascii="Times New Roman" w:eastAsia="Times New Roman" w:hAnsi="Times New Roman" w:cs="Times New Roman"/>
          <w:sz w:val="24"/>
          <w:szCs w:val="24"/>
        </w:rPr>
        <w:t>Jaim</w:t>
      </w:r>
      <w:proofErr w:type="spellEnd"/>
      <w:r w:rsidRPr="009C3D42">
        <w:rPr>
          <w:rFonts w:ascii="Times New Roman" w:eastAsia="Times New Roman" w:hAnsi="Times New Roman" w:cs="Times New Roman"/>
          <w:sz w:val="24"/>
          <w:szCs w:val="24"/>
        </w:rPr>
        <w:t xml:space="preserve"> Simões de Oliveira</w:t>
      </w:r>
      <w:r w:rsidRPr="009C3D4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0589C568" w14:textId="6AF6FD15" w:rsidR="00B855D4" w:rsidRPr="009C3D42" w:rsidRDefault="00B855D4" w:rsidP="0094089A">
      <w:pPr>
        <w:pStyle w:val="Normal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D4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r w:rsidRPr="009C3D42">
        <w:rPr>
          <w:rFonts w:ascii="Times New Roman" w:eastAsia="Times New Roman" w:hAnsi="Times New Roman" w:cs="Times New Roman"/>
          <w:sz w:val="24"/>
          <w:szCs w:val="24"/>
        </w:rPr>
        <w:t xml:space="preserve">UNIT- Centro Universitário Tiradentes, Curso de Medicina </w:t>
      </w:r>
      <w:r w:rsidRPr="009C3D42">
        <w:rPr>
          <w:rFonts w:ascii="Times New Roman" w:hAnsi="Times New Roman" w:cs="Times New Roman"/>
          <w:color w:val="000000"/>
          <w:sz w:val="24"/>
          <w:szCs w:val="24"/>
        </w:rPr>
        <w:t>— Maceió —AL</w:t>
      </w:r>
      <w:r w:rsidRPr="009C3D42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</w:p>
    <w:p w14:paraId="5E869930" w14:textId="68AEC7A1" w:rsidR="00B855D4" w:rsidRPr="009C3D42" w:rsidRDefault="00B855D4" w:rsidP="0094089A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D4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C3D42">
        <w:rPr>
          <w:rFonts w:ascii="Times New Roman" w:eastAsia="Times New Roman" w:hAnsi="Times New Roman" w:cs="Times New Roman"/>
          <w:sz w:val="24"/>
          <w:szCs w:val="24"/>
        </w:rPr>
        <w:t xml:space="preserve"> CESMAC- Centro Universitário, Curso de Medicina </w:t>
      </w:r>
      <w:r w:rsidRPr="009C3D42">
        <w:rPr>
          <w:rFonts w:ascii="Times New Roman" w:hAnsi="Times New Roman" w:cs="Times New Roman"/>
          <w:color w:val="000000"/>
          <w:sz w:val="24"/>
          <w:szCs w:val="24"/>
        </w:rPr>
        <w:t>— Maceió —AL</w:t>
      </w:r>
      <w:r w:rsidRPr="009C3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458E39" w14:textId="5930B532" w:rsidR="00B855D4" w:rsidRPr="009C3D42" w:rsidRDefault="00B855D4" w:rsidP="0094089A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D42">
        <w:rPr>
          <w:rFonts w:ascii="Times New Roman" w:eastAsia="Times New Roman" w:hAnsi="Times New Roman" w:cs="Times New Roman"/>
          <w:sz w:val="24"/>
          <w:szCs w:val="24"/>
        </w:rPr>
        <w:t xml:space="preserve">*Autor correspondente: </w:t>
      </w:r>
      <w:hyperlink r:id="rId6" w:history="1">
        <w:r w:rsidRPr="009C3D42">
          <w:rPr>
            <w:rStyle w:val="Hyperlink"/>
            <w:rFonts w:ascii="Times New Roman" w:hAnsi="Times New Roman" w:cs="Times New Roman"/>
            <w:sz w:val="24"/>
            <w:szCs w:val="24"/>
          </w:rPr>
          <w:t>andersonalbuquerque94@outlook.com</w:t>
        </w:r>
      </w:hyperlink>
      <w:r w:rsidRPr="009C3D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2" w14:textId="77777777" w:rsidR="00C24EED" w:rsidRPr="009C3D42" w:rsidRDefault="00C24EED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E66D1B" w14:textId="3A1D9794" w:rsidR="00F94BE1" w:rsidRPr="0094089A" w:rsidRDefault="00992381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9A"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 w:rsidRPr="0094089A">
        <w:rPr>
          <w:rFonts w:ascii="Times New Roman" w:eastAsia="Times New Roman" w:hAnsi="Times New Roman" w:cs="Times New Roman"/>
          <w:sz w:val="24"/>
          <w:szCs w:val="24"/>
        </w:rPr>
        <w:t>: A síndrome de Li-</w:t>
      </w:r>
      <w:proofErr w:type="spellStart"/>
      <w:r w:rsidRPr="0094089A">
        <w:rPr>
          <w:rFonts w:ascii="Times New Roman" w:eastAsia="Times New Roman" w:hAnsi="Times New Roman" w:cs="Times New Roman"/>
          <w:sz w:val="24"/>
          <w:szCs w:val="24"/>
        </w:rPr>
        <w:t>Fraumeni</w:t>
      </w:r>
      <w:proofErr w:type="spellEnd"/>
      <w:r w:rsidRPr="0094089A">
        <w:rPr>
          <w:rFonts w:ascii="Times New Roman" w:eastAsia="Times New Roman" w:hAnsi="Times New Roman" w:cs="Times New Roman"/>
          <w:sz w:val="24"/>
          <w:szCs w:val="24"/>
        </w:rPr>
        <w:t xml:space="preserve"> (LFS) é uma condição rara autossômica dominante caracterizada por múltiplos casos de tumores primários de</w:t>
      </w:r>
      <w:r w:rsidR="005C78CC" w:rsidRPr="0094089A">
        <w:rPr>
          <w:rFonts w:ascii="Times New Roman" w:eastAsia="Times New Roman" w:hAnsi="Times New Roman" w:cs="Times New Roman"/>
          <w:sz w:val="24"/>
          <w:szCs w:val="24"/>
        </w:rPr>
        <w:t xml:space="preserve"> início frequentemente precoce, sendo a</w:t>
      </w:r>
      <w:r w:rsidRPr="0094089A">
        <w:rPr>
          <w:rFonts w:ascii="Times New Roman" w:eastAsia="Times New Roman" w:hAnsi="Times New Roman" w:cs="Times New Roman"/>
          <w:sz w:val="24"/>
          <w:szCs w:val="24"/>
        </w:rPr>
        <w:t xml:space="preserve">ssim, </w:t>
      </w:r>
      <w:r w:rsidR="005C78CC" w:rsidRPr="0094089A">
        <w:rPr>
          <w:rFonts w:ascii="Times New Roman" w:eastAsia="Times New Roman" w:hAnsi="Times New Roman" w:cs="Times New Roman"/>
          <w:sz w:val="24"/>
          <w:szCs w:val="24"/>
        </w:rPr>
        <w:t xml:space="preserve">é um processo de carcinogênese multifocal </w:t>
      </w:r>
      <w:r w:rsidR="00463F17" w:rsidRPr="0094089A">
        <w:rPr>
          <w:rFonts w:ascii="Times New Roman" w:eastAsia="Times New Roman" w:hAnsi="Times New Roman" w:cs="Times New Roman"/>
          <w:sz w:val="24"/>
          <w:szCs w:val="24"/>
        </w:rPr>
        <w:t xml:space="preserve">apresentando </w:t>
      </w:r>
      <w:r w:rsidR="005C78CC" w:rsidRPr="0094089A">
        <w:rPr>
          <w:rFonts w:ascii="Times New Roman" w:eastAsia="Times New Roman" w:hAnsi="Times New Roman" w:cs="Times New Roman"/>
          <w:sz w:val="24"/>
          <w:szCs w:val="24"/>
        </w:rPr>
        <w:t>tumorações com diferentes linhagens genéticas. Diante disso, essa situação patológica de expressa de diversas formas, o que dificulta o diagnóstico.</w:t>
      </w:r>
      <w:r w:rsidRPr="0094089A">
        <w:rPr>
          <w:rFonts w:ascii="Times New Roman" w:eastAsia="Times New Roman" w:hAnsi="Times New Roman" w:cs="Times New Roman"/>
          <w:sz w:val="24"/>
          <w:szCs w:val="24"/>
        </w:rPr>
        <w:t xml:space="preserve"> O gene </w:t>
      </w:r>
      <w:r w:rsidR="009C3D42" w:rsidRPr="0094089A">
        <w:rPr>
          <w:rFonts w:ascii="Times New Roman" w:eastAsia="Times New Roman" w:hAnsi="Times New Roman" w:cs="Times New Roman"/>
          <w:sz w:val="24"/>
          <w:szCs w:val="24"/>
        </w:rPr>
        <w:t>TP</w:t>
      </w:r>
      <w:r w:rsidR="00D915A9" w:rsidRPr="0094089A">
        <w:rPr>
          <w:rFonts w:ascii="Times New Roman" w:eastAsia="Times New Roman" w:hAnsi="Times New Roman" w:cs="Times New Roman"/>
          <w:iCs/>
          <w:sz w:val="24"/>
          <w:szCs w:val="24"/>
        </w:rPr>
        <w:t>53</w:t>
      </w:r>
      <w:r w:rsidRPr="0094089A">
        <w:rPr>
          <w:rFonts w:ascii="Times New Roman" w:eastAsia="Times New Roman" w:hAnsi="Times New Roman" w:cs="Times New Roman"/>
          <w:sz w:val="24"/>
          <w:szCs w:val="24"/>
        </w:rPr>
        <w:t xml:space="preserve">, nesse sentido, mostra-se como um expressivo marcador nessa investigação precoce. </w:t>
      </w:r>
      <w:r w:rsidRPr="0094089A"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Pr="0094089A">
        <w:rPr>
          <w:rFonts w:ascii="Times New Roman" w:eastAsia="Times New Roman" w:hAnsi="Times New Roman" w:cs="Times New Roman"/>
          <w:sz w:val="24"/>
          <w:szCs w:val="24"/>
        </w:rPr>
        <w:t xml:space="preserve">Compreender a relação do gene </w:t>
      </w:r>
      <w:r w:rsidRPr="0094089A">
        <w:rPr>
          <w:rFonts w:ascii="Times New Roman" w:eastAsia="Times New Roman" w:hAnsi="Times New Roman" w:cs="Times New Roman"/>
          <w:iCs/>
          <w:sz w:val="24"/>
          <w:szCs w:val="24"/>
        </w:rPr>
        <w:t>TP53</w:t>
      </w:r>
      <w:r w:rsidRPr="0094089A">
        <w:rPr>
          <w:rFonts w:ascii="Times New Roman" w:eastAsia="Times New Roman" w:hAnsi="Times New Roman" w:cs="Times New Roman"/>
          <w:sz w:val="24"/>
          <w:szCs w:val="24"/>
        </w:rPr>
        <w:t xml:space="preserve">, como marcador tumoral, no diagnóstico da síndrome de Li </w:t>
      </w:r>
      <w:proofErr w:type="spellStart"/>
      <w:r w:rsidRPr="0094089A">
        <w:rPr>
          <w:rFonts w:ascii="Times New Roman" w:eastAsia="Times New Roman" w:hAnsi="Times New Roman" w:cs="Times New Roman"/>
          <w:sz w:val="24"/>
          <w:szCs w:val="24"/>
        </w:rPr>
        <w:t>Fraumeni</w:t>
      </w:r>
      <w:proofErr w:type="spellEnd"/>
      <w:r w:rsidRPr="009408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089A">
        <w:rPr>
          <w:rFonts w:ascii="Times New Roman" w:eastAsia="Times New Roman" w:hAnsi="Times New Roman" w:cs="Times New Roman"/>
          <w:b/>
          <w:sz w:val="24"/>
          <w:szCs w:val="24"/>
        </w:rPr>
        <w:t xml:space="preserve"> MÉTODO: </w:t>
      </w:r>
      <w:r w:rsidRPr="0094089A">
        <w:rPr>
          <w:rFonts w:ascii="Times New Roman" w:eastAsia="Times New Roman" w:hAnsi="Times New Roman" w:cs="Times New Roman"/>
          <w:sz w:val="24"/>
          <w:szCs w:val="24"/>
        </w:rPr>
        <w:t xml:space="preserve">Trata-se uma revisão bibliográfica integrativa através de pesquisas na base de dados </w:t>
      </w:r>
      <w:proofErr w:type="spellStart"/>
      <w:r w:rsidRPr="0094089A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Pr="0094089A">
        <w:rPr>
          <w:rFonts w:ascii="Times New Roman" w:eastAsia="Times New Roman" w:hAnsi="Times New Roman" w:cs="Times New Roman"/>
          <w:sz w:val="24"/>
          <w:szCs w:val="24"/>
        </w:rPr>
        <w:t xml:space="preserve"> utilizando-se os descritores “Li </w:t>
      </w:r>
      <w:proofErr w:type="spellStart"/>
      <w:r w:rsidRPr="0094089A">
        <w:rPr>
          <w:rFonts w:ascii="Times New Roman" w:eastAsia="Times New Roman" w:hAnsi="Times New Roman" w:cs="Times New Roman"/>
          <w:sz w:val="24"/>
          <w:szCs w:val="24"/>
        </w:rPr>
        <w:t>Fraumeni</w:t>
      </w:r>
      <w:proofErr w:type="spellEnd"/>
      <w:r w:rsidRPr="0094089A">
        <w:rPr>
          <w:rFonts w:ascii="Times New Roman" w:eastAsia="Times New Roman" w:hAnsi="Times New Roman" w:cs="Times New Roman"/>
          <w:sz w:val="24"/>
          <w:szCs w:val="24"/>
        </w:rPr>
        <w:t xml:space="preserve">” AND “P53”, com o operador booleano AND. Aplicando-se filtro de 5 anos e sem restrição linguística, houve retorno de 174 artigos. Após eliminação das duplicatas e aplicação dos critérios de exclusão (enfoque na síndrome de Li </w:t>
      </w:r>
      <w:proofErr w:type="spellStart"/>
      <w:r w:rsidRPr="0094089A">
        <w:rPr>
          <w:rFonts w:ascii="Times New Roman" w:eastAsia="Times New Roman" w:hAnsi="Times New Roman" w:cs="Times New Roman"/>
          <w:sz w:val="24"/>
          <w:szCs w:val="24"/>
        </w:rPr>
        <w:t>Fraumeni</w:t>
      </w:r>
      <w:proofErr w:type="spellEnd"/>
      <w:r w:rsidRPr="0094089A">
        <w:rPr>
          <w:rFonts w:ascii="Times New Roman" w:eastAsia="Times New Roman" w:hAnsi="Times New Roman" w:cs="Times New Roman"/>
          <w:sz w:val="24"/>
          <w:szCs w:val="24"/>
        </w:rPr>
        <w:t>), foram selecionados 3 artigos</w:t>
      </w:r>
      <w:r w:rsidR="00B855D4" w:rsidRPr="009408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4089A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Pr="009408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89A">
        <w:rPr>
          <w:rFonts w:ascii="Times New Roman" w:eastAsia="Times New Roman" w:hAnsi="Times New Roman" w:cs="Times New Roman"/>
          <w:sz w:val="24"/>
          <w:szCs w:val="24"/>
          <w:highlight w:val="white"/>
        </w:rPr>
        <w:t>A síndrome de Li-</w:t>
      </w:r>
      <w:proofErr w:type="spellStart"/>
      <w:r w:rsidRPr="0094089A">
        <w:rPr>
          <w:rFonts w:ascii="Times New Roman" w:eastAsia="Times New Roman" w:hAnsi="Times New Roman" w:cs="Times New Roman"/>
          <w:sz w:val="24"/>
          <w:szCs w:val="24"/>
          <w:highlight w:val="white"/>
        </w:rPr>
        <w:t>Fraumeni</w:t>
      </w:r>
      <w:proofErr w:type="spellEnd"/>
      <w:r w:rsidRPr="0094089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é identificada pelo aparecimento de tumores em múltiplos órgãos, geralmente em indivíduos ainda com pouca idade. Essa condição hereditária é causada por mutações germin</w:t>
      </w:r>
      <w:r w:rsidR="00404E68" w:rsidRPr="0094089A">
        <w:rPr>
          <w:rFonts w:ascii="Times New Roman" w:eastAsia="Times New Roman" w:hAnsi="Times New Roman" w:cs="Times New Roman"/>
          <w:sz w:val="24"/>
          <w:szCs w:val="24"/>
          <w:highlight w:val="white"/>
        </w:rPr>
        <w:t>ativas</w:t>
      </w:r>
      <w:r w:rsidRPr="0094089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 gene </w:t>
      </w:r>
      <w:r w:rsidRPr="0094089A"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  <w:t>TP53</w:t>
      </w:r>
      <w:r w:rsidRPr="0094089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que codifica o supressor de tumor p53 </w:t>
      </w:r>
      <w:r w:rsidR="00404E68" w:rsidRPr="0094089A">
        <w:rPr>
          <w:rFonts w:ascii="Times New Roman" w:eastAsia="Times New Roman" w:hAnsi="Times New Roman" w:cs="Times New Roman"/>
          <w:sz w:val="24"/>
          <w:szCs w:val="24"/>
          <w:highlight w:val="white"/>
        </w:rPr>
        <w:t>que</w:t>
      </w:r>
      <w:r w:rsidRPr="0094089A">
        <w:rPr>
          <w:rFonts w:ascii="Times New Roman" w:eastAsia="Times New Roman" w:hAnsi="Times New Roman" w:cs="Times New Roman"/>
          <w:sz w:val="24"/>
          <w:szCs w:val="24"/>
          <w:highlight w:val="white"/>
        </w:rPr>
        <w:t>, quando mutado</w:t>
      </w:r>
      <w:r w:rsidR="00F94BE1" w:rsidRPr="0094089A">
        <w:rPr>
          <w:rFonts w:ascii="Times New Roman" w:eastAsia="Times New Roman" w:hAnsi="Times New Roman" w:cs="Times New Roman"/>
          <w:sz w:val="24"/>
          <w:szCs w:val="24"/>
          <w:highlight w:val="white"/>
        </w:rPr>
        <w:t>, est</w:t>
      </w:r>
      <w:r w:rsidR="00404E68" w:rsidRPr="0094089A">
        <w:rPr>
          <w:rFonts w:ascii="Times New Roman" w:eastAsia="Times New Roman" w:hAnsi="Times New Roman" w:cs="Times New Roman"/>
          <w:sz w:val="24"/>
          <w:szCs w:val="24"/>
          <w:highlight w:val="white"/>
        </w:rPr>
        <w:t>á</w:t>
      </w:r>
      <w:r w:rsidR="00F94BE1" w:rsidRPr="0094089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frequentemente associado</w:t>
      </w:r>
      <w:r w:rsidRPr="0094089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ao câncer</w:t>
      </w:r>
      <w:r w:rsidRPr="009408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4089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gene TP53 é conhecido como o "guardião do genoma" pois é ativado em reação a danos no DNA e sinais de estresse celular, a fim de manter a estabilidade do genoma. A </w:t>
      </w:r>
      <w:r w:rsidRPr="0094089A">
        <w:rPr>
          <w:rFonts w:ascii="Times New Roman" w:eastAsia="Times New Roman" w:hAnsi="Times New Roman" w:cs="Times New Roman"/>
          <w:sz w:val="24"/>
          <w:szCs w:val="24"/>
        </w:rPr>
        <w:t>LFS</w:t>
      </w:r>
      <w:r w:rsidRPr="0094089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é caracterizada pela heterogeneidade de manifestações e pela extensa faixa etária em que os casos ocorrem. No entanto, o conhecimen</w:t>
      </w:r>
      <w:r w:rsidR="003A20D6" w:rsidRPr="0094089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to epidemiológico aponta que </w:t>
      </w:r>
      <w:r w:rsidR="00C95C71" w:rsidRPr="0094089A">
        <w:rPr>
          <w:rFonts w:ascii="Times New Roman" w:eastAsia="Times New Roman" w:hAnsi="Times New Roman" w:cs="Times New Roman"/>
          <w:sz w:val="24"/>
          <w:szCs w:val="24"/>
          <w:highlight w:val="white"/>
        </w:rPr>
        <w:t>em</w:t>
      </w:r>
      <w:r w:rsidRPr="0094089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crianças e adolescentes o </w:t>
      </w:r>
      <w:proofErr w:type="spellStart"/>
      <w:r w:rsidRPr="0094089A">
        <w:rPr>
          <w:rFonts w:ascii="Times New Roman" w:eastAsia="Times New Roman" w:hAnsi="Times New Roman" w:cs="Times New Roman"/>
          <w:sz w:val="24"/>
          <w:szCs w:val="24"/>
          <w:highlight w:val="white"/>
        </w:rPr>
        <w:t>osteossarcoma</w:t>
      </w:r>
      <w:proofErr w:type="spellEnd"/>
      <w:r w:rsidRPr="0094089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é o tumor mais comum, seguido por carcinoma adrenocortical, tumores cerebrais e sarcomas de tecidos moles. Já entre os adultos com a síndrome, o câncer de mama é a neoplasia maligna mais </w:t>
      </w:r>
      <w:r w:rsidR="00C95C71" w:rsidRPr="0094089A">
        <w:rPr>
          <w:rFonts w:ascii="Times New Roman" w:eastAsia="Times New Roman" w:hAnsi="Times New Roman" w:cs="Times New Roman"/>
          <w:sz w:val="24"/>
          <w:szCs w:val="24"/>
          <w:highlight w:val="white"/>
        </w:rPr>
        <w:t>frequente</w:t>
      </w:r>
      <w:r w:rsidRPr="0094089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seguido por sarcomas de tecidos moles. Aliado a isso, por meio do sequenciamento completo e a análise de duplicações e deleções no gene TP53 é possível analisar possíveis mutações deletérias em uma amostra molecular de DNA que auxilia no diagnóstico da síndrome. </w:t>
      </w:r>
      <w:r w:rsidRPr="0094089A"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Pr="0094089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síndrome de Li </w:t>
      </w:r>
      <w:proofErr w:type="spellStart"/>
      <w:r w:rsidRPr="0094089A">
        <w:rPr>
          <w:rFonts w:ascii="Times New Roman" w:eastAsia="Times New Roman" w:hAnsi="Times New Roman" w:cs="Times New Roman"/>
          <w:sz w:val="24"/>
          <w:szCs w:val="24"/>
          <w:highlight w:val="white"/>
        </w:rPr>
        <w:t>Fraumeni</w:t>
      </w:r>
      <w:proofErr w:type="spellEnd"/>
      <w:r w:rsidRPr="0094089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está associada a um alto risco de câncer ao longo da vida. Embora seja uma condição rara, é necessário detectar </w:t>
      </w:r>
      <w:r w:rsidRPr="0094089A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precocemente, monitorar e tratar adequadamente os, eventuais, pacientes. O aconselhamento genético (avaliação do gene TP53) deve ser fornecido ao paciente e aos familiares, com o objetivo de um melhor controle da doença, uma vez que parentes em primeiro grau de consanguinidade possuem um alto risco de aparecimento de câncer. Ainda assim, questionamentos são levantados a respeito dos benefícios médicos desse rastreio, abordando-se os efeitos adversos psicossociais que envolvem o aconselhamento: sofrimento psicológico familiar. Ademais, ainda que existam protocolos aplicáveis, é necessário refinar as estratégias de vigilância que os co</w:t>
      </w:r>
      <w:r w:rsidR="00505340" w:rsidRPr="0094089A">
        <w:rPr>
          <w:rFonts w:ascii="Times New Roman" w:eastAsia="Times New Roman" w:hAnsi="Times New Roman" w:cs="Times New Roman"/>
          <w:sz w:val="24"/>
          <w:szCs w:val="24"/>
          <w:highlight w:val="white"/>
        </w:rPr>
        <w:t>mpõem, haja vista</w:t>
      </w:r>
      <w:r w:rsidRPr="0094089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que o risco de câncer pode ser influenciado pelo tipo de mutação e modificadores genéticos, expressando a diversidade da síndrome. Portanto, reforça-se a necessidade de pesquisas prioritárias e de alta qualidade nesse campo, sobretudo, voltadas aos genótipos.</w:t>
      </w:r>
    </w:p>
    <w:p w14:paraId="00000004" w14:textId="01F48698" w:rsidR="00C24EED" w:rsidRPr="0094089A" w:rsidRDefault="00992381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9A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94089A">
        <w:rPr>
          <w:rFonts w:ascii="Times New Roman" w:eastAsia="Times New Roman" w:hAnsi="Times New Roman" w:cs="Times New Roman"/>
          <w:sz w:val="24"/>
          <w:szCs w:val="24"/>
        </w:rPr>
        <w:t xml:space="preserve"> Genes TP53; Síndrome de Li </w:t>
      </w:r>
      <w:proofErr w:type="spellStart"/>
      <w:r w:rsidRPr="0094089A">
        <w:rPr>
          <w:rFonts w:ascii="Times New Roman" w:eastAsia="Times New Roman" w:hAnsi="Times New Roman" w:cs="Times New Roman"/>
          <w:sz w:val="24"/>
          <w:szCs w:val="24"/>
        </w:rPr>
        <w:t>Fraumeni</w:t>
      </w:r>
      <w:proofErr w:type="spellEnd"/>
      <w:r w:rsidRPr="009408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E3675DC" w14:textId="6346F9A8" w:rsidR="00B855D4" w:rsidRPr="0094089A" w:rsidRDefault="00830653" w:rsidP="00B855D4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4089A">
        <w:rPr>
          <w:rFonts w:ascii="Times New Roman" w:eastAsia="Times New Roman" w:hAnsi="Times New Roman" w:cs="Times New Roman"/>
          <w:b/>
          <w:sz w:val="24"/>
          <w:szCs w:val="24"/>
        </w:rPr>
        <w:t>REFERÊNCIAS:</w:t>
      </w:r>
    </w:p>
    <w:p w14:paraId="5A543D68" w14:textId="394D04DF" w:rsidR="00B855D4" w:rsidRPr="0094089A" w:rsidRDefault="00B855D4" w:rsidP="00830653">
      <w:pPr>
        <w:spacing w:after="160"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proofErr w:type="spellStart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Kratz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C. P., </w:t>
      </w:r>
      <w:proofErr w:type="spellStart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Achatz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M. I., </w:t>
      </w:r>
      <w:proofErr w:type="spellStart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Brugières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L., </w:t>
      </w:r>
      <w:proofErr w:type="spellStart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Frebourg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T., </w:t>
      </w:r>
      <w:proofErr w:type="spellStart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Garber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J. E., </w:t>
      </w:r>
      <w:proofErr w:type="spellStart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Greer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M. C., </w:t>
      </w:r>
      <w:proofErr w:type="spellStart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Hansford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J. R., </w:t>
      </w:r>
      <w:proofErr w:type="spellStart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Janeway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K. A., </w:t>
      </w:r>
      <w:proofErr w:type="spellStart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Kohlmann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W. K., </w:t>
      </w:r>
      <w:proofErr w:type="spellStart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McGee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R., </w:t>
      </w:r>
      <w:proofErr w:type="spellStart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Mullighan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C. G., </w:t>
      </w:r>
      <w:proofErr w:type="spellStart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Onel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K., </w:t>
      </w:r>
      <w:proofErr w:type="spellStart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Pajtler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K. W., </w:t>
      </w:r>
      <w:proofErr w:type="spellStart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Pfister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S. M., </w:t>
      </w:r>
      <w:proofErr w:type="spellStart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Savage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S. A., </w:t>
      </w:r>
      <w:proofErr w:type="spellStart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Schiffman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J. D., Schneider, K. A., Strong, L. C.,</w:t>
      </w:r>
      <w:r w:rsidR="00830653"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Evans, D., </w:t>
      </w:r>
      <w:proofErr w:type="spellStart"/>
      <w:r w:rsidR="00830653"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Wasserman</w:t>
      </w:r>
      <w:proofErr w:type="spellEnd"/>
      <w:r w:rsidR="00830653"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J. D., </w:t>
      </w:r>
      <w:proofErr w:type="spellStart"/>
      <w:r w:rsidR="00830653"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Malkin</w:t>
      </w:r>
      <w:proofErr w:type="spellEnd"/>
      <w:r w:rsidR="00830653"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D. </w:t>
      </w:r>
      <w:proofErr w:type="spellStart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Cancer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Screening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Recommendations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for </w:t>
      </w:r>
      <w:proofErr w:type="spellStart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Individuals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with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Li-</w:t>
      </w:r>
      <w:proofErr w:type="spellStart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Fraumeni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Syndrome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 </w:t>
      </w:r>
      <w:proofErr w:type="spellStart"/>
      <w:r w:rsidR="00830653" w:rsidRPr="0094089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>Clinical</w:t>
      </w:r>
      <w:proofErr w:type="spellEnd"/>
      <w:r w:rsidR="00830653" w:rsidRPr="0094089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830653" w:rsidRPr="0094089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>cancer</w:t>
      </w:r>
      <w:proofErr w:type="spellEnd"/>
      <w:r w:rsidR="00830653" w:rsidRPr="0094089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830653" w:rsidRPr="0094089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>research</w:t>
      </w:r>
      <w:proofErr w:type="spellEnd"/>
      <w:r w:rsidRPr="0094089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 xml:space="preserve">: </w:t>
      </w:r>
      <w:proofErr w:type="spellStart"/>
      <w:r w:rsidRPr="0094089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>an</w:t>
      </w:r>
      <w:proofErr w:type="spellEnd"/>
      <w:r w:rsidRPr="0094089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4089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>official</w:t>
      </w:r>
      <w:proofErr w:type="spellEnd"/>
      <w:r w:rsidRPr="0094089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4089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>journal</w:t>
      </w:r>
      <w:proofErr w:type="spellEnd"/>
      <w:r w:rsidRPr="0094089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4089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>of</w:t>
      </w:r>
      <w:proofErr w:type="spellEnd"/>
      <w:r w:rsidRPr="0094089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4089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>the</w:t>
      </w:r>
      <w:proofErr w:type="spellEnd"/>
      <w:r w:rsidRPr="0094089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 xml:space="preserve"> American </w:t>
      </w:r>
      <w:proofErr w:type="spellStart"/>
      <w:r w:rsidRPr="0094089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>Association</w:t>
      </w:r>
      <w:proofErr w:type="spellEnd"/>
      <w:r w:rsidRPr="0094089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 xml:space="preserve"> for </w:t>
      </w:r>
      <w:proofErr w:type="spellStart"/>
      <w:r w:rsidRPr="0094089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>Cancer</w:t>
      </w:r>
      <w:proofErr w:type="spellEnd"/>
      <w:r w:rsidRPr="0094089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4089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>Research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="00830653"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2017;</w:t>
      </w:r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94089A">
        <w:rPr>
          <w:rFonts w:ascii="Times New Roman" w:hAnsi="Times New Roman" w:cs="Times New Roman"/>
          <w:iCs/>
          <w:color w:val="212121"/>
          <w:sz w:val="24"/>
          <w:szCs w:val="24"/>
          <w:shd w:val="clear" w:color="auto" w:fill="FFFFFF"/>
        </w:rPr>
        <w:t>23</w:t>
      </w:r>
      <w:r w:rsidR="00830653"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(11):</w:t>
      </w:r>
      <w:r w:rsidR="00830653"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e38–e45</w:t>
      </w:r>
    </w:p>
    <w:p w14:paraId="64094C7F" w14:textId="2FC70387" w:rsidR="00830653" w:rsidRPr="0094089A" w:rsidRDefault="00830653" w:rsidP="00830653">
      <w:pPr>
        <w:spacing w:after="160"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Correa H</w:t>
      </w:r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 Li-</w:t>
      </w:r>
      <w:proofErr w:type="spellStart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Fraumeni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Syndrome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 </w:t>
      </w:r>
      <w:proofErr w:type="spellStart"/>
      <w:r w:rsidRPr="0094089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>Journal</w:t>
      </w:r>
      <w:proofErr w:type="spellEnd"/>
      <w:r w:rsidRPr="0094089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4089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>of</w:t>
      </w:r>
      <w:proofErr w:type="spellEnd"/>
      <w:r w:rsidRPr="0094089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4089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>pediatric</w:t>
      </w:r>
      <w:proofErr w:type="spellEnd"/>
      <w:r w:rsidRPr="0094089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4089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>genetics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 </w:t>
      </w:r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2016; </w:t>
      </w:r>
      <w:r w:rsidRPr="0094089A">
        <w:rPr>
          <w:rFonts w:ascii="Times New Roman" w:hAnsi="Times New Roman" w:cs="Times New Roman"/>
          <w:iCs/>
          <w:color w:val="212121"/>
          <w:sz w:val="24"/>
          <w:szCs w:val="24"/>
          <w:shd w:val="clear" w:color="auto" w:fill="FFFFFF"/>
        </w:rPr>
        <w:t>5</w:t>
      </w:r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(2), 84–88. </w:t>
      </w:r>
    </w:p>
    <w:p w14:paraId="2653B10A" w14:textId="13526D3E" w:rsidR="00830653" w:rsidRPr="0094089A" w:rsidRDefault="00830653" w:rsidP="00830653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Guha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T., &amp; </w:t>
      </w:r>
      <w:proofErr w:type="spellStart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Malkin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D. (2017). </w:t>
      </w:r>
      <w:proofErr w:type="spellStart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Inherited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94089A">
        <w:rPr>
          <w:rFonts w:ascii="Times New Roman" w:hAnsi="Times New Roman" w:cs="Times New Roman"/>
          <w:iCs/>
          <w:color w:val="212121"/>
          <w:sz w:val="24"/>
          <w:szCs w:val="24"/>
          <w:shd w:val="clear" w:color="auto" w:fill="FFFFFF"/>
        </w:rPr>
        <w:t>TP53</w:t>
      </w:r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proofErr w:type="spellStart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Mutations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and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Li-</w:t>
      </w:r>
      <w:proofErr w:type="spellStart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Fraumeni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Syndrome</w:t>
      </w:r>
      <w:proofErr w:type="spellEnd"/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 </w:t>
      </w:r>
      <w:proofErr w:type="spellStart"/>
      <w:r w:rsidRPr="0094089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>Cold</w:t>
      </w:r>
      <w:proofErr w:type="spellEnd"/>
      <w:r w:rsidRPr="0094089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 xml:space="preserve"> Spring </w:t>
      </w:r>
      <w:proofErr w:type="spellStart"/>
      <w:r w:rsidRPr="0094089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>Harbor</w:t>
      </w:r>
      <w:proofErr w:type="spellEnd"/>
      <w:r w:rsidRPr="0094089A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 xml:space="preserve"> perspectives in medicine</w:t>
      </w:r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 2017;</w:t>
      </w:r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94089A">
        <w:rPr>
          <w:rFonts w:ascii="Times New Roman" w:hAnsi="Times New Roman" w:cs="Times New Roman"/>
          <w:iCs/>
          <w:color w:val="212121"/>
          <w:sz w:val="24"/>
          <w:szCs w:val="24"/>
          <w:shd w:val="clear" w:color="auto" w:fill="FFFFFF"/>
        </w:rPr>
        <w:t>7</w:t>
      </w:r>
      <w:r w:rsidRPr="009408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(4), a026187.</w:t>
      </w:r>
    </w:p>
    <w:p w14:paraId="0000000A" w14:textId="77777777" w:rsidR="00C24EED" w:rsidRDefault="00C24EED">
      <w:pPr>
        <w:spacing w:after="160" w:line="360" w:lineRule="auto"/>
        <w:jc w:val="both"/>
        <w:rPr>
          <w:sz w:val="24"/>
          <w:szCs w:val="24"/>
        </w:rPr>
      </w:pPr>
    </w:p>
    <w:sectPr w:rsidR="00C24EED" w:rsidSect="00F94BE1">
      <w:pgSz w:w="11909" w:h="16834" w:code="9"/>
      <w:pgMar w:top="1701" w:right="1418" w:bottom="1418" w:left="1701" w:header="709" w:footer="141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39BDE" w14:textId="77777777" w:rsidR="00076720" w:rsidRDefault="00076720" w:rsidP="00F94BE1">
      <w:pPr>
        <w:spacing w:line="240" w:lineRule="auto"/>
      </w:pPr>
      <w:r>
        <w:separator/>
      </w:r>
    </w:p>
  </w:endnote>
  <w:endnote w:type="continuationSeparator" w:id="0">
    <w:p w14:paraId="07B50A3A" w14:textId="77777777" w:rsidR="00076720" w:rsidRDefault="00076720" w:rsidP="00F94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47953" w14:textId="77777777" w:rsidR="00076720" w:rsidRDefault="00076720" w:rsidP="00F94BE1">
      <w:pPr>
        <w:spacing w:line="240" w:lineRule="auto"/>
      </w:pPr>
      <w:r>
        <w:separator/>
      </w:r>
    </w:p>
  </w:footnote>
  <w:footnote w:type="continuationSeparator" w:id="0">
    <w:p w14:paraId="53D24067" w14:textId="77777777" w:rsidR="00076720" w:rsidRDefault="00076720" w:rsidP="00F94B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ED"/>
    <w:rsid w:val="000548D4"/>
    <w:rsid w:val="00076720"/>
    <w:rsid w:val="001A37DE"/>
    <w:rsid w:val="003A20D6"/>
    <w:rsid w:val="003D5EC8"/>
    <w:rsid w:val="00404E68"/>
    <w:rsid w:val="004515BE"/>
    <w:rsid w:val="00463F17"/>
    <w:rsid w:val="00505340"/>
    <w:rsid w:val="005C78CC"/>
    <w:rsid w:val="00830653"/>
    <w:rsid w:val="0094089A"/>
    <w:rsid w:val="00992381"/>
    <w:rsid w:val="009C3D42"/>
    <w:rsid w:val="00B855D4"/>
    <w:rsid w:val="00C24EED"/>
    <w:rsid w:val="00C95C71"/>
    <w:rsid w:val="00D915A9"/>
    <w:rsid w:val="00E6565D"/>
    <w:rsid w:val="00EB0CDD"/>
    <w:rsid w:val="00EE1A7B"/>
    <w:rsid w:val="00F9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2649"/>
  <w15:docId w15:val="{428B17AA-D6BB-49BF-8659-694D6B4F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F94BE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BE1"/>
  </w:style>
  <w:style w:type="paragraph" w:styleId="Rodap">
    <w:name w:val="footer"/>
    <w:basedOn w:val="Normal"/>
    <w:link w:val="RodapChar"/>
    <w:uiPriority w:val="99"/>
    <w:unhideWhenUsed/>
    <w:rsid w:val="00F94BE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BE1"/>
  </w:style>
  <w:style w:type="paragraph" w:customStyle="1" w:styleId="Normal1">
    <w:name w:val="Normal1"/>
    <w:rsid w:val="00B855D4"/>
  </w:style>
  <w:style w:type="character" w:styleId="Hyperlink">
    <w:name w:val="Hyperlink"/>
    <w:basedOn w:val="Fontepargpadro"/>
    <w:uiPriority w:val="99"/>
    <w:unhideWhenUsed/>
    <w:rsid w:val="00B85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ersonalbuquerque94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710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 Simoes de Oliveira</dc:creator>
  <cp:lastModifiedBy>Anderson Albuquerque</cp:lastModifiedBy>
  <cp:revision>6</cp:revision>
  <dcterms:created xsi:type="dcterms:W3CDTF">2020-09-16T17:06:00Z</dcterms:created>
  <dcterms:modified xsi:type="dcterms:W3CDTF">2020-09-16T23:36:00Z</dcterms:modified>
</cp:coreProperties>
</file>