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1E931" w14:textId="3D0C1F56" w:rsidR="00D8471E" w:rsidRPr="006F452E" w:rsidRDefault="006F452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808080" w:themeColor="background1" w:themeShade="80"/>
        </w:rPr>
      </w:pPr>
      <w:r w:rsidRPr="006F452E">
        <w:rPr>
          <w:rFonts w:ascii="Times New Roman" w:eastAsia="Times New Roman" w:hAnsi="Times New Roman" w:cs="Times New Roman"/>
          <w:b/>
          <w:color w:val="808080" w:themeColor="background1" w:themeShade="80"/>
        </w:rPr>
        <w:t>Trilha</w:t>
      </w:r>
      <w:r w:rsidR="00B66C2E">
        <w:rPr>
          <w:rFonts w:ascii="Times New Roman" w:eastAsia="Times New Roman" w:hAnsi="Times New Roman" w:cs="Times New Roman"/>
          <w:b/>
          <w:color w:val="808080" w:themeColor="background1" w:themeShade="80"/>
        </w:rPr>
        <w:t xml:space="preserve"> 2</w:t>
      </w:r>
    </w:p>
    <w:p w14:paraId="6EBCBD64" w14:textId="77777777" w:rsidR="00D8471E" w:rsidRDefault="00D8471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77E895" w14:textId="77777777" w:rsidR="00B66C2E" w:rsidRPr="00E035B0" w:rsidRDefault="00B66C2E" w:rsidP="00B66C2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35B0">
        <w:rPr>
          <w:rFonts w:ascii="Times New Roman" w:eastAsia="Times New Roman" w:hAnsi="Times New Roman" w:cs="Times New Roman"/>
          <w:b/>
          <w:bCs/>
          <w:sz w:val="28"/>
          <w:szCs w:val="28"/>
        </w:rPr>
        <w:t>Práticas de Gestão do Conhecimento Pessoal para o Desenvolvimento Individual e Organizacional em prol da Inovação</w:t>
      </w:r>
    </w:p>
    <w:p w14:paraId="662E3E04" w14:textId="3C225E84" w:rsidR="00D8471E" w:rsidRDefault="00B66C2E" w:rsidP="00B66C2E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35B0">
        <w:rPr>
          <w:rFonts w:ascii="Times New Roman" w:eastAsia="Times New Roman" w:hAnsi="Times New Roman" w:cs="Times New Roman"/>
          <w:i/>
          <w:sz w:val="28"/>
          <w:szCs w:val="28"/>
        </w:rPr>
        <w:t xml:space="preserve">Personal </w:t>
      </w:r>
      <w:proofErr w:type="spellStart"/>
      <w:r w:rsidRPr="00E035B0">
        <w:rPr>
          <w:rFonts w:ascii="Times New Roman" w:eastAsia="Times New Roman" w:hAnsi="Times New Roman" w:cs="Times New Roman"/>
          <w:i/>
          <w:sz w:val="28"/>
          <w:szCs w:val="28"/>
        </w:rPr>
        <w:t>Knowledge</w:t>
      </w:r>
      <w:proofErr w:type="spellEnd"/>
      <w:r w:rsidRPr="00E035B0">
        <w:rPr>
          <w:rFonts w:ascii="Times New Roman" w:eastAsia="Times New Roman" w:hAnsi="Times New Roman" w:cs="Times New Roman"/>
          <w:i/>
          <w:sz w:val="28"/>
          <w:szCs w:val="28"/>
        </w:rPr>
        <w:t xml:space="preserve"> Management </w:t>
      </w:r>
      <w:proofErr w:type="spellStart"/>
      <w:r w:rsidRPr="00E035B0">
        <w:rPr>
          <w:rFonts w:ascii="Times New Roman" w:eastAsia="Times New Roman" w:hAnsi="Times New Roman" w:cs="Times New Roman"/>
          <w:i/>
          <w:sz w:val="28"/>
          <w:szCs w:val="28"/>
        </w:rPr>
        <w:t>Practices</w:t>
      </w:r>
      <w:proofErr w:type="spellEnd"/>
      <w:r w:rsidRPr="00E035B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035B0">
        <w:rPr>
          <w:rFonts w:ascii="Times New Roman" w:eastAsia="Times New Roman" w:hAnsi="Times New Roman" w:cs="Times New Roman"/>
          <w:i/>
          <w:sz w:val="28"/>
          <w:szCs w:val="28"/>
        </w:rPr>
        <w:t>for Individual</w:t>
      </w:r>
      <w:proofErr w:type="gramEnd"/>
      <w:r w:rsidRPr="00E035B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i/>
          <w:sz w:val="28"/>
          <w:szCs w:val="28"/>
        </w:rPr>
        <w:t>and</w:t>
      </w:r>
      <w:proofErr w:type="spellEnd"/>
      <w:r w:rsidRPr="00E035B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i/>
          <w:sz w:val="28"/>
          <w:szCs w:val="28"/>
        </w:rPr>
        <w:t>Organizational</w:t>
      </w:r>
      <w:proofErr w:type="spellEnd"/>
      <w:r w:rsidRPr="00E035B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i/>
          <w:sz w:val="28"/>
          <w:szCs w:val="28"/>
        </w:rPr>
        <w:t>Development</w:t>
      </w:r>
      <w:proofErr w:type="spellEnd"/>
      <w:r w:rsidRPr="00E035B0">
        <w:rPr>
          <w:rFonts w:ascii="Times New Roman" w:eastAsia="Times New Roman" w:hAnsi="Times New Roman" w:cs="Times New Roman"/>
          <w:i/>
          <w:sz w:val="28"/>
          <w:szCs w:val="28"/>
        </w:rPr>
        <w:t xml:space="preserve"> for </w:t>
      </w:r>
      <w:proofErr w:type="spellStart"/>
      <w:r w:rsidRPr="00E035B0">
        <w:rPr>
          <w:rFonts w:ascii="Times New Roman" w:eastAsia="Times New Roman" w:hAnsi="Times New Roman" w:cs="Times New Roman"/>
          <w:i/>
          <w:sz w:val="28"/>
          <w:szCs w:val="28"/>
        </w:rPr>
        <w:t>Innovation</w:t>
      </w:r>
      <w:proofErr w:type="spellEnd"/>
    </w:p>
    <w:p w14:paraId="170E1265" w14:textId="77777777" w:rsidR="00D8471E" w:rsidRDefault="00D847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F33923" w14:textId="4C81EE3B" w:rsidR="00D8471E" w:rsidRPr="00B66C2E" w:rsidRDefault="00B66C2E" w:rsidP="006F452E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B66C2E">
        <w:rPr>
          <w:rFonts w:ascii="Times New Roman" w:eastAsia="Times New Roman" w:hAnsi="Times New Roman" w:cs="Times New Roman"/>
          <w:b/>
          <w:bCs/>
        </w:rPr>
        <w:t>Mariana Rodrigues de Lima</w:t>
      </w:r>
    </w:p>
    <w:p w14:paraId="7763DEDF" w14:textId="77777777" w:rsidR="00B66C2E" w:rsidRDefault="00B66C2E" w:rsidP="006F452E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B66C2E">
        <w:rPr>
          <w:rFonts w:ascii="Times New Roman" w:eastAsia="Times New Roman" w:hAnsi="Times New Roman" w:cs="Times New Roman"/>
        </w:rPr>
        <w:t xml:space="preserve">Mestre em Informática e Gestão do Conhecimento pela Universidade Nove de Julho - UNINOVE – Brasil. </w:t>
      </w:r>
    </w:p>
    <w:p w14:paraId="1E39D17C" w14:textId="0E8D136A" w:rsidR="00B66C2E" w:rsidRDefault="00B66C2E" w:rsidP="00B66C2E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B66C2E">
        <w:rPr>
          <w:rFonts w:ascii="Times New Roman" w:eastAsia="Times New Roman" w:hAnsi="Times New Roman" w:cs="Times New Roman"/>
        </w:rPr>
        <w:t>mariana.rl@uni9.edu.br</w:t>
      </w:r>
      <w:r w:rsidRPr="00B66C2E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5E6004F" w14:textId="51B49012" w:rsidR="006F452E" w:rsidRPr="006F452E" w:rsidRDefault="002E7634" w:rsidP="006F452E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2E7634">
        <w:rPr>
          <w:rFonts w:ascii="Times New Roman" w:eastAsia="Times New Roman" w:hAnsi="Times New Roman" w:cs="Times New Roman"/>
          <w:b/>
          <w:bCs/>
        </w:rPr>
        <w:t xml:space="preserve">Marcos </w:t>
      </w:r>
      <w:proofErr w:type="spellStart"/>
      <w:r w:rsidRPr="002E7634">
        <w:rPr>
          <w:rFonts w:ascii="Times New Roman" w:eastAsia="Times New Roman" w:hAnsi="Times New Roman" w:cs="Times New Roman"/>
          <w:b/>
          <w:bCs/>
        </w:rPr>
        <w:t>Antonio</w:t>
      </w:r>
      <w:proofErr w:type="spellEnd"/>
      <w:r w:rsidRPr="002E7634">
        <w:rPr>
          <w:rFonts w:ascii="Times New Roman" w:eastAsia="Times New Roman" w:hAnsi="Times New Roman" w:cs="Times New Roman"/>
          <w:b/>
          <w:bCs/>
        </w:rPr>
        <w:t xml:space="preserve"> Gaspar</w:t>
      </w:r>
    </w:p>
    <w:p w14:paraId="04D0CBE3" w14:textId="7B6B8C25" w:rsidR="006F452E" w:rsidRDefault="002E7634" w:rsidP="006F452E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2E7634">
        <w:rPr>
          <w:rFonts w:ascii="Times New Roman" w:eastAsia="Times New Roman" w:hAnsi="Times New Roman" w:cs="Times New Roman"/>
        </w:rPr>
        <w:t>Doutor em Administração pela USP. Universidade Nove de Julho (UNINOVE) - Brasil. marcos.antonio@uni9.pro.br</w:t>
      </w:r>
    </w:p>
    <w:p w14:paraId="33B4A761" w14:textId="77777777" w:rsidR="006F452E" w:rsidRDefault="006F452E" w:rsidP="006F452E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</w:p>
    <w:p w14:paraId="70967609" w14:textId="77777777" w:rsidR="002E7634" w:rsidRDefault="002E7634" w:rsidP="006F452E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3C745F7" w14:textId="77777777" w:rsidR="00D8471E" w:rsidRDefault="00000000" w:rsidP="006F452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RESUMO</w:t>
      </w:r>
    </w:p>
    <w:p w14:paraId="245A0A53" w14:textId="46F0C30D" w:rsidR="002E7634" w:rsidRPr="00E035B0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>O objetivo desta pesquisa é identificar como as práticas de gestão do conhecimento pessoal (GCP) adotadas por trabalhadores do conhecimento em organizações intensivas em conhecimento (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) influenciam o desenvolvimento individual e organizacional em prol da inovação. Esta é uma pesquisa descritiva e qualitativa, realizada com profissionais de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brasileiras selecionadas a partir da aplicação de um formulário de classificação. A coleta de dados ocorreu por meio de entrevistas semiestruturadas junto a profissionais de gestão do conhecimento dessas organizações, com posterior análise categorial dos conteúdos coletados. Os resultados revelaram a existência de 29 práticas de GCP aplicadas pelas organizações, distribuídas ao longo das etapas de localizar (19 práticas), compartilhar (16), criar (23) e aplicar conhecimento (18) do processo de GCP. Tais práticas fortalecem a aprendizagem contínua, a adaptação a contextos dinâmicos e o compartilhamento de conhecimento, contribuindo para melhorias incrementais e geração de inovação nas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. Além disso, verificou-se que a integração entre conhecimentos tácitos e explícitos dos trabalhadores do conhecimento favorece a construção de redes colaborativas e o avanço de soluções inovadoras nas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. Os resultados da pesquisa possibilitaram concluir que a aplicação de práticas de GCP podem influenciar o desenvolvimento individual e organizacional voltado à inovação em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F09880" w14:textId="2D4AD0B8" w:rsidR="00D8471E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</w:t>
      </w: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: gestão do conhecimento; gestão do conhecimento pessoal; práticas de gestão do conhecimento; organizações intensivas em </w:t>
      </w:r>
      <w:proofErr w:type="gramStart"/>
      <w:r w:rsidRPr="00E035B0">
        <w:rPr>
          <w:rFonts w:ascii="Times New Roman" w:eastAsia="Times New Roman" w:hAnsi="Times New Roman" w:cs="Times New Roman"/>
          <w:sz w:val="24"/>
          <w:szCs w:val="24"/>
        </w:rPr>
        <w:t>conhecimento.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42175E9C" w14:textId="77777777" w:rsidR="00D8471E" w:rsidRDefault="00D847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95671C" w14:textId="77777777" w:rsidR="00D8471E" w:rsidRDefault="00000000" w:rsidP="006F452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ABSTRACT (replicar em inglês)</w:t>
      </w:r>
    </w:p>
    <w:p w14:paraId="0AB5EA8F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aims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identify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how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personal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knowledge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management (PKM)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practices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adopted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knowledge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workers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knowledge-intensive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organizations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KIOs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influence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individual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organizational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sake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innovation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descriptive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qualitative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study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conducted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professionals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selected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Brazilian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KIOs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based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application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classification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form. Data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collection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took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place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through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semi-structured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interviews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knowledge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management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professionals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organizations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followed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categorical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analysis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collected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contents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results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revealed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existence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29 PKM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practices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applied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organizations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distributed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across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stages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locating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(19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practices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sharing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(16),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creating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(23),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applying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knowledge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(18) in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PKM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process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practices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strengthen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continuous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learning,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adaptation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dynamic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contexts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knowledge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sharing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contributing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incremental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improvements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generation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innovation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knowledge-</w:t>
      </w:r>
      <w:r w:rsidRPr="00E035B0">
        <w:rPr>
          <w:rFonts w:ascii="Times New Roman" w:eastAsia="Times New Roman" w:hAnsi="Times New Roman" w:cs="Times New Roman"/>
          <w:sz w:val="24"/>
          <w:szCs w:val="24"/>
        </w:rPr>
        <w:lastRenderedPageBreak/>
        <w:t>intensive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organizations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KIOs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Additionally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, it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was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found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integration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between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tacit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explicit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knowledge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knowledge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workers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favors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construction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collaborative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networks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advancement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innovative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solutions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KIOs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results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allowed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us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conclude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application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PKM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practices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can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influence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individual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organizational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aimed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at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innovation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KIOs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B30801" w14:textId="7EFA5080" w:rsidR="00D8471E" w:rsidRDefault="00000000" w:rsidP="002E763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KEYWORDS: </w:t>
      </w:r>
      <w:proofErr w:type="spellStart"/>
      <w:r w:rsidR="002E7634" w:rsidRPr="002E7634">
        <w:rPr>
          <w:rFonts w:ascii="Times New Roman" w:eastAsia="Times New Roman" w:hAnsi="Times New Roman" w:cs="Times New Roman"/>
          <w:i/>
        </w:rPr>
        <w:t>knowledge</w:t>
      </w:r>
      <w:proofErr w:type="spellEnd"/>
      <w:r w:rsidR="002E7634" w:rsidRPr="002E7634">
        <w:rPr>
          <w:rFonts w:ascii="Times New Roman" w:eastAsia="Times New Roman" w:hAnsi="Times New Roman" w:cs="Times New Roman"/>
          <w:i/>
        </w:rPr>
        <w:t xml:space="preserve"> management; </w:t>
      </w:r>
      <w:proofErr w:type="spellStart"/>
      <w:r w:rsidR="002E7634" w:rsidRPr="002E7634">
        <w:rPr>
          <w:rFonts w:ascii="Times New Roman" w:eastAsia="Times New Roman" w:hAnsi="Times New Roman" w:cs="Times New Roman"/>
          <w:i/>
        </w:rPr>
        <w:t>knowledge</w:t>
      </w:r>
      <w:proofErr w:type="spellEnd"/>
      <w:r w:rsidR="002E7634" w:rsidRPr="002E7634">
        <w:rPr>
          <w:rFonts w:ascii="Times New Roman" w:eastAsia="Times New Roman" w:hAnsi="Times New Roman" w:cs="Times New Roman"/>
          <w:i/>
        </w:rPr>
        <w:t xml:space="preserve"> management </w:t>
      </w:r>
      <w:proofErr w:type="spellStart"/>
      <w:r w:rsidR="002E7634" w:rsidRPr="002E7634">
        <w:rPr>
          <w:rFonts w:ascii="Times New Roman" w:eastAsia="Times New Roman" w:hAnsi="Times New Roman" w:cs="Times New Roman"/>
          <w:i/>
        </w:rPr>
        <w:t>practices</w:t>
      </w:r>
      <w:proofErr w:type="spellEnd"/>
      <w:r w:rsidR="002E7634" w:rsidRPr="002E7634">
        <w:rPr>
          <w:rFonts w:ascii="Times New Roman" w:eastAsia="Times New Roman" w:hAnsi="Times New Roman" w:cs="Times New Roman"/>
          <w:i/>
        </w:rPr>
        <w:t xml:space="preserve">; personal </w:t>
      </w:r>
      <w:proofErr w:type="spellStart"/>
      <w:r w:rsidR="002E7634" w:rsidRPr="002E7634">
        <w:rPr>
          <w:rFonts w:ascii="Times New Roman" w:eastAsia="Times New Roman" w:hAnsi="Times New Roman" w:cs="Times New Roman"/>
          <w:i/>
        </w:rPr>
        <w:t>knowledge</w:t>
      </w:r>
      <w:proofErr w:type="spellEnd"/>
      <w:r w:rsidR="002E7634" w:rsidRPr="002E7634">
        <w:rPr>
          <w:rFonts w:ascii="Times New Roman" w:eastAsia="Times New Roman" w:hAnsi="Times New Roman" w:cs="Times New Roman"/>
          <w:i/>
        </w:rPr>
        <w:t xml:space="preserve"> management; </w:t>
      </w:r>
      <w:proofErr w:type="spellStart"/>
      <w:r w:rsidR="002E7634" w:rsidRPr="002E7634">
        <w:rPr>
          <w:rFonts w:ascii="Times New Roman" w:eastAsia="Times New Roman" w:hAnsi="Times New Roman" w:cs="Times New Roman"/>
          <w:i/>
        </w:rPr>
        <w:t>knowledge-intensive</w:t>
      </w:r>
      <w:proofErr w:type="spellEnd"/>
      <w:r w:rsidR="002E7634" w:rsidRPr="002E7634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="002E7634" w:rsidRPr="002E7634">
        <w:rPr>
          <w:rFonts w:ascii="Times New Roman" w:eastAsia="Times New Roman" w:hAnsi="Times New Roman" w:cs="Times New Roman"/>
          <w:i/>
        </w:rPr>
        <w:t>organizations</w:t>
      </w:r>
      <w:proofErr w:type="spellEnd"/>
      <w:r>
        <w:rPr>
          <w:rFonts w:ascii="Times New Roman" w:eastAsia="Times New Roman" w:hAnsi="Times New Roman" w:cs="Times New Roman"/>
          <w:i/>
        </w:rPr>
        <w:t>.</w:t>
      </w:r>
    </w:p>
    <w:p w14:paraId="3A46D71F" w14:textId="77777777" w:rsidR="00D8471E" w:rsidRDefault="00D847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B7820C" w14:textId="77777777" w:rsidR="00D847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INTRODUÇÃO</w:t>
      </w:r>
    </w:p>
    <w:p w14:paraId="7BE7A82F" w14:textId="77777777" w:rsidR="002E7634" w:rsidRPr="00E035B0" w:rsidRDefault="002E7634" w:rsidP="002E763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>No contexto empresarial contemporâneo, marcado por rápidas transformações tecnológicas e mudanças constantes, as organizações intensivas em conhecimento enfrentam desafios singulares para se manterem competitivas e inovadoras. Assim, promover e sustentar a geração de ideias no ambiente de trabalho, bem como aproveitar o potencial criativo dos trabalhadores, tornou-se um objetivo primordial para muitas organizações que dependem intensivamente do conhecimento (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Mattarelli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35B0">
        <w:rPr>
          <w:rFonts w:ascii="Times New Roman" w:eastAsia="Times New Roman" w:hAnsi="Times New Roman" w:cs="Times New Roman"/>
          <w:i/>
          <w:iCs/>
          <w:sz w:val="24"/>
          <w:szCs w:val="24"/>
        </w:rPr>
        <w:t>et al.</w:t>
      </w: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, 2024). </w:t>
      </w:r>
    </w:p>
    <w:p w14:paraId="012C0AD0" w14:textId="77777777" w:rsidR="002E7634" w:rsidRPr="00E035B0" w:rsidRDefault="002E7634" w:rsidP="002E763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Neste contexto, também marcado pelo contínuo avanço da tecnologia da informação e comunicação, Rocha </w:t>
      </w:r>
      <w:r w:rsidRPr="00E035B0">
        <w:rPr>
          <w:rFonts w:ascii="Times New Roman" w:eastAsia="Times New Roman" w:hAnsi="Times New Roman" w:cs="Times New Roman"/>
          <w:i/>
          <w:iCs/>
          <w:sz w:val="24"/>
          <w:szCs w:val="24"/>
        </w:rPr>
        <w:t>et al.</w:t>
      </w: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(2024) consideram que o compartilhamento de conhecimento impulsiona a inovação e incentiva a criação de produtos, serviços e processos. Assim, há de se considerar a gestão do conhecimento pessoal (GCP), que é realizada ao nível da pessoa/profissional nas organizações. Conforme indicado por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Jarche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(2024), a GCP envolve a habilidade de pessoas em adquirir, organizar e aplicar o conhecimento, sendo fundamental tanto para o sucesso profissional quanto para a capacidade de inovação de uma organização. Em um mundo em que as informações estão em constante mudança, a GCP permite que os profissionais se adaptem e aprendam continuamente, tornando-se ativos valiosos para suas organizações. </w:t>
      </w:r>
    </w:p>
    <w:p w14:paraId="14055A4D" w14:textId="11A78B15" w:rsidR="00B009E4" w:rsidRDefault="002E7634" w:rsidP="002E763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A gênese do problema abordado nesta pesquisa reside na percepção de lacunas na compreensão de como as práticas de GCP influenciam a GC e o desenvolvimento de trabalhadores do conhecimento em contextos de inovação em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. A justificativa para este estudo baseia-se na necessidade de compreender como as práticas de GCP moldam a GC e a inovação em organizações inseridas num ambiente empresarial dinâmico e complexo, particularmente no contexto brasileiro. A crescente pressão por inovação e a necessidade de desenvolver profissionais altamente capacitados impõem às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no país o desafio de explorar e otimizar suas práticas de GCP. Em razão contexto apresentado, o objetivo desta pesquisa é identificar como as práticas de GCP adotadas por trabalhadores do conhecimento em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influenciam o desenvolvimento individual e organizacional em prol da inovação.</w:t>
      </w:r>
    </w:p>
    <w:p w14:paraId="41DCF663" w14:textId="77777777" w:rsidR="00D8471E" w:rsidRDefault="00D847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E4FD05" w14:textId="77777777" w:rsidR="00D847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REFERENCIAL TEÓRICO</w:t>
      </w:r>
    </w:p>
    <w:p w14:paraId="7B32E8CB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b/>
          <w:sz w:val="24"/>
          <w:szCs w:val="24"/>
        </w:rPr>
        <w:t>Gestão do Conhecimento Pessoal e Organizacional em Organizações Intensivas em Conhecimento</w:t>
      </w:r>
    </w:p>
    <w:p w14:paraId="6B199D65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Óskarsdóttir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35B0">
        <w:rPr>
          <w:rFonts w:ascii="Times New Roman" w:eastAsia="Times New Roman" w:hAnsi="Times New Roman" w:cs="Times New Roman"/>
          <w:i/>
          <w:iCs/>
          <w:sz w:val="24"/>
          <w:szCs w:val="24"/>
        </w:rPr>
        <w:t>et al.</w:t>
      </w: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(2021) afirmam que o conhecimento é uma fonte distintiva e inimitável disponível para as organizações, essencial para a criação de valor, sendo que raramente o trabalhador do conhecimento possui todas as informações necessárias para criar valor. Os autores destacam a importância do conhecimento individual na criação e retenção de conhecimento organizacional, uma vez que este serve como base para o desenvolvimento de estratégias de GC que visam melhorar a produtividade dos trabalhadores do conhecimento. Para Ziviani </w:t>
      </w:r>
      <w:r w:rsidRPr="00E035B0">
        <w:rPr>
          <w:rFonts w:ascii="Times New Roman" w:eastAsia="Times New Roman" w:hAnsi="Times New Roman" w:cs="Times New Roman"/>
          <w:i/>
          <w:iCs/>
          <w:sz w:val="24"/>
          <w:szCs w:val="24"/>
        </w:rPr>
        <w:t>et al.</w:t>
      </w: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(2024), a abordagem da GC numa organização proporciona práticas para realçar a captação, categorização e compartilhamento de conhecimentos entre os profissionais, contribuindo assim para fortalecer o conhecimento organizacional como importante ativo da empresa.</w:t>
      </w:r>
    </w:p>
    <w:p w14:paraId="50B809E0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A Gestão do Conhecimento Pessoal (GCP) ou </w:t>
      </w:r>
      <w:r w:rsidRPr="00E035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Personal </w:t>
      </w:r>
      <w:proofErr w:type="spellStart"/>
      <w:r w:rsidRPr="00E035B0">
        <w:rPr>
          <w:rFonts w:ascii="Times New Roman" w:eastAsia="Times New Roman" w:hAnsi="Times New Roman" w:cs="Times New Roman"/>
          <w:i/>
          <w:iCs/>
          <w:sz w:val="24"/>
          <w:szCs w:val="24"/>
        </w:rPr>
        <w:t>Knowledge</w:t>
      </w:r>
      <w:proofErr w:type="spellEnd"/>
      <w:r w:rsidRPr="00E035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Management</w:t>
      </w: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(PKM), conforme visão de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Frand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Hixson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(1998), pode ser conceituada como um modelo mental destinado a combinar informações coletadas em uma base de conhecimento pessoal mais relevante. A importância da GCP, conforme indicado por Jefferson (2006) e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Pauleen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(2011), está na sua capacidade de personalizar a GC da organização em termos mais individualizados. Esta perspectiva destaca a importância de gerenciar o conhecimento individual não apenas em benefício pessoal, mas também como um elemento crucial para o desenvolvimento e inovação organizacional.</w:t>
      </w:r>
    </w:p>
    <w:p w14:paraId="3F5FBCA7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Em adição, Hu,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Kongjit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Nimmolrat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(2024) ressaltam que a GCP se refere ao conjunto de competências e estratégias que as pessoas utilizam para gerir seu próprio conhecimento e construir sua compreensão das informações e recursos adquiridos de forma autodirigida. Os autores destacam ainda que a GCP desempenha um papel importante no processo de GC, uma vez que beneficia tanto os profissionais quanto as organizações na melhoria de suas competências. </w:t>
      </w:r>
    </w:p>
    <w:p w14:paraId="56D52A2F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Na visão de Liu e Xiao (2022), o conhecimento individual é a base e fundamento da inovação tecnológica organizacional, uma vez que é importante formar um ciclo favorável de GCP, por meio da aquisição, transferência, disseminação e aplicação de conhecimento, como um meio para impulsionar a inovação nas organizações. Em consonância, Berg e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Kaur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(2022) asseveram que a criação de conhecimento ao nível individual é fundamental para o </w:t>
      </w:r>
      <w:r w:rsidRPr="00E035B0">
        <w:rPr>
          <w:rFonts w:ascii="Times New Roman" w:eastAsia="Times New Roman" w:hAnsi="Times New Roman" w:cs="Times New Roman"/>
          <w:sz w:val="24"/>
          <w:szCs w:val="24"/>
        </w:rPr>
        <w:lastRenderedPageBreak/>
        <w:t>funcionamento e a competitividade das organizações, posto que as pessoas desempenham um papel crucial na criação e retenção de conhecimento.</w:t>
      </w:r>
    </w:p>
    <w:p w14:paraId="4AC02CE8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De acordo com Vu e Alonso (2023), o conhecimento é um dos recursos da organização que requer constante desenvolvimento e cuidado, sendo as práticas colaborativas essenciais para esta finalidade. Assim, a criação de conhecimento está intrinsecamente ligada à dinâmica entre o conhecimento individual e coletivo existentes na organização. Conforme discutido por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Ley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35B0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Pr="00E035B0">
        <w:rPr>
          <w:rFonts w:ascii="Times New Roman" w:eastAsia="Times New Roman" w:hAnsi="Times New Roman" w:cs="Times New Roman"/>
          <w:sz w:val="24"/>
          <w:szCs w:val="24"/>
        </w:rPr>
        <w:t>. (2020), os processos de criação de conhecimento envolvem a transformação do conhecimento do nível individual para comunidades cada vez mais amplas de interação, que podem até transcender os limites organizacionais estabelecidos.</w:t>
      </w:r>
    </w:p>
    <w:p w14:paraId="4987A655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Farzaneh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Mehralian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Isaai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(2021), o conhecimento coletivo pode ser entendido como o resultado da interação entre o compartilhamento e a integração do conhecimento por indivíduos integrantes de um grupo ou equipe. Os autores indicam ainda que o compartilhamento de conhecimento se refere à atividade na qual os membros introduzem seu próprio conhecimento no grupo, contribuindo para o desenvolvimento de artefatos e facilitando a captura e transferência de conhecimentos entre as pessoas. O conhecimento pessoal e coletivo dos profissionais é base para a construção do conhecimento organizacional, segundo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Dalkir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(2017), que transcende a mera coleta de dados e informações dos indivíduos, sendo a essência internalizada pelos membros da organização para gerar vantagens competitivas. </w:t>
      </w:r>
    </w:p>
    <w:p w14:paraId="7404F3DA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Segundo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Ibidunni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(2020), o conhecimento organizacional vai além de um simples estoque de informações, representando uma consciência global sobre eventos, situações, estratégias concorrentes, regulamentações governamentais e avanços tecnológicos. O autor também destaca a importância desse conhecimento como uma ferramenta essencial para a tomada de decisões eficazes no contexto organizacional, enfatizando sua aplicação prática nas atividades diárias das empresas. Neste sentido, o conhecimento organizacional envolve a capacidade de agir de maneira adequada com base nesses dados e informações, conferindo à organização uma vantagem competitiva no mercado.</w:t>
      </w:r>
    </w:p>
    <w:p w14:paraId="7D0BDE63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>Destarte, os conhecimentos pessoal, coletivo e organizacional são fundamentais em Organizações Intensivas em Conhecimento (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) que, conforme descritas por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Nakash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Bouhnik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(2022), são organizações em que a maior parte da força de trabalho é composta por trabalhadores do conhecimento. Nessas organizações, o conhecimento, as habilidades, a expertise e os esforços de indivíduos e equipes são a principal fonte de vantagem competitiva. </w:t>
      </w:r>
    </w:p>
    <w:p w14:paraId="4B5F8742" w14:textId="77777777" w:rsidR="002E7634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De La Torre e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Berbegal-Mirabent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(2022) argumentam que a gestão eficaz dos fluxos de conhecimento internos seja crucial para a adaptação da empresa em um ambiente em </w:t>
      </w:r>
      <w:r w:rsidRPr="00E035B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constante mudança. Dada a complexidade do conhecimento e suas formas de geração, as estratégias de colaboração desempenham um papel significativo, permitindo acesso a novos conhecimentos e tecnologias relevantes para impulsionar a inovação de forma ágil. Segundo os autores, a literatura sobre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aborda principalmente três áreas: gerenciamento de pessoal qualificado, fluxos de informação que contribuam para o crescimento econômico e inovação e gestão do conhecimento em seus diferentes níveis.</w:t>
      </w:r>
    </w:p>
    <w:p w14:paraId="2AD4BC3B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45E153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b/>
          <w:sz w:val="24"/>
          <w:szCs w:val="24"/>
        </w:rPr>
        <w:t xml:space="preserve">Práticas de Gestão do Conhecimento Pessoal </w:t>
      </w:r>
    </w:p>
    <w:p w14:paraId="19E20858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Eskindarov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35B0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. (2020), a sociedade moderna é uma economia do conhecimento, na qual pessoas capazes de assimilar, analisar e transformar informações em conhecimento se destacam. Osman;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Mohd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Noah; Saad (2022) afirmam ser fundamental que todos os membros da organização sejam capazes de adaptar e implementar práticas de GC, incluindo atividades de compartilhamento de conhecimento. Tais atividades envolvem a transferência do conhecimento individual e organizacional entre os membros da organização. Para os autores, o compartilhamento de conhecimento é uma atividade bidirecional que ocorre no ambiente organizacional, resultando em aprendizado mútuo e vantagem competitiva para a empresa. </w:t>
      </w:r>
    </w:p>
    <w:p w14:paraId="0F66CD9F" w14:textId="77777777" w:rsidR="002E7634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Práticas de gestão do conhecimento podem impulsionar a disseminação de conhecimentos entre os profissionais na organização. Marques Júnior </w:t>
      </w:r>
      <w:r w:rsidRPr="00E035B0">
        <w:rPr>
          <w:rFonts w:ascii="Times New Roman" w:eastAsia="Times New Roman" w:hAnsi="Times New Roman" w:cs="Times New Roman"/>
          <w:i/>
          <w:iCs/>
          <w:sz w:val="24"/>
          <w:szCs w:val="24"/>
        </w:rPr>
        <w:t>et al.</w:t>
      </w: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(2020) indicam que as práticas de GC podem ser entendidas como um conjunto de métodos e técnicas que apoia os processos de conhecimento. Na Figura 1 são expostas práticas de GC, conforme indicação de Evans,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Dalkir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Bidian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(2014). As práticas de GC estão distribuídas nas diferentes fases do processo de GC realizado na empresa.</w:t>
      </w:r>
    </w:p>
    <w:p w14:paraId="75EB0255" w14:textId="77777777" w:rsidR="002E7634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0D1">
        <w:rPr>
          <w:noProof/>
        </w:rPr>
        <w:lastRenderedPageBreak/>
        <w:drawing>
          <wp:inline distT="0" distB="0" distL="0" distR="0" wp14:anchorId="7B6B07C5" wp14:editId="54160707">
            <wp:extent cx="5285549" cy="3226335"/>
            <wp:effectExtent l="0" t="0" r="0" b="0"/>
            <wp:docPr id="38" name="Picture 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689" cy="322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7236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35B0">
        <w:rPr>
          <w:rFonts w:ascii="Times New Roman" w:eastAsia="Times New Roman" w:hAnsi="Times New Roman" w:cs="Times New Roman"/>
          <w:sz w:val="20"/>
          <w:szCs w:val="20"/>
        </w:rPr>
        <w:t>Figura 1: Principais práticas de gestão do conhecimento</w:t>
      </w:r>
    </w:p>
    <w:p w14:paraId="58BB5AB5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35B0">
        <w:rPr>
          <w:rFonts w:ascii="Times New Roman" w:eastAsia="Times New Roman" w:hAnsi="Times New Roman" w:cs="Times New Roman"/>
          <w:sz w:val="20"/>
          <w:szCs w:val="20"/>
        </w:rPr>
        <w:t xml:space="preserve">Fonte: Adaptado de Evans, </w:t>
      </w:r>
      <w:proofErr w:type="spellStart"/>
      <w:r w:rsidRPr="00E035B0">
        <w:rPr>
          <w:rFonts w:ascii="Times New Roman" w:eastAsia="Times New Roman" w:hAnsi="Times New Roman" w:cs="Times New Roman"/>
          <w:sz w:val="20"/>
          <w:szCs w:val="20"/>
        </w:rPr>
        <w:t>Dalkir</w:t>
      </w:r>
      <w:proofErr w:type="spellEnd"/>
      <w:r w:rsidRPr="00E035B0">
        <w:rPr>
          <w:rFonts w:ascii="Times New Roman" w:eastAsia="Times New Roman" w:hAnsi="Times New Roman" w:cs="Times New Roman"/>
          <w:sz w:val="20"/>
          <w:szCs w:val="20"/>
        </w:rPr>
        <w:t xml:space="preserve"> e </w:t>
      </w:r>
      <w:proofErr w:type="spellStart"/>
      <w:r w:rsidRPr="00E035B0">
        <w:rPr>
          <w:rFonts w:ascii="Times New Roman" w:eastAsia="Times New Roman" w:hAnsi="Times New Roman" w:cs="Times New Roman"/>
          <w:sz w:val="20"/>
          <w:szCs w:val="20"/>
        </w:rPr>
        <w:t>Bidian</w:t>
      </w:r>
      <w:proofErr w:type="spellEnd"/>
      <w:r w:rsidRPr="00E035B0">
        <w:rPr>
          <w:rFonts w:ascii="Times New Roman" w:eastAsia="Times New Roman" w:hAnsi="Times New Roman" w:cs="Times New Roman"/>
          <w:sz w:val="20"/>
          <w:szCs w:val="20"/>
        </w:rPr>
        <w:t xml:space="preserve"> (2014, p. 96).</w:t>
      </w:r>
    </w:p>
    <w:p w14:paraId="2693AA79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FF99D6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Para </w:t>
      </w:r>
      <w:proofErr w:type="spellStart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Shujahat</w:t>
      </w:r>
      <w:proofErr w:type="spellEnd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035B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et. al.</w:t>
      </w: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 (2021), a GCP é uma abordagem ascendente e descentralizada da GC, que envolve ferramentas, processos, competências e estratégias usadas por trabalhadores do conhecimento em seus ambientes individuais, organizacionais e sociais para adquirir, localizar, capturar, criar, compartilhar e aplicar conhecimento pessoal, com o objetivo de aumentar a produtividade e eficácia no trabalho. Os autores ressaltam ainda que a GCP fornece estrutura para integração de novas experiências e conhecimentos de diferentes fontes com experiências passadas, melhorando assim o desempenho no trabalho. Os autores indicam que seus componentes incluem processos, comportamentos, habilidades e ferramentas de gestão do conhecimento individual, distribuídos em quatro etapas do processo de gestão do conhecimento: (1) localização/captura de conhecimento, (2) compartilhamento de conhecimento, (3) criação de conhecimento e (4) aplicação de conhecimento.</w:t>
      </w:r>
    </w:p>
    <w:p w14:paraId="2DBD4ADC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Jarrahi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, Reynolds e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Eshraghi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(2021) atestam que o uso da Gestão do Conhecimento Pessoal (GCP) representa uma abordagem centrada em práticas de conhecimento e na investigação individual dos trabalhadores, em contraposição à abordagem organizacional convencional da GC. Isto porque tais práticas facilitam a criação, organização e compartilhamento do conhecimento pessoal, resultando em uma renovação permanente desse conhecimento à medida que os ambientes de trabalho sofrem mudanças contínuas e </w:t>
      </w:r>
      <w:r w:rsidRPr="00E035B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imprevisíveis. A abordagem da GCP incorpora personificação individualizada à GC, sendo concebida como uma instância de aprendizagem autodirigida e autorregulada. </w:t>
      </w:r>
    </w:p>
    <w:p w14:paraId="51EDA287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Em sentido mais restrito,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Shujahat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35B0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Pr="00E035B0">
        <w:rPr>
          <w:rFonts w:ascii="Times New Roman" w:eastAsia="Times New Roman" w:hAnsi="Times New Roman" w:cs="Times New Roman"/>
          <w:sz w:val="24"/>
          <w:szCs w:val="24"/>
        </w:rPr>
        <w:t>. (2021) enfatizam a gestão do conhecimento pessoal como uma abordagem ascendente e descentralizada da GC, que envolve ferramentas, processos, competências e estratégias usadas por trabalhadores do conhecimento em seus ambientes individuais, organizacionais e sociais para adquirir, localizar, capturar, criar, compartilhar e aplicar conhecimento pessoal, com o objetivo de aumentar a produtividade e eficácia no trabalho.</w:t>
      </w:r>
    </w:p>
    <w:p w14:paraId="2480EF42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Em seu estudo,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Värk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e Reino (2021) exploraram como as práticas de conhecimento são moldadas, tanto pela criatividade individual quanto pelos contextos materiais, normas, história e outras práticas interligadas na organização. Segundo os autores, as práticas de GCP incluem aquelas que promovem o desenvolvimento profissional dos trabalhadores do conhecimento e ajudam na realização do trabalho diário, mas não dependem da organização ou de seus recursos. </w:t>
      </w:r>
    </w:p>
    <w:p w14:paraId="6FCB8679" w14:textId="01678522" w:rsidR="00D8471E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Värk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e Reino (2021) revelam a ocorrência de uma variedade de práticas de GCP que, embora não estejam diretamente relacionadas a tarefas específicas, beneficiam a organização ao desenvolver o conhecimento profissional dos funcionários de forma geral. Essas práticas de GCP estão segregadas em dois conjuntos: a) Aprender e criar conhecimento, cujas práticas são voltadas à realização de pesquisas sobre temas de interesse; participação em programas de treinamento; participação em cursos; aprender sobre novos softwares e aprender com experiências e experimentos; e b) Manter-se atualizado em temas relacionados à sua área de atuação, cujas práticas são voltadas a seguir diversas contas nas redes sociais; acompanhar blogs relevantes; assistir a canais do YouTube de interesse profissional; participar de grupos no Facebook relacionados aos interesses profissionais; ler revistas profissionais; ouvir podcasts e participar em fóruns online.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DF2D21B" w14:textId="77777777" w:rsidR="00D8471E" w:rsidRDefault="00D847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734348" w14:textId="77777777" w:rsidR="00D847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METODOLOGIA</w:t>
      </w:r>
    </w:p>
    <w:p w14:paraId="2991CE1A" w14:textId="77777777" w:rsidR="002E7634" w:rsidRPr="002E7634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634">
        <w:rPr>
          <w:rFonts w:ascii="Times New Roman" w:eastAsia="Times New Roman" w:hAnsi="Times New Roman" w:cs="Times New Roman"/>
          <w:sz w:val="24"/>
          <w:szCs w:val="24"/>
        </w:rPr>
        <w:t>Esta é uma pesquisa descritiva qualitativa (</w:t>
      </w:r>
      <w:proofErr w:type="spellStart"/>
      <w:r w:rsidRPr="002E7634">
        <w:rPr>
          <w:rFonts w:ascii="Times New Roman" w:eastAsia="Times New Roman" w:hAnsi="Times New Roman" w:cs="Times New Roman"/>
          <w:sz w:val="24"/>
          <w:szCs w:val="24"/>
        </w:rPr>
        <w:t>Itokazu</w:t>
      </w:r>
      <w:proofErr w:type="spellEnd"/>
      <w:r w:rsidRPr="002E7634">
        <w:rPr>
          <w:rFonts w:ascii="Times New Roman" w:eastAsia="Times New Roman" w:hAnsi="Times New Roman" w:cs="Times New Roman"/>
          <w:sz w:val="24"/>
          <w:szCs w:val="24"/>
        </w:rPr>
        <w:t xml:space="preserve">; Medeiros, 2024). A escolha por uma abordagem descritiva permitiu identificar as práticas de GCP em </w:t>
      </w:r>
      <w:proofErr w:type="spellStart"/>
      <w:r w:rsidRPr="002E7634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2E7634">
        <w:rPr>
          <w:rFonts w:ascii="Times New Roman" w:eastAsia="Times New Roman" w:hAnsi="Times New Roman" w:cs="Times New Roman"/>
          <w:sz w:val="24"/>
          <w:szCs w:val="24"/>
        </w:rPr>
        <w:t xml:space="preserve">, enquanto a abordagem qualitativa possibilitou a compreensão da influência dessas práticas no desenvolvimento individual e organizacional voltado à inovação nas </w:t>
      </w:r>
      <w:proofErr w:type="spellStart"/>
      <w:r w:rsidRPr="002E7634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2E7634">
        <w:rPr>
          <w:rFonts w:ascii="Times New Roman" w:eastAsia="Times New Roman" w:hAnsi="Times New Roman" w:cs="Times New Roman"/>
          <w:sz w:val="24"/>
          <w:szCs w:val="24"/>
        </w:rPr>
        <w:t xml:space="preserve"> analisadas na pesquisa de campo.</w:t>
      </w:r>
    </w:p>
    <w:p w14:paraId="599C834D" w14:textId="77777777" w:rsidR="002E7634" w:rsidRPr="002E7634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634">
        <w:rPr>
          <w:rFonts w:ascii="Times New Roman" w:eastAsia="Times New Roman" w:hAnsi="Times New Roman" w:cs="Times New Roman"/>
          <w:sz w:val="24"/>
          <w:szCs w:val="24"/>
        </w:rPr>
        <w:t xml:space="preserve">Dezessete </w:t>
      </w:r>
      <w:proofErr w:type="spellStart"/>
      <w:r w:rsidRPr="002E7634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2E7634">
        <w:rPr>
          <w:rFonts w:ascii="Times New Roman" w:eastAsia="Times New Roman" w:hAnsi="Times New Roman" w:cs="Times New Roman"/>
          <w:sz w:val="24"/>
          <w:szCs w:val="24"/>
        </w:rPr>
        <w:t xml:space="preserve"> organizações associadas à Sociedade Brasileira de Gestão do Conhecimento (SBGC) e 27 profissionais participantes da </w:t>
      </w:r>
      <w:proofErr w:type="spellStart"/>
      <w:r w:rsidRPr="002E7634">
        <w:rPr>
          <w:rFonts w:ascii="Times New Roman" w:eastAsia="Times New Roman" w:hAnsi="Times New Roman" w:cs="Times New Roman"/>
          <w:sz w:val="24"/>
          <w:szCs w:val="24"/>
        </w:rPr>
        <w:t>CoP</w:t>
      </w:r>
      <w:proofErr w:type="spellEnd"/>
      <w:r w:rsidRPr="002E7634">
        <w:rPr>
          <w:rFonts w:ascii="Times New Roman" w:eastAsia="Times New Roman" w:hAnsi="Times New Roman" w:cs="Times New Roman"/>
          <w:sz w:val="24"/>
          <w:szCs w:val="24"/>
        </w:rPr>
        <w:t xml:space="preserve"> (Comunidade de Práticas em </w:t>
      </w:r>
      <w:r w:rsidRPr="002E763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GC) da SBGC foram selecionados pelo critério de acessibilidade e conveniência dos pesquisadores. Além disso, também foi enviado convite para profissionais ligados às </w:t>
      </w:r>
      <w:proofErr w:type="spellStart"/>
      <w:r w:rsidRPr="002E7634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2E7634">
        <w:rPr>
          <w:rFonts w:ascii="Times New Roman" w:eastAsia="Times New Roman" w:hAnsi="Times New Roman" w:cs="Times New Roman"/>
          <w:sz w:val="24"/>
          <w:szCs w:val="24"/>
        </w:rPr>
        <w:t xml:space="preserve"> que desejassem participar do estudo, sendo estes alcançados por meio da base de associados da SBGC na categoria individual (pessoa física). </w:t>
      </w:r>
    </w:p>
    <w:p w14:paraId="6466023A" w14:textId="77777777" w:rsidR="002E7634" w:rsidRPr="002E7634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634">
        <w:rPr>
          <w:rFonts w:ascii="Times New Roman" w:eastAsia="Times New Roman" w:hAnsi="Times New Roman" w:cs="Times New Roman"/>
          <w:sz w:val="24"/>
          <w:szCs w:val="24"/>
        </w:rPr>
        <w:t xml:space="preserve">Para garantir a representatividade e relevância das </w:t>
      </w:r>
      <w:proofErr w:type="spellStart"/>
      <w:r w:rsidRPr="002E7634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2E7634">
        <w:rPr>
          <w:rFonts w:ascii="Times New Roman" w:eastAsia="Times New Roman" w:hAnsi="Times New Roman" w:cs="Times New Roman"/>
          <w:sz w:val="24"/>
          <w:szCs w:val="24"/>
        </w:rPr>
        <w:t xml:space="preserve"> participantes da pesquisa foi desenvolvido um formulário de classificação para a primeira fase da pesquisa, que permitiu identificar e selecionar as </w:t>
      </w:r>
      <w:proofErr w:type="spellStart"/>
      <w:r w:rsidRPr="002E7634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2E7634">
        <w:rPr>
          <w:rFonts w:ascii="Times New Roman" w:eastAsia="Times New Roman" w:hAnsi="Times New Roman" w:cs="Times New Roman"/>
          <w:sz w:val="24"/>
          <w:szCs w:val="24"/>
        </w:rPr>
        <w:t xml:space="preserve"> mais relevantes para a pesquisa de campo. Neste estudo, a técnica de tratamento dos dados coletados via questionário para identificação e qualificação das </w:t>
      </w:r>
      <w:proofErr w:type="spellStart"/>
      <w:r w:rsidRPr="002E7634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2E7634">
        <w:rPr>
          <w:rFonts w:ascii="Times New Roman" w:eastAsia="Times New Roman" w:hAnsi="Times New Roman" w:cs="Times New Roman"/>
          <w:sz w:val="24"/>
          <w:szCs w:val="24"/>
        </w:rPr>
        <w:t xml:space="preserve"> foi baseada em uma abordagem de contagem simples. Com um total de oito perguntas sobre diferentes aspectos relacionados à gestão e utilização do conhecimento na organização, cada resposta afirmativa foi considerada como um ponto de contribuição para a classificação da organização como sendo uma OIC. </w:t>
      </w:r>
    </w:p>
    <w:p w14:paraId="3870626F" w14:textId="77777777" w:rsidR="002E7634" w:rsidRPr="002E7634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E7634">
        <w:rPr>
          <w:rFonts w:ascii="Times New Roman" w:eastAsia="Times New Roman" w:hAnsi="Times New Roman" w:cs="Times New Roman"/>
          <w:sz w:val="24"/>
          <w:szCs w:val="24"/>
        </w:rPr>
        <w:t xml:space="preserve">A coleta de dados durante a segunda fase da pesquisa foi realizada por meio de roteiro de entrevista semiestruturada, junto a profissionais-chave das </w:t>
      </w:r>
      <w:proofErr w:type="spellStart"/>
      <w:r w:rsidRPr="002E7634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2E7634">
        <w:rPr>
          <w:rFonts w:ascii="Times New Roman" w:eastAsia="Times New Roman" w:hAnsi="Times New Roman" w:cs="Times New Roman"/>
          <w:sz w:val="24"/>
          <w:szCs w:val="24"/>
        </w:rPr>
        <w:t xml:space="preserve"> selecionadas na fase anterior. </w:t>
      </w:r>
      <w:r w:rsidRPr="002E7634">
        <w:rPr>
          <w:rFonts w:ascii="Times New Roman" w:eastAsia="Times New Roman" w:hAnsi="Times New Roman" w:cs="Times New Roman"/>
          <w:bCs/>
          <w:sz w:val="24"/>
          <w:szCs w:val="24"/>
        </w:rPr>
        <w:t>O roteiro de entrevista semiestruturado contou com quatro seções relacionadas diretamente ao objetivo de pesquisa: a primeira seção, com 5 perguntas, investigou práticas pessoais de localização e captura de conhecimento aplicadas à inovação; a segunda seção, com 4 perguntas, abordou o compartilhamento de conhecimento como suporte à inovação; a terceira seção, com 5 perguntas, examinou processos de criação de conhecimento com foco em inovação e, por fim; a quarta seção, com 5 perguntas, explorou a aplicação prática do conhecimento no ambiente organizacional visando a geração de inovação.</w:t>
      </w:r>
    </w:p>
    <w:p w14:paraId="3BE8E32B" w14:textId="4A7CFD5D" w:rsidR="00D8471E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7634">
        <w:rPr>
          <w:rFonts w:ascii="Times New Roman" w:eastAsia="Times New Roman" w:hAnsi="Times New Roman" w:cs="Times New Roman"/>
          <w:sz w:val="24"/>
          <w:szCs w:val="24"/>
        </w:rPr>
        <w:t xml:space="preserve">O roteiro de entrevista semiestruturada foi aplicado remotamente, conforme a disponibilidade dos profissionais participantes, tendo duração média em torno de duas horas. Nesta segunda fase da pesquisa, a técnica análise categorial de Bardin (1977) foi aplicada para analisar os dados coletados nas entrevistas realizadas. A análise categorial seguiu as seguintes etapas: </w:t>
      </w:r>
      <w:proofErr w:type="spellStart"/>
      <w:r w:rsidRPr="002E7634">
        <w:rPr>
          <w:rFonts w:ascii="Times New Roman" w:eastAsia="Times New Roman" w:hAnsi="Times New Roman" w:cs="Times New Roman"/>
          <w:sz w:val="24"/>
          <w:szCs w:val="24"/>
        </w:rPr>
        <w:t>pré-análise</w:t>
      </w:r>
      <w:proofErr w:type="spellEnd"/>
      <w:r w:rsidRPr="002E7634">
        <w:rPr>
          <w:rFonts w:ascii="Times New Roman" w:eastAsia="Times New Roman" w:hAnsi="Times New Roman" w:cs="Times New Roman"/>
          <w:sz w:val="24"/>
          <w:szCs w:val="24"/>
        </w:rPr>
        <w:t xml:space="preserve">, exploração do material e tratamento dos resultados (Cardoso; Oliveira; </w:t>
      </w:r>
      <w:proofErr w:type="spellStart"/>
      <w:r w:rsidRPr="002E7634">
        <w:rPr>
          <w:rFonts w:ascii="Times New Roman" w:eastAsia="Times New Roman" w:hAnsi="Times New Roman" w:cs="Times New Roman"/>
          <w:sz w:val="24"/>
          <w:szCs w:val="24"/>
        </w:rPr>
        <w:t>Ghelli</w:t>
      </w:r>
      <w:proofErr w:type="spellEnd"/>
      <w:r w:rsidRPr="002E7634">
        <w:rPr>
          <w:rFonts w:ascii="Times New Roman" w:eastAsia="Times New Roman" w:hAnsi="Times New Roman" w:cs="Times New Roman"/>
          <w:sz w:val="24"/>
          <w:szCs w:val="24"/>
        </w:rPr>
        <w:t>, 2021).</w:t>
      </w:r>
    </w:p>
    <w:p w14:paraId="705FC36E" w14:textId="77777777" w:rsidR="00D8471E" w:rsidRDefault="00D847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D958DC" w14:textId="77777777" w:rsidR="00D847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RESULTADOS E DISCUSSÃO</w:t>
      </w:r>
    </w:p>
    <w:p w14:paraId="0054E71C" w14:textId="77777777" w:rsidR="002E7634" w:rsidRDefault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02E52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A primeira fase da pesquisa teve como objetivo identificar e selecionar organizações intensivas em conhecimento (OIC). O questionário foi respondido por 37 empresas participantes, representando diferentes setores e áreas de atuação, tais como serviços de </w:t>
      </w:r>
      <w:r w:rsidRPr="00E035B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educação, tecnologia da informação e indústria automobilística, dentre outros. 22 organizações foram classificadas como intensivas em conhecimento, sendo todas convidadas a participar da fase de entrevistas para aprofundar o entendimento sobre suas práticas de GC e os impactos observados em seus processos de inovação. Nove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participaram da segunda fase da pesquisa de campo.</w:t>
      </w:r>
    </w:p>
    <w:p w14:paraId="596DDAFA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Dentre as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selecionadas foi possível realizar entrevistas com nove profissionais, o que permitiu a compreensão mais detalhada da aplicação e uso das práticas de GC em prol da inovação. A análise dos cargos dos profissionais respondentes destaca uma combinação de diferentes perfis de profissionais do conhecimento das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consultadas, refletindo a complexidade e a multidisciplinaridade do conhecimento nas organizações participantes da pesquisa. </w:t>
      </w:r>
    </w:p>
    <w:p w14:paraId="667684D5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Quanto aos profissionais respondentes da pesquisa, os entrevistados atuam em setores diversos e ocupam cargos como analistas, coordenadores, gestores, consultores e especialistas, além de apresentarem perfis acadêmicos e técnicos. Dentre os atributos observados, destacam-se a atuação em contextos interdisciplinares, a experiência prática com GC, a responsabilidade por processos de documentação e transferência de conhecimento, o uso de ferramentas digitais colaborativas, a autonomia na execução das atividades e a orientação para inovação. Vale destacar o protagonismo dos profissionais entrevistados no desenvolvimento de soluções em equipe em suas organizações, além da participação ativa em redes de compartilhamento de conhecimento, o que reforça a maturidade desses trabalhadores do conhecimento em ambientes organizacionais intensivos em conhecimento.</w:t>
      </w:r>
    </w:p>
    <w:p w14:paraId="6BD2BB50" w14:textId="77777777" w:rsidR="002E7634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Foram identificadas 29 práticas de GC voltadas ao desenvolvimento de conhecimento individual dos profissionais das </w:t>
      </w:r>
      <w:proofErr w:type="spellStart"/>
      <w:r w:rsidRPr="00E035B0">
        <w:rPr>
          <w:rFonts w:ascii="Times New Roman" w:eastAsia="Times New Roman" w:hAnsi="Times New Roman" w:cs="Times New Roman"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sz w:val="24"/>
          <w:szCs w:val="24"/>
        </w:rPr>
        <w:t xml:space="preserve"> analisadas, conforme indicadas no Quadro 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895"/>
        <w:gridCol w:w="570"/>
        <w:gridCol w:w="570"/>
        <w:gridCol w:w="570"/>
        <w:gridCol w:w="569"/>
        <w:gridCol w:w="569"/>
        <w:gridCol w:w="569"/>
        <w:gridCol w:w="569"/>
        <w:gridCol w:w="569"/>
        <w:gridCol w:w="569"/>
      </w:tblGrid>
      <w:tr w:rsidR="002E7634" w:rsidRPr="008970D1" w14:paraId="377F5F5F" w14:textId="77777777" w:rsidTr="00010AE3">
        <w:trPr>
          <w:trHeight w:val="320"/>
        </w:trPr>
        <w:tc>
          <w:tcPr>
            <w:tcW w:w="3895" w:type="dxa"/>
            <w:vMerge w:val="restart"/>
            <w:noWrap/>
          </w:tcPr>
          <w:p w14:paraId="0E68E76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Práticas de GC</w:t>
            </w:r>
          </w:p>
        </w:tc>
        <w:tc>
          <w:tcPr>
            <w:tcW w:w="5124" w:type="dxa"/>
            <w:gridSpan w:val="9"/>
            <w:noWrap/>
          </w:tcPr>
          <w:p w14:paraId="6981E6C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proofErr w:type="spellStart"/>
            <w:r w:rsidRPr="008970D1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OICs</w:t>
            </w:r>
            <w:proofErr w:type="spellEnd"/>
          </w:p>
        </w:tc>
      </w:tr>
      <w:tr w:rsidR="002E7634" w:rsidRPr="008970D1" w14:paraId="0249B228" w14:textId="77777777" w:rsidTr="00010AE3">
        <w:trPr>
          <w:trHeight w:val="320"/>
        </w:trPr>
        <w:tc>
          <w:tcPr>
            <w:tcW w:w="3895" w:type="dxa"/>
            <w:vMerge/>
            <w:noWrap/>
            <w:hideMark/>
          </w:tcPr>
          <w:p w14:paraId="2C7A9BC0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70" w:type="dxa"/>
            <w:noWrap/>
            <w:hideMark/>
          </w:tcPr>
          <w:p w14:paraId="76B5DF3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70" w:type="dxa"/>
            <w:noWrap/>
            <w:hideMark/>
          </w:tcPr>
          <w:p w14:paraId="3A41A30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570" w:type="dxa"/>
            <w:noWrap/>
            <w:hideMark/>
          </w:tcPr>
          <w:p w14:paraId="031890E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569" w:type="dxa"/>
            <w:noWrap/>
            <w:hideMark/>
          </w:tcPr>
          <w:p w14:paraId="607C82D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569" w:type="dxa"/>
            <w:noWrap/>
            <w:hideMark/>
          </w:tcPr>
          <w:p w14:paraId="23B4CC3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569" w:type="dxa"/>
            <w:noWrap/>
            <w:hideMark/>
          </w:tcPr>
          <w:p w14:paraId="6A0B8E2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569" w:type="dxa"/>
            <w:noWrap/>
            <w:hideMark/>
          </w:tcPr>
          <w:p w14:paraId="585A74F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569" w:type="dxa"/>
            <w:noWrap/>
            <w:hideMark/>
          </w:tcPr>
          <w:p w14:paraId="21471EE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569" w:type="dxa"/>
            <w:noWrap/>
            <w:hideMark/>
          </w:tcPr>
          <w:p w14:paraId="4079233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9</w:t>
            </w:r>
          </w:p>
        </w:tc>
      </w:tr>
      <w:tr w:rsidR="002E7634" w:rsidRPr="008970D1" w14:paraId="18FD7C7C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60445796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Mapas, modelos e taxonomias de conhecimento</w:t>
            </w:r>
          </w:p>
        </w:tc>
        <w:tc>
          <w:tcPr>
            <w:tcW w:w="570" w:type="dxa"/>
            <w:noWrap/>
            <w:hideMark/>
          </w:tcPr>
          <w:p w14:paraId="38E0F20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28B1F3E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4DE693F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1C793F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69" w:type="dxa"/>
            <w:noWrap/>
            <w:hideMark/>
          </w:tcPr>
          <w:p w14:paraId="00855DA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765A19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0F5B96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DD5D68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F93ED2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799AD365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4F9D6502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Prototipagem</w:t>
            </w:r>
          </w:p>
        </w:tc>
        <w:tc>
          <w:tcPr>
            <w:tcW w:w="570" w:type="dxa"/>
            <w:noWrap/>
            <w:hideMark/>
          </w:tcPr>
          <w:p w14:paraId="6438CDE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723FD80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164F7ED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2C14F4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4D0B1C7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69" w:type="dxa"/>
            <w:noWrap/>
            <w:hideMark/>
          </w:tcPr>
          <w:p w14:paraId="3E504B5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966287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4F2BF08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3B6DF2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6F56A0D1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43ACC4CC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Análise de informação e fluxo de trabalho</w:t>
            </w:r>
          </w:p>
        </w:tc>
        <w:tc>
          <w:tcPr>
            <w:tcW w:w="570" w:type="dxa"/>
            <w:noWrap/>
            <w:hideMark/>
          </w:tcPr>
          <w:p w14:paraId="5606B0B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59B6E1F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5808312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4D5360C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2B41BB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299080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3D5399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60E981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8EE76F5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559ACBA9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69646FE1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Entrevistas com especialistas</w:t>
            </w:r>
          </w:p>
        </w:tc>
        <w:tc>
          <w:tcPr>
            <w:tcW w:w="570" w:type="dxa"/>
            <w:noWrap/>
            <w:hideMark/>
          </w:tcPr>
          <w:p w14:paraId="4D24F19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1D55FCF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06D5420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E53D5C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13CD9B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679BBB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724359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328222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69" w:type="dxa"/>
            <w:noWrap/>
            <w:hideMark/>
          </w:tcPr>
          <w:p w14:paraId="05B3965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3836859C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2E84069C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Observação</w:t>
            </w:r>
          </w:p>
        </w:tc>
        <w:tc>
          <w:tcPr>
            <w:tcW w:w="570" w:type="dxa"/>
            <w:noWrap/>
            <w:hideMark/>
          </w:tcPr>
          <w:p w14:paraId="19FE5DF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70" w:type="dxa"/>
            <w:noWrap/>
            <w:hideMark/>
          </w:tcPr>
          <w:p w14:paraId="4E66ED7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5DB20025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69" w:type="dxa"/>
            <w:noWrap/>
            <w:hideMark/>
          </w:tcPr>
          <w:p w14:paraId="10BC719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69" w:type="dxa"/>
            <w:noWrap/>
            <w:hideMark/>
          </w:tcPr>
          <w:p w14:paraId="285DB79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69" w:type="dxa"/>
            <w:noWrap/>
            <w:hideMark/>
          </w:tcPr>
          <w:p w14:paraId="2E5A107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036D74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69" w:type="dxa"/>
            <w:noWrap/>
            <w:hideMark/>
          </w:tcPr>
          <w:p w14:paraId="62ECEEF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699755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32EF8059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1EB07BB4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Melhores práticas</w:t>
            </w:r>
          </w:p>
        </w:tc>
        <w:tc>
          <w:tcPr>
            <w:tcW w:w="570" w:type="dxa"/>
            <w:noWrap/>
            <w:hideMark/>
          </w:tcPr>
          <w:p w14:paraId="73866D8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072586C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45B1326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9E666C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7022C0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95FB77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80D856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9C2A27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ADFB35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719F42A6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291BA037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 xml:space="preserve">Sessões </w:t>
            </w:r>
            <w:r w:rsidRPr="008970D1">
              <w:rPr>
                <w:rFonts w:eastAsia="Times New Roman" w:cs="Arial"/>
                <w:i/>
                <w:iCs/>
                <w:sz w:val="20"/>
                <w:szCs w:val="20"/>
                <w:lang w:eastAsia="pt-BR"/>
              </w:rPr>
              <w:t>ad hoc</w:t>
            </w:r>
          </w:p>
        </w:tc>
        <w:tc>
          <w:tcPr>
            <w:tcW w:w="570" w:type="dxa"/>
            <w:noWrap/>
            <w:hideMark/>
          </w:tcPr>
          <w:p w14:paraId="23DE153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19E040B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4B1F5145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B7DA50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E30B2A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69" w:type="dxa"/>
            <w:noWrap/>
            <w:hideMark/>
          </w:tcPr>
          <w:p w14:paraId="5D431BA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288546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31A7D2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A4058E5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69B18764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05CCC502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Avaliação de documentos estratégicos</w:t>
            </w:r>
          </w:p>
        </w:tc>
        <w:tc>
          <w:tcPr>
            <w:tcW w:w="570" w:type="dxa"/>
            <w:noWrap/>
            <w:hideMark/>
          </w:tcPr>
          <w:p w14:paraId="1BAE840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110B605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7C7B25F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B6B8DE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69" w:type="dxa"/>
            <w:noWrap/>
            <w:hideMark/>
          </w:tcPr>
          <w:p w14:paraId="0830B53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4FA4929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7995B2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14A403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88DF9B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62995B34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5AA40415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Mapeamento de competências e processos</w:t>
            </w:r>
          </w:p>
        </w:tc>
        <w:tc>
          <w:tcPr>
            <w:tcW w:w="570" w:type="dxa"/>
            <w:noWrap/>
            <w:hideMark/>
          </w:tcPr>
          <w:p w14:paraId="613D840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0FFED7B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3EA537E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35F79C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0CEC83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7E3BD6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6E6B11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B24F64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408044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388B75CC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304CCF4E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Sessões de brainstorming</w:t>
            </w:r>
          </w:p>
        </w:tc>
        <w:tc>
          <w:tcPr>
            <w:tcW w:w="570" w:type="dxa"/>
            <w:noWrap/>
            <w:hideMark/>
          </w:tcPr>
          <w:p w14:paraId="0DB9AF0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277BF17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58EB20D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4F58DF2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F75DAB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753BE5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2BA347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C7AEAA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2880DF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23551DDB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5932E322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lastRenderedPageBreak/>
              <w:t>Armazenamento</w:t>
            </w:r>
          </w:p>
        </w:tc>
        <w:tc>
          <w:tcPr>
            <w:tcW w:w="570" w:type="dxa"/>
            <w:noWrap/>
            <w:hideMark/>
          </w:tcPr>
          <w:p w14:paraId="10407FE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1577474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1BF6A63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0537EF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69" w:type="dxa"/>
            <w:noWrap/>
            <w:hideMark/>
          </w:tcPr>
          <w:p w14:paraId="7E3BCF8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7948405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7998CE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8BF78F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4491AAE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6232502E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1367232B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Modelos</w:t>
            </w:r>
          </w:p>
        </w:tc>
        <w:tc>
          <w:tcPr>
            <w:tcW w:w="570" w:type="dxa"/>
            <w:noWrap/>
            <w:hideMark/>
          </w:tcPr>
          <w:p w14:paraId="76BCDC7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4662DC1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59A2E30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8EC80F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41CACD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B1FB2E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A1E6ED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C8E95F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51C854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69DCB91E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3F3AEEEB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Anotações</w:t>
            </w:r>
          </w:p>
        </w:tc>
        <w:tc>
          <w:tcPr>
            <w:tcW w:w="570" w:type="dxa"/>
            <w:noWrap/>
            <w:hideMark/>
          </w:tcPr>
          <w:p w14:paraId="52EC910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5884835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6EAFC3F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7FD1A3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3E3A13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EABE69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3BADAA5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262BC0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0D4AC2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4732F8B3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53B69E25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Classificação</w:t>
            </w:r>
          </w:p>
        </w:tc>
        <w:tc>
          <w:tcPr>
            <w:tcW w:w="570" w:type="dxa"/>
            <w:noWrap/>
            <w:hideMark/>
          </w:tcPr>
          <w:p w14:paraId="1FDDE10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1E0DF55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188944B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51D4EC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065357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5C1D18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7900F1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C9EF60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950AE1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752B0677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097BD727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Arquivamento</w:t>
            </w:r>
          </w:p>
        </w:tc>
        <w:tc>
          <w:tcPr>
            <w:tcW w:w="570" w:type="dxa"/>
            <w:noWrap/>
            <w:hideMark/>
          </w:tcPr>
          <w:p w14:paraId="6EF9AAC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7B18F27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071BF57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6A57FE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6294D7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98D81B5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4B5CE6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DBD04F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47752C2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170F5E41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0EA3F593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Pesquisa e recuperação</w:t>
            </w:r>
          </w:p>
        </w:tc>
        <w:tc>
          <w:tcPr>
            <w:tcW w:w="570" w:type="dxa"/>
            <w:noWrap/>
            <w:hideMark/>
          </w:tcPr>
          <w:p w14:paraId="4310C2E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7512AC4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68670F4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4C1222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0472CF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5941B6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DEC0FF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42C5C0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4D268E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47945885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439FB283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Comunidades de práticas</w:t>
            </w:r>
          </w:p>
        </w:tc>
        <w:tc>
          <w:tcPr>
            <w:tcW w:w="570" w:type="dxa"/>
            <w:noWrap/>
            <w:hideMark/>
          </w:tcPr>
          <w:p w14:paraId="60902FB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16828CE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2964D14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BBCD28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5E5610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BC9320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090E52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41B3BBE5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73C18E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67428D23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2114B0CC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Contação de histórias, narrativas, anedotas</w:t>
            </w:r>
          </w:p>
        </w:tc>
        <w:tc>
          <w:tcPr>
            <w:tcW w:w="570" w:type="dxa"/>
            <w:noWrap/>
            <w:hideMark/>
          </w:tcPr>
          <w:p w14:paraId="31CF4AB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787228B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4E9002D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5C8D0C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69" w:type="dxa"/>
            <w:noWrap/>
            <w:hideMark/>
          </w:tcPr>
          <w:p w14:paraId="03FE861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66AD66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BAF1FA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85E306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0736DA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461919BD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7F2D6003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i/>
                <w:iCs/>
                <w:sz w:val="20"/>
                <w:szCs w:val="20"/>
                <w:lang w:eastAsia="pt-BR"/>
              </w:rPr>
              <w:t>Workshops</w:t>
            </w: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 xml:space="preserve"> e tutoriais</w:t>
            </w:r>
          </w:p>
        </w:tc>
        <w:tc>
          <w:tcPr>
            <w:tcW w:w="570" w:type="dxa"/>
            <w:noWrap/>
            <w:hideMark/>
          </w:tcPr>
          <w:p w14:paraId="0AC958C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695F0C7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7E6E83C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0C252D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9F1E5F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00F198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E542F9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EB3310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B6D2B0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766A30B4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4BFD5235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i/>
                <w:iCs/>
                <w:sz w:val="20"/>
                <w:szCs w:val="20"/>
                <w:lang w:eastAsia="pt-BR"/>
              </w:rPr>
              <w:t>Coaching</w:t>
            </w: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, mentoria e aprendizagens</w:t>
            </w:r>
          </w:p>
        </w:tc>
        <w:tc>
          <w:tcPr>
            <w:tcW w:w="570" w:type="dxa"/>
            <w:noWrap/>
            <w:hideMark/>
          </w:tcPr>
          <w:p w14:paraId="5047A055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66DEB7F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0945605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458CE37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48FFE0A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B59D03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F94AEC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60122D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4A26E3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145142CF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62DB609A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Análise social / organizacional e sociogramas</w:t>
            </w:r>
          </w:p>
        </w:tc>
        <w:tc>
          <w:tcPr>
            <w:tcW w:w="570" w:type="dxa"/>
            <w:noWrap/>
            <w:hideMark/>
          </w:tcPr>
          <w:p w14:paraId="1515CD7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70" w:type="dxa"/>
            <w:noWrap/>
            <w:hideMark/>
          </w:tcPr>
          <w:p w14:paraId="0078EA3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70" w:type="dxa"/>
            <w:noWrap/>
            <w:hideMark/>
          </w:tcPr>
          <w:p w14:paraId="39BDDD2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69" w:type="dxa"/>
            <w:noWrap/>
            <w:hideMark/>
          </w:tcPr>
          <w:p w14:paraId="43D907B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69" w:type="dxa"/>
            <w:noWrap/>
            <w:hideMark/>
          </w:tcPr>
          <w:p w14:paraId="7809DCC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69" w:type="dxa"/>
            <w:noWrap/>
            <w:hideMark/>
          </w:tcPr>
          <w:p w14:paraId="2D67D4A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356B99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569" w:type="dxa"/>
            <w:noWrap/>
            <w:hideMark/>
          </w:tcPr>
          <w:p w14:paraId="311B311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B3751F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2E7634" w:rsidRPr="008970D1" w14:paraId="34DEEC90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0C7CC842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Perfil de especialista e páginas amarelas</w:t>
            </w:r>
          </w:p>
        </w:tc>
        <w:tc>
          <w:tcPr>
            <w:tcW w:w="570" w:type="dxa"/>
            <w:noWrap/>
            <w:hideMark/>
          </w:tcPr>
          <w:p w14:paraId="2A1B434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72F0B03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16A51B6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7181335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1A5B03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C66379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870C27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8E0A0F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C8D541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64A5FEB7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672628BA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Revisão após a ação / tempo de reflexão</w:t>
            </w:r>
          </w:p>
        </w:tc>
        <w:tc>
          <w:tcPr>
            <w:tcW w:w="570" w:type="dxa"/>
            <w:noWrap/>
            <w:hideMark/>
          </w:tcPr>
          <w:p w14:paraId="3DF54E4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06C9949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7E55928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3E26D8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090A7E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885931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769D61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24620C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764E4B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720B0D57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4F2996F5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i/>
                <w:iCs/>
                <w:sz w:val="20"/>
                <w:szCs w:val="20"/>
                <w:lang w:eastAsia="pt-BR"/>
              </w:rPr>
              <w:t>E-</w:t>
            </w:r>
            <w:proofErr w:type="gramStart"/>
            <w:r w:rsidRPr="008970D1">
              <w:rPr>
                <w:rFonts w:eastAsia="Times New Roman" w:cs="Arial"/>
                <w:i/>
                <w:iCs/>
                <w:sz w:val="20"/>
                <w:szCs w:val="20"/>
                <w:lang w:eastAsia="pt-BR"/>
              </w:rPr>
              <w:t>learning</w:t>
            </w:r>
            <w:proofErr w:type="gramEnd"/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 xml:space="preserve"> e treinamento</w:t>
            </w:r>
          </w:p>
        </w:tc>
        <w:tc>
          <w:tcPr>
            <w:tcW w:w="570" w:type="dxa"/>
            <w:noWrap/>
            <w:hideMark/>
          </w:tcPr>
          <w:p w14:paraId="0991251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2048FFB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2B8785F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92C520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45431A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D00F23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857E93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F9AAB4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BA9F43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57F82D5F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2D0BAC55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Tempo de inovação</w:t>
            </w:r>
          </w:p>
        </w:tc>
        <w:tc>
          <w:tcPr>
            <w:tcW w:w="570" w:type="dxa"/>
            <w:noWrap/>
            <w:hideMark/>
          </w:tcPr>
          <w:p w14:paraId="33DEF7B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0BD31D1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3D0F2EB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A7F903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ACBC21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5E1530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403B249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7F8522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4C75A2E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0125FF83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66F17618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Lições aprendidas</w:t>
            </w:r>
          </w:p>
        </w:tc>
        <w:tc>
          <w:tcPr>
            <w:tcW w:w="570" w:type="dxa"/>
            <w:noWrap/>
            <w:hideMark/>
          </w:tcPr>
          <w:p w14:paraId="584C55B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0381A6B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1FE4EA9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C09246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5C5A8E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AED95F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479DE0F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ECB65B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C09704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2A763EF1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29C7E749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i/>
                <w:i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i/>
                <w:iCs/>
                <w:sz w:val="20"/>
                <w:szCs w:val="20"/>
                <w:lang w:eastAsia="pt-BR"/>
              </w:rPr>
              <w:t>Benchmarking</w:t>
            </w:r>
          </w:p>
        </w:tc>
        <w:tc>
          <w:tcPr>
            <w:tcW w:w="570" w:type="dxa"/>
            <w:noWrap/>
            <w:hideMark/>
          </w:tcPr>
          <w:p w14:paraId="750092D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320D433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41D86AA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67F473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BDB6FE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C5FEA5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6AE297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127A22A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290721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6E53F57F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155961D2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Análise, visualização, métricas e relatórios</w:t>
            </w:r>
          </w:p>
        </w:tc>
        <w:tc>
          <w:tcPr>
            <w:tcW w:w="570" w:type="dxa"/>
            <w:noWrap/>
            <w:hideMark/>
          </w:tcPr>
          <w:p w14:paraId="210A669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270E9CA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769B83E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4721518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4424D1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5E942E0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75B728C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EA4FAE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A3AD6E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06B245C2" w14:textId="77777777" w:rsidTr="00010AE3">
        <w:trPr>
          <w:trHeight w:val="320"/>
        </w:trPr>
        <w:tc>
          <w:tcPr>
            <w:tcW w:w="3895" w:type="dxa"/>
            <w:noWrap/>
            <w:hideMark/>
          </w:tcPr>
          <w:p w14:paraId="25FDFA35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Análise de lacuna de conhecimento</w:t>
            </w:r>
          </w:p>
        </w:tc>
        <w:tc>
          <w:tcPr>
            <w:tcW w:w="570" w:type="dxa"/>
            <w:noWrap/>
            <w:hideMark/>
          </w:tcPr>
          <w:p w14:paraId="1B747A7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5E8B6F2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70" w:type="dxa"/>
            <w:noWrap/>
            <w:hideMark/>
          </w:tcPr>
          <w:p w14:paraId="2633833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13E4F65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6E788AD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172457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37DF183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04B165E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569" w:type="dxa"/>
            <w:noWrap/>
            <w:hideMark/>
          </w:tcPr>
          <w:p w14:paraId="249F19E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</w:tbl>
    <w:p w14:paraId="002AE0D9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35B0">
        <w:rPr>
          <w:rFonts w:ascii="Times New Roman" w:eastAsia="Times New Roman" w:hAnsi="Times New Roman" w:cs="Times New Roman"/>
          <w:sz w:val="20"/>
          <w:szCs w:val="20"/>
        </w:rPr>
        <w:t>Quadro 1: Consolidação das práticas gestão do conhecimento pessoal aplicadas na OIC</w:t>
      </w:r>
    </w:p>
    <w:p w14:paraId="08008F3F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35B0">
        <w:rPr>
          <w:rFonts w:ascii="Times New Roman" w:eastAsia="Times New Roman" w:hAnsi="Times New Roman" w:cs="Times New Roman"/>
          <w:sz w:val="20"/>
          <w:szCs w:val="20"/>
        </w:rPr>
        <w:t>Fonte: autores.</w:t>
      </w:r>
    </w:p>
    <w:p w14:paraId="18841006" w14:textId="77777777" w:rsidR="002E7634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677783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Toc187159064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A seguir é exposta a consolidação das principais indicações de aplicação das 29 práticas de GC identificadas para o desenvolvimento do trabalhador do conhecimento em prol da inovação nas </w:t>
      </w:r>
      <w:proofErr w:type="spellStart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 participantes da pesquisa.  </w:t>
      </w:r>
    </w:p>
    <w:p w14:paraId="25608FCE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Mapas, modelos e taxonomias de conhecimento</w:t>
      </w:r>
      <w:bookmarkEnd w:id="0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indicados por oito profissionais e identificados como práticas relevantes para a GCP, se destacando pela sua função organizacional e de avaliação do conhecimento. Sua aplicação contribui para a melhoria da estruturação do conhecimento organizacional, favorecendo a identificação de oportunidades de inovação e o alinhamento entre conhecimentos individuais e estratégicos;</w:t>
      </w:r>
    </w:p>
    <w:p w14:paraId="04799E4E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" w:name="_Toc187159065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Prototipagem</w:t>
      </w:r>
      <w:bookmarkEnd w:id="1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: indicada por oito profissionais, é identificada como uma prática relevante e necessária para a GCP por facilitar um aprendizado ativo e adaptável, alinhado às demandas contemporâneas de inovação e eficiência. A experimentação por meio de protótipos permite a validação rápida de ideias e a transformação de </w:t>
      </w:r>
      <w:r w:rsidRPr="00E035B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insights</w:t>
      </w: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 individuais em soluções inovadoras;</w:t>
      </w:r>
    </w:p>
    <w:p w14:paraId="48BAC49B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" w:name="_Toc187159066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Análise de informação e fluxo de trabalho</w:t>
      </w:r>
      <w:bookmarkEnd w:id="2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indicada por todos os profissionais respondentes, foi destacada como uma estratégia para otimizar processos e eliminar gargalos e redundâncias. Ao racionalizar o uso do conhecimento é possível contribuir diretamente para o aperfeiçoamento dos fluxos organizacionais e para a inovação contínua nos processos da organização;</w:t>
      </w:r>
    </w:p>
    <w:p w14:paraId="40153B39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3" w:name="_Toc187159067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Entrevistas com especialistas</w:t>
      </w:r>
      <w:bookmarkEnd w:id="3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indicada por oito profissionais, foi destacada como essencial para coletar conhecimentos específicos e experiências. A troca direta com especialistas promove a disseminação de expertises críticas e fomenta a inovação a partir da combinação entre diferentes conhecimentos individuais;</w:t>
      </w:r>
    </w:p>
    <w:p w14:paraId="098DD1D4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4" w:name="_Toc187159068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Observação</w:t>
      </w:r>
      <w:bookmarkEnd w:id="4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: citada por quatro profissionais, foi considerada uma ferramenta voltada </w:t>
      </w:r>
      <w:proofErr w:type="gramStart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à</w:t>
      </w:r>
      <w:proofErr w:type="gramEnd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 identificar conhecimentos tácitos e padrões de comportamento. Sua aplicação permite captar nuances relevantes que, ao serem socializadas, promovem melhorias e adaptações inovadores em práticas cotidianas;</w:t>
      </w:r>
    </w:p>
    <w:p w14:paraId="20B75682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5" w:name="_Toc187159069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Melhores práticas</w:t>
      </w:r>
      <w:bookmarkEnd w:id="5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mencionada por todos os profissionais, foi reconhecida como prática fundamental para padronizar e replicar o que já deu certo, promovendo eficiência e aprendizado contínuo nas equipes. A sistematização dessa prática facilita o reaproveitamento de soluções, impulsionando inovações em processos e serviços;</w:t>
      </w:r>
    </w:p>
    <w:p w14:paraId="347E7E50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Sessões </w:t>
      </w:r>
      <w:r w:rsidRPr="00E035B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ad hoc</w:t>
      </w: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: citada por oito profissionais, foi indicada como uma prática para o compartilhamento espontâneo de conhecimentos, experiências e </w:t>
      </w:r>
      <w:r w:rsidRPr="00E035B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insights</w:t>
      </w: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. Ao incentivar a troca informal e dinâmica de conhecimentos, essas sessões potencializam a geração de ideias inovadoras a partir de experiências práticas;</w:t>
      </w:r>
    </w:p>
    <w:p w14:paraId="73C088AB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6" w:name="_Toc187159071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Avaliação de documentos estratégicos</w:t>
      </w:r>
      <w:bookmarkEnd w:id="6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mencionada por oito profissionais, é uma prática considerada para a análise crítica de informações e a tomada de decisões informadas. Ao contextualizar o conhecimento existente, abre-se espaço para revisões e inovações nos rumos estratégicos da organização;</w:t>
      </w:r>
    </w:p>
    <w:p w14:paraId="3C47FE82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Mapeamento de competências e processos: citada por todos os profissionais, é volta à otimização da alocação de recursos e promoção do autoconhecimento. Tal mapeamento favorece a identificação de lacunas e oportunidades de melhoria, direcionando ações inovadoras de desenvolvimento de produtos;</w:t>
      </w:r>
    </w:p>
    <w:p w14:paraId="30FB9AC4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7" w:name="_Toc187159073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Sessões de </w:t>
      </w:r>
      <w:r w:rsidRPr="00E035B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brainstorming</w:t>
      </w:r>
      <w:bookmarkEnd w:id="7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mencionada por todos os profissionais, foi destacada para a geração de ideias criativas e soluções inovadoras para desafios específicos. Trata-se de um mecanismo direto de fomento à inovação colaborativa, estimulando a criação coletiva e a construção de novos caminhos;</w:t>
      </w:r>
    </w:p>
    <w:p w14:paraId="3F6D2D5E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Armazenamento: mencionada por oito profissionais, foi destacada para organização e acessibilidade de conhecimentos. Ao garantir a preservação e o resgate de conhecimentos relevantes, apoia processos de melhoria contínua e reutilização inovadora de aprendizados anteriores;</w:t>
      </w:r>
    </w:p>
    <w:p w14:paraId="5A7232A8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Modelos: mencionada por todos os profissionais, foi destacada como uma ferramenta essencial para estruturar e comunicar conhecimentos de maneira clara e visual. Os modelos funcionam como catalizadores de inovação, notadamente ao permitirem a replicação e adaptação de soluções bem-sucedidas;</w:t>
      </w:r>
    </w:p>
    <w:p w14:paraId="6A0E4A1E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8" w:name="_Toc187159076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Anotações</w:t>
      </w:r>
      <w:bookmarkEnd w:id="8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: mencionada por todos os profissionais respondentes, foi destacada como uma ferramenta para registrar informações, </w:t>
      </w:r>
      <w:r w:rsidRPr="00E035B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insights</w:t>
      </w: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 e ideias de forma organizada, promovendo assim a recuperação e o compartilhamento de conhecimento nas equipes. O registro sistemático contribui para a reflexão individual e para o aprimoramento coletivo, viabilizando inovações baseadas em experiências acumuladas;</w:t>
      </w:r>
    </w:p>
    <w:p w14:paraId="413E611A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9" w:name="_Toc187159077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Classificação</w:t>
      </w:r>
      <w:bookmarkEnd w:id="9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mencionada por todos os profissionais, é destacada como viabilizadora da organização e categorização de conhecimentos, facilitando sua recuperação e utilização. A categorização favorece o acesso rápido a conteúdos relevantes, acelerando processos decisórios e inovadores.</w:t>
      </w:r>
    </w:p>
    <w:p w14:paraId="111FF41F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0" w:name="_Toc187159078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Arquivamento</w:t>
      </w:r>
      <w:bookmarkEnd w:id="10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mencionada por todos os profissionais, foi destacada para o armazenamento seguro e de longo prazo de informações e documentos importantes. Sua utilização assegura a memória organizacional e sustenta processos de inovação por meio do reaproveitamento histórico do conhecimento;</w:t>
      </w:r>
    </w:p>
    <w:p w14:paraId="11E4FC4B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Pesquisa e recuperação: mencionada por todos os profissionais, foi destacada para acessar informações de forma eficiente e produtiva. Ao reduzir o tempo de busca e ampliar a autonomia dos profissionais, contribui para decisões ágeis e inovações responsivas;</w:t>
      </w:r>
    </w:p>
    <w:p w14:paraId="18AF711C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1" w:name="_Toc187159080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Comunidades de práticas</w:t>
      </w:r>
      <w:bookmarkEnd w:id="11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citada por todos os profissionais, foi considerada por promover trocas de conhecimento, experiências e aprendizado coletivo. A interação entre pares fomenta a construção colaborativa de soluções inovadoras e o fortalecimento da inteligência coletiva;</w:t>
      </w:r>
    </w:p>
    <w:p w14:paraId="1D930AED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2" w:name="_Toc187159081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Contação de histórias, narrativas, anedotas</w:t>
      </w:r>
      <w:bookmarkEnd w:id="12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mencionada por oito profissionais, foi reconhecida como uma ferramenta destinada à transferência de conhecimentos, especialmente de forma tácita. Por meio de histórias, experiências são compartilhadas de forma envolvente, inspirando mudanças e melhorias nas práticas organizacionais.</w:t>
      </w:r>
    </w:p>
    <w:p w14:paraId="2D16F214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3" w:name="_Toc187159082"/>
      <w:r w:rsidRPr="00E035B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Workshops</w:t>
      </w: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 e tutoriais</w:t>
      </w:r>
      <w:bookmarkEnd w:id="13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mencionada por todos os profissionais, foi destacada para o aprendizado estruturado e o desenvolvimento de habilidades. Ao alinhar capacitação de profissionais com desafios reais do negócio, há a contribuição para a geração de soluções práticas e inovadoras;</w:t>
      </w:r>
    </w:p>
    <w:p w14:paraId="6451A3C8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4" w:name="_Toc187159083"/>
      <w:r w:rsidRPr="00E035B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Coaching</w:t>
      </w: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, mentoria e aprendizagens</w:t>
      </w:r>
      <w:bookmarkEnd w:id="14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: mencionada por todos os profissionais, foi apontada como um processo para o desenvolvimento pessoal e profissional. Ao estimular a evolução contínua, fortalecem o conhecimento individual a capacidade de inovar das </w:t>
      </w:r>
      <w:proofErr w:type="spellStart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2B052A8A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5" w:name="_Toc187159084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Análise social/organizacional e sociogramas</w:t>
      </w:r>
      <w:bookmarkEnd w:id="15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mencionada por dois profissionais, destaca-se como uma ferramenta para visualizar e analisar redes de relacionamentos e fluxos de informação. Sua aplicação permite identificar conexões estratégicas e oportunidades de inovação colaborativa;</w:t>
      </w:r>
    </w:p>
    <w:p w14:paraId="003DC5C8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6" w:name="_Toc187159085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Perfil de especialista e páginas amarelas</w:t>
      </w:r>
      <w:bookmarkEnd w:id="16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mencionada por todos os profissionais, foi ressaltada como útil para localizar e acessar conhecimentos especializados de forma direcionada. Ao conectar demandas com expertises, a inovação é impulsionada com base nos conhecimentos disponíveis;</w:t>
      </w:r>
    </w:p>
    <w:p w14:paraId="5CD92E5F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7" w:name="_Toc187159086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Revisão após a ação / tempo de reflexão</w:t>
      </w:r>
      <w:bookmarkEnd w:id="17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citada por todos os profissionais, foi apontada para a análise de experiências passadas e identificação de pontos de melhoria. A reflexão de forma estruturada permite o aprimoramento contínuo ao identificar lições aprendidas e introduzir melhores práticas com base no aprendizado;</w:t>
      </w:r>
    </w:p>
    <w:p w14:paraId="12D4CC81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8" w:name="_Toc187159087"/>
      <w:r w:rsidRPr="00E035B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E-</w:t>
      </w:r>
      <w:proofErr w:type="gramStart"/>
      <w:r w:rsidRPr="00E035B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learning</w:t>
      </w:r>
      <w:proofErr w:type="gramEnd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 e treinamento</w:t>
      </w:r>
      <w:bookmarkEnd w:id="18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mencionada por todos os profissionais, foi indicada para o aprendizado contínuo e acessível. A flexibilidade e acessibilidade dos formatos digitais ampliaram o alcance da capacitação e fortaleceu a cultura de inovação na organização;</w:t>
      </w:r>
    </w:p>
    <w:p w14:paraId="08B63880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19" w:name="_Toc187159088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Tempo de inovação</w:t>
      </w:r>
      <w:bookmarkEnd w:id="19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: mencionada por todos os profissionais, foi destacada para a geração de ideias e desenvolvimento de soluções criativas. Ao reservar tempo </w:t>
      </w: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para a criatividade, estimula-se soluções originais e o desenvolvimento de iniciativas inovadoras.</w:t>
      </w:r>
    </w:p>
    <w:p w14:paraId="51A22C7D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0" w:name="_Toc187159089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Lições aprendidas</w:t>
      </w:r>
      <w:bookmarkEnd w:id="20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mencionada por todos os profissionais, foi destacada como uma ferramenta para refletir sobre experiências passadas e aprimorar futuras ações. A sistematização dos conhecimentos oriundos de lições aprendidas favorece aperfeiçoamento e surgimento de inovações.</w:t>
      </w:r>
    </w:p>
    <w:p w14:paraId="559194C5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1" w:name="_Toc187159090"/>
      <w:r w:rsidRPr="00E035B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Benchmarking</w:t>
      </w:r>
      <w:bookmarkEnd w:id="21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: mencionada por todos os profissionais, foi considerada útil na identificação de boas práticas externas, comparação com processos internos e aprendizado com os sucessos dos outros. Essa comparação gera </w:t>
      </w:r>
      <w:r w:rsidRPr="00E035B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insights</w:t>
      </w: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 para a modificação e inovação adaptadas ao contexto organizacional;</w:t>
      </w:r>
    </w:p>
    <w:p w14:paraId="4D052FD8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2" w:name="_Toc187159091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Análise, visualização, métricas e relatórios</w:t>
      </w:r>
      <w:bookmarkEnd w:id="22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: mencionada por todos os profissionais, foi apontada para transformar dados em informações relevantes que orientam decisões. A interpretação visual e quantitativa do desempenho favorece decisões informadas e direcionadas à inovação;</w:t>
      </w:r>
    </w:p>
    <w:p w14:paraId="5B0948FC" w14:textId="77777777" w:rsidR="002E7634" w:rsidRPr="00E035B0" w:rsidRDefault="002E7634" w:rsidP="002E763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3" w:name="_Toc187159092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Análise de lacunas de conhecimento</w:t>
      </w:r>
      <w:bookmarkEnd w:id="23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: mencionada por todos os profissionais, foi ressaltada como aplicável à identificação de </w:t>
      </w:r>
      <w:r w:rsidRPr="00E035B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gaps</w:t>
      </w: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 entre o conhecimento atual e o desejado, permitindo assim o direcionamento de esforços para desenvolvimento de inovações. Ao explicitar tais lacunas, é possível direcionar investimento em aprendizado e inovação organizacional.</w:t>
      </w:r>
    </w:p>
    <w:p w14:paraId="0E41CB62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D242E4B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Outro resultado importante da pesquisa de campo realizada foi a indicação da aplicação das práticas de GC no processo de gestão do conhecimento pessoal. Assim, a ocorrência das 29 práticas de GC citadas pelos profissionais consultados foram dispostas nas diferentes etapas do processo de gestão do conhecimento pessoal (localizar, compartilhar, criar e aplicar conhecimento). A classificação da aplicação das práticas de GC permitiu uma visão sistêmica do desenvolvimento individual e organizacional voltado à inovação na OIC durante o processo de gestão do conhecimento, conforme exposto no Quadro 2.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46"/>
        <w:gridCol w:w="1288"/>
        <w:gridCol w:w="1564"/>
        <w:gridCol w:w="1264"/>
        <w:gridCol w:w="1257"/>
      </w:tblGrid>
      <w:tr w:rsidR="002E7634" w:rsidRPr="008970D1" w14:paraId="52A4F560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4010B5D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Práticas de GC</w:t>
            </w:r>
          </w:p>
        </w:tc>
        <w:tc>
          <w:tcPr>
            <w:tcW w:w="1288" w:type="dxa"/>
            <w:noWrap/>
            <w:hideMark/>
          </w:tcPr>
          <w:p w14:paraId="5C1D7EC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Localizar</w:t>
            </w:r>
          </w:p>
        </w:tc>
        <w:tc>
          <w:tcPr>
            <w:tcW w:w="1564" w:type="dxa"/>
            <w:noWrap/>
            <w:hideMark/>
          </w:tcPr>
          <w:p w14:paraId="7294970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Compartilhar</w:t>
            </w:r>
          </w:p>
        </w:tc>
        <w:tc>
          <w:tcPr>
            <w:tcW w:w="1264" w:type="dxa"/>
            <w:noWrap/>
            <w:hideMark/>
          </w:tcPr>
          <w:p w14:paraId="49734E2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Criar</w:t>
            </w:r>
          </w:p>
        </w:tc>
        <w:tc>
          <w:tcPr>
            <w:tcW w:w="1257" w:type="dxa"/>
            <w:noWrap/>
            <w:hideMark/>
          </w:tcPr>
          <w:p w14:paraId="678ACB45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b/>
                <w:bCs/>
                <w:sz w:val="20"/>
                <w:szCs w:val="20"/>
                <w:lang w:eastAsia="pt-BR"/>
              </w:rPr>
              <w:t>Aplicar</w:t>
            </w:r>
          </w:p>
        </w:tc>
      </w:tr>
      <w:tr w:rsidR="002E7634" w:rsidRPr="008970D1" w14:paraId="4B942B11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1D663F84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Mapas, modelos e taxonomias de conhecimento</w:t>
            </w:r>
          </w:p>
        </w:tc>
        <w:tc>
          <w:tcPr>
            <w:tcW w:w="1288" w:type="dxa"/>
            <w:noWrap/>
            <w:hideMark/>
          </w:tcPr>
          <w:p w14:paraId="769F640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5BCE09E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noWrap/>
            <w:hideMark/>
          </w:tcPr>
          <w:p w14:paraId="0A5FED1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1D1862D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125B6937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0E451308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Prototipagem</w:t>
            </w:r>
          </w:p>
        </w:tc>
        <w:tc>
          <w:tcPr>
            <w:tcW w:w="1288" w:type="dxa"/>
            <w:noWrap/>
            <w:hideMark/>
          </w:tcPr>
          <w:p w14:paraId="0AF7C3F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noWrap/>
            <w:hideMark/>
          </w:tcPr>
          <w:p w14:paraId="5E24CA9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noWrap/>
            <w:hideMark/>
          </w:tcPr>
          <w:p w14:paraId="447C0A9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65AF54F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4924BF42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57E02285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Análise de informação e fluxo de trabalho</w:t>
            </w:r>
          </w:p>
        </w:tc>
        <w:tc>
          <w:tcPr>
            <w:tcW w:w="1288" w:type="dxa"/>
            <w:noWrap/>
            <w:hideMark/>
          </w:tcPr>
          <w:p w14:paraId="4C99235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29EE282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64" w:type="dxa"/>
            <w:noWrap/>
            <w:hideMark/>
          </w:tcPr>
          <w:p w14:paraId="3086848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339729A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75D3D557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21CA228B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Entrevistas com especialistas</w:t>
            </w:r>
          </w:p>
        </w:tc>
        <w:tc>
          <w:tcPr>
            <w:tcW w:w="1288" w:type="dxa"/>
            <w:noWrap/>
            <w:hideMark/>
          </w:tcPr>
          <w:p w14:paraId="629BE09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1105217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64" w:type="dxa"/>
            <w:noWrap/>
            <w:hideMark/>
          </w:tcPr>
          <w:p w14:paraId="0CE15C5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57" w:type="dxa"/>
            <w:noWrap/>
            <w:hideMark/>
          </w:tcPr>
          <w:p w14:paraId="3CA089D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2E7634" w:rsidRPr="008970D1" w14:paraId="2F4E12DB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5AAC5035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Observação</w:t>
            </w:r>
          </w:p>
        </w:tc>
        <w:tc>
          <w:tcPr>
            <w:tcW w:w="1288" w:type="dxa"/>
            <w:noWrap/>
            <w:hideMark/>
          </w:tcPr>
          <w:p w14:paraId="1F8DE6C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21DB653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noWrap/>
            <w:hideMark/>
          </w:tcPr>
          <w:p w14:paraId="78C6D1A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7E6622B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2E7634" w:rsidRPr="008970D1" w14:paraId="4D00D96F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61362FB4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lastRenderedPageBreak/>
              <w:t>Melhores práticas</w:t>
            </w:r>
          </w:p>
        </w:tc>
        <w:tc>
          <w:tcPr>
            <w:tcW w:w="1288" w:type="dxa"/>
            <w:noWrap/>
            <w:hideMark/>
          </w:tcPr>
          <w:p w14:paraId="76D0E58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47035845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64" w:type="dxa"/>
            <w:noWrap/>
            <w:hideMark/>
          </w:tcPr>
          <w:p w14:paraId="665E274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4514E0C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7A727EC6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34A263AC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 xml:space="preserve">Sessões </w:t>
            </w:r>
            <w:r w:rsidRPr="008970D1">
              <w:rPr>
                <w:rFonts w:eastAsia="Times New Roman" w:cs="Arial"/>
                <w:i/>
                <w:iCs/>
                <w:sz w:val="20"/>
                <w:szCs w:val="20"/>
                <w:lang w:eastAsia="pt-BR"/>
              </w:rPr>
              <w:t>ad hoc</w:t>
            </w:r>
          </w:p>
        </w:tc>
        <w:tc>
          <w:tcPr>
            <w:tcW w:w="1288" w:type="dxa"/>
            <w:noWrap/>
            <w:hideMark/>
          </w:tcPr>
          <w:p w14:paraId="54D689F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noWrap/>
            <w:hideMark/>
          </w:tcPr>
          <w:p w14:paraId="457873D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64" w:type="dxa"/>
            <w:noWrap/>
            <w:hideMark/>
          </w:tcPr>
          <w:p w14:paraId="3901038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76F0442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15E65C11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15767B93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Avaliação de documentos estratégicos</w:t>
            </w:r>
          </w:p>
        </w:tc>
        <w:tc>
          <w:tcPr>
            <w:tcW w:w="1288" w:type="dxa"/>
            <w:noWrap/>
            <w:hideMark/>
          </w:tcPr>
          <w:p w14:paraId="7D6F83C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3A2041A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noWrap/>
            <w:hideMark/>
          </w:tcPr>
          <w:p w14:paraId="0283E9B5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57" w:type="dxa"/>
            <w:noWrap/>
            <w:hideMark/>
          </w:tcPr>
          <w:p w14:paraId="19A97B2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1376D387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4166BAF0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Mapeamento de competências e processos</w:t>
            </w:r>
          </w:p>
        </w:tc>
        <w:tc>
          <w:tcPr>
            <w:tcW w:w="1288" w:type="dxa"/>
            <w:noWrap/>
            <w:hideMark/>
          </w:tcPr>
          <w:p w14:paraId="1D1E5CF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30E0FFB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noWrap/>
            <w:hideMark/>
          </w:tcPr>
          <w:p w14:paraId="42BDF73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0CC2425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0C026FAD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509D9B10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 xml:space="preserve">Sessões de </w:t>
            </w:r>
            <w:r w:rsidRPr="008970D1">
              <w:rPr>
                <w:rFonts w:eastAsia="Times New Roman" w:cs="Arial"/>
                <w:i/>
                <w:iCs/>
                <w:sz w:val="20"/>
                <w:szCs w:val="20"/>
                <w:lang w:eastAsia="pt-BR"/>
              </w:rPr>
              <w:t>brainstorming</w:t>
            </w:r>
          </w:p>
        </w:tc>
        <w:tc>
          <w:tcPr>
            <w:tcW w:w="1288" w:type="dxa"/>
            <w:noWrap/>
            <w:hideMark/>
          </w:tcPr>
          <w:p w14:paraId="4952976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noWrap/>
            <w:hideMark/>
          </w:tcPr>
          <w:p w14:paraId="0087BF3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64" w:type="dxa"/>
            <w:noWrap/>
            <w:hideMark/>
          </w:tcPr>
          <w:p w14:paraId="72BF3E3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2DC2249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2E7634" w:rsidRPr="008970D1" w14:paraId="5AEED7AF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548309E0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Armazenamento</w:t>
            </w:r>
          </w:p>
        </w:tc>
        <w:tc>
          <w:tcPr>
            <w:tcW w:w="1288" w:type="dxa"/>
            <w:noWrap/>
            <w:hideMark/>
          </w:tcPr>
          <w:p w14:paraId="421EC1E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3101612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noWrap/>
            <w:hideMark/>
          </w:tcPr>
          <w:p w14:paraId="1CF8214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57" w:type="dxa"/>
            <w:noWrap/>
            <w:hideMark/>
          </w:tcPr>
          <w:p w14:paraId="7620948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79E216BF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17D529EC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Modelos</w:t>
            </w:r>
          </w:p>
        </w:tc>
        <w:tc>
          <w:tcPr>
            <w:tcW w:w="1288" w:type="dxa"/>
            <w:noWrap/>
            <w:hideMark/>
          </w:tcPr>
          <w:p w14:paraId="67B5F1F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4A0F6EA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noWrap/>
            <w:hideMark/>
          </w:tcPr>
          <w:p w14:paraId="4D15278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3F995F1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3888DF35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718FA754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Anotações</w:t>
            </w:r>
          </w:p>
        </w:tc>
        <w:tc>
          <w:tcPr>
            <w:tcW w:w="1288" w:type="dxa"/>
            <w:noWrap/>
            <w:hideMark/>
          </w:tcPr>
          <w:p w14:paraId="2F132AC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0D5D692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noWrap/>
            <w:hideMark/>
          </w:tcPr>
          <w:p w14:paraId="53984BA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149BD00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48A64FE7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75E7CA58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Classificação</w:t>
            </w:r>
          </w:p>
        </w:tc>
        <w:tc>
          <w:tcPr>
            <w:tcW w:w="1288" w:type="dxa"/>
            <w:noWrap/>
            <w:hideMark/>
          </w:tcPr>
          <w:p w14:paraId="584A86D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3E24672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noWrap/>
            <w:hideMark/>
          </w:tcPr>
          <w:p w14:paraId="159757E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57" w:type="dxa"/>
            <w:noWrap/>
            <w:hideMark/>
          </w:tcPr>
          <w:p w14:paraId="6A1527D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7ACF82F4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2F5420DE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Arquivamento</w:t>
            </w:r>
          </w:p>
        </w:tc>
        <w:tc>
          <w:tcPr>
            <w:tcW w:w="1288" w:type="dxa"/>
            <w:noWrap/>
            <w:hideMark/>
          </w:tcPr>
          <w:p w14:paraId="497DB73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76EABFA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noWrap/>
            <w:hideMark/>
          </w:tcPr>
          <w:p w14:paraId="26C646A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57" w:type="dxa"/>
            <w:noWrap/>
            <w:hideMark/>
          </w:tcPr>
          <w:p w14:paraId="1F90386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7E6B3C57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05DFC0CE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Pesquisa e recuperação</w:t>
            </w:r>
          </w:p>
        </w:tc>
        <w:tc>
          <w:tcPr>
            <w:tcW w:w="1288" w:type="dxa"/>
            <w:noWrap/>
            <w:hideMark/>
          </w:tcPr>
          <w:p w14:paraId="73F4638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019BBAF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noWrap/>
            <w:hideMark/>
          </w:tcPr>
          <w:p w14:paraId="4E61608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57" w:type="dxa"/>
            <w:noWrap/>
            <w:hideMark/>
          </w:tcPr>
          <w:p w14:paraId="08C165C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3A636C90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72F6D1C2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Comunidades de práticas</w:t>
            </w:r>
          </w:p>
        </w:tc>
        <w:tc>
          <w:tcPr>
            <w:tcW w:w="1288" w:type="dxa"/>
            <w:noWrap/>
            <w:hideMark/>
          </w:tcPr>
          <w:p w14:paraId="01D9FEE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noWrap/>
            <w:hideMark/>
          </w:tcPr>
          <w:p w14:paraId="2315C94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64" w:type="dxa"/>
            <w:noWrap/>
            <w:hideMark/>
          </w:tcPr>
          <w:p w14:paraId="15D67F7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60E488D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2E7634" w:rsidRPr="008970D1" w14:paraId="5DB8E4E1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1348A7D5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Contação de histórias, narrativas, anedotas</w:t>
            </w:r>
          </w:p>
        </w:tc>
        <w:tc>
          <w:tcPr>
            <w:tcW w:w="1288" w:type="dxa"/>
            <w:noWrap/>
            <w:hideMark/>
          </w:tcPr>
          <w:p w14:paraId="655B4FD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noWrap/>
            <w:hideMark/>
          </w:tcPr>
          <w:p w14:paraId="7B131DE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64" w:type="dxa"/>
            <w:noWrap/>
            <w:hideMark/>
          </w:tcPr>
          <w:p w14:paraId="276E501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4E02D52C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2E7634" w:rsidRPr="008970D1" w14:paraId="0852F414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19317B29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i/>
                <w:iCs/>
                <w:sz w:val="20"/>
                <w:szCs w:val="20"/>
                <w:lang w:eastAsia="pt-BR"/>
              </w:rPr>
              <w:t>Workshops</w:t>
            </w: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 xml:space="preserve"> e tutoriais</w:t>
            </w:r>
          </w:p>
        </w:tc>
        <w:tc>
          <w:tcPr>
            <w:tcW w:w="1288" w:type="dxa"/>
            <w:noWrap/>
            <w:hideMark/>
          </w:tcPr>
          <w:p w14:paraId="1A4E8B3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noWrap/>
            <w:hideMark/>
          </w:tcPr>
          <w:p w14:paraId="523EB29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64" w:type="dxa"/>
            <w:noWrap/>
            <w:hideMark/>
          </w:tcPr>
          <w:p w14:paraId="4A5611E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62F912C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2E7634" w:rsidRPr="008970D1" w14:paraId="49FAB91D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716A602E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i/>
                <w:iCs/>
                <w:sz w:val="20"/>
                <w:szCs w:val="20"/>
                <w:lang w:eastAsia="pt-BR"/>
              </w:rPr>
              <w:t>Coaching</w:t>
            </w: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, mentoria e aprendizagens</w:t>
            </w:r>
          </w:p>
        </w:tc>
        <w:tc>
          <w:tcPr>
            <w:tcW w:w="1288" w:type="dxa"/>
            <w:noWrap/>
            <w:hideMark/>
          </w:tcPr>
          <w:p w14:paraId="18F8B86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noWrap/>
            <w:hideMark/>
          </w:tcPr>
          <w:p w14:paraId="18C70C4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64" w:type="dxa"/>
            <w:noWrap/>
            <w:hideMark/>
          </w:tcPr>
          <w:p w14:paraId="272ED6D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4AF5924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2E7634" w:rsidRPr="008970D1" w14:paraId="5C071CDC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329C7443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Análise social / organizacional e sociogramas</w:t>
            </w:r>
          </w:p>
        </w:tc>
        <w:tc>
          <w:tcPr>
            <w:tcW w:w="1288" w:type="dxa"/>
            <w:noWrap/>
            <w:hideMark/>
          </w:tcPr>
          <w:p w14:paraId="3725094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22E2BC7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64" w:type="dxa"/>
            <w:noWrap/>
            <w:hideMark/>
          </w:tcPr>
          <w:p w14:paraId="6F64235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57" w:type="dxa"/>
            <w:noWrap/>
            <w:hideMark/>
          </w:tcPr>
          <w:p w14:paraId="6FAD078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2E7634" w:rsidRPr="008970D1" w14:paraId="6E6489DB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17EB1B23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Perfil de especialista e páginas amarelas</w:t>
            </w:r>
          </w:p>
        </w:tc>
        <w:tc>
          <w:tcPr>
            <w:tcW w:w="1288" w:type="dxa"/>
            <w:noWrap/>
            <w:hideMark/>
          </w:tcPr>
          <w:p w14:paraId="317CC0D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19FDE71F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noWrap/>
            <w:hideMark/>
          </w:tcPr>
          <w:p w14:paraId="3C9857E5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57" w:type="dxa"/>
            <w:noWrap/>
            <w:hideMark/>
          </w:tcPr>
          <w:p w14:paraId="3B70B88B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2E7634" w:rsidRPr="008970D1" w14:paraId="12E82547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22097CD6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Revisão após a ação / tempo de reflexão</w:t>
            </w:r>
          </w:p>
        </w:tc>
        <w:tc>
          <w:tcPr>
            <w:tcW w:w="1288" w:type="dxa"/>
            <w:noWrap/>
            <w:hideMark/>
          </w:tcPr>
          <w:p w14:paraId="6106F555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62FEA4A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64" w:type="dxa"/>
            <w:noWrap/>
            <w:hideMark/>
          </w:tcPr>
          <w:p w14:paraId="5E00892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559A136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344127F8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6EEABEC0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i/>
                <w:iCs/>
                <w:sz w:val="20"/>
                <w:szCs w:val="20"/>
                <w:lang w:eastAsia="pt-BR"/>
              </w:rPr>
              <w:t>E-</w:t>
            </w:r>
            <w:proofErr w:type="gramStart"/>
            <w:r w:rsidRPr="008970D1">
              <w:rPr>
                <w:rFonts w:eastAsia="Times New Roman" w:cs="Arial"/>
                <w:i/>
                <w:iCs/>
                <w:sz w:val="20"/>
                <w:szCs w:val="20"/>
                <w:lang w:eastAsia="pt-BR"/>
              </w:rPr>
              <w:t>learning</w:t>
            </w:r>
            <w:proofErr w:type="gramEnd"/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 xml:space="preserve"> e treinamento</w:t>
            </w:r>
          </w:p>
        </w:tc>
        <w:tc>
          <w:tcPr>
            <w:tcW w:w="1288" w:type="dxa"/>
            <w:noWrap/>
            <w:hideMark/>
          </w:tcPr>
          <w:p w14:paraId="3EA4C12A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noWrap/>
            <w:hideMark/>
          </w:tcPr>
          <w:p w14:paraId="5193340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64" w:type="dxa"/>
            <w:noWrap/>
            <w:hideMark/>
          </w:tcPr>
          <w:p w14:paraId="173F231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6C31240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2E7634" w:rsidRPr="008970D1" w14:paraId="17AD4982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42A72ABD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Tempo de inovação</w:t>
            </w:r>
          </w:p>
        </w:tc>
        <w:tc>
          <w:tcPr>
            <w:tcW w:w="1288" w:type="dxa"/>
            <w:noWrap/>
            <w:hideMark/>
          </w:tcPr>
          <w:p w14:paraId="221F5FB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564" w:type="dxa"/>
            <w:noWrap/>
            <w:hideMark/>
          </w:tcPr>
          <w:p w14:paraId="28A8AFA7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64" w:type="dxa"/>
            <w:noWrap/>
            <w:hideMark/>
          </w:tcPr>
          <w:p w14:paraId="6A6752E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18E4AC2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</w:tr>
      <w:tr w:rsidR="002E7634" w:rsidRPr="008970D1" w14:paraId="22E79F21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6DE9C4EF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Lições aprendidas</w:t>
            </w:r>
          </w:p>
        </w:tc>
        <w:tc>
          <w:tcPr>
            <w:tcW w:w="1288" w:type="dxa"/>
            <w:noWrap/>
            <w:hideMark/>
          </w:tcPr>
          <w:p w14:paraId="3C34F45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568DAC0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64" w:type="dxa"/>
            <w:noWrap/>
            <w:hideMark/>
          </w:tcPr>
          <w:p w14:paraId="140E6CC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086EEF86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39957757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2AD0785A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i/>
                <w:iCs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i/>
                <w:iCs/>
                <w:sz w:val="20"/>
                <w:szCs w:val="20"/>
                <w:lang w:eastAsia="pt-BR"/>
              </w:rPr>
              <w:t>Benchmarking</w:t>
            </w:r>
          </w:p>
        </w:tc>
        <w:tc>
          <w:tcPr>
            <w:tcW w:w="1288" w:type="dxa"/>
            <w:noWrap/>
            <w:hideMark/>
          </w:tcPr>
          <w:p w14:paraId="1AA5D37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66AF1E2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64" w:type="dxa"/>
            <w:noWrap/>
            <w:hideMark/>
          </w:tcPr>
          <w:p w14:paraId="6723A8E9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5E13D313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150DA8D0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36100C9D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Análise, visualização, métricas e relatórios</w:t>
            </w:r>
          </w:p>
        </w:tc>
        <w:tc>
          <w:tcPr>
            <w:tcW w:w="1288" w:type="dxa"/>
            <w:noWrap/>
            <w:hideMark/>
          </w:tcPr>
          <w:p w14:paraId="20C0ABD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1A8E2C68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64" w:type="dxa"/>
            <w:noWrap/>
            <w:hideMark/>
          </w:tcPr>
          <w:p w14:paraId="5B4A5391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4D74CDF2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  <w:tr w:rsidR="002E7634" w:rsidRPr="008970D1" w14:paraId="2FB7E036" w14:textId="77777777" w:rsidTr="00010AE3">
        <w:trPr>
          <w:trHeight w:val="320"/>
        </w:trPr>
        <w:tc>
          <w:tcPr>
            <w:tcW w:w="3646" w:type="dxa"/>
            <w:noWrap/>
            <w:hideMark/>
          </w:tcPr>
          <w:p w14:paraId="4811FC9E" w14:textId="77777777" w:rsidR="002E7634" w:rsidRPr="008970D1" w:rsidRDefault="002E7634" w:rsidP="00010AE3">
            <w:pPr>
              <w:spacing w:before="0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Análise de lacuna de conhecimento</w:t>
            </w:r>
          </w:p>
        </w:tc>
        <w:tc>
          <w:tcPr>
            <w:tcW w:w="1288" w:type="dxa"/>
            <w:noWrap/>
            <w:hideMark/>
          </w:tcPr>
          <w:p w14:paraId="7515170E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564" w:type="dxa"/>
            <w:noWrap/>
            <w:hideMark/>
          </w:tcPr>
          <w:p w14:paraId="4522763D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</w:p>
        </w:tc>
        <w:tc>
          <w:tcPr>
            <w:tcW w:w="1264" w:type="dxa"/>
            <w:noWrap/>
            <w:hideMark/>
          </w:tcPr>
          <w:p w14:paraId="561EC944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  <w:tc>
          <w:tcPr>
            <w:tcW w:w="1257" w:type="dxa"/>
            <w:noWrap/>
            <w:hideMark/>
          </w:tcPr>
          <w:p w14:paraId="761C1E00" w14:textId="77777777" w:rsidR="002E7634" w:rsidRPr="008970D1" w:rsidRDefault="002E7634" w:rsidP="00010AE3">
            <w:pPr>
              <w:spacing w:before="0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8970D1">
              <w:rPr>
                <w:rFonts w:eastAsia="Times New Roman" w:cs="Arial"/>
                <w:sz w:val="20"/>
                <w:szCs w:val="20"/>
                <w:lang w:eastAsia="pt-BR"/>
              </w:rPr>
              <w:t>X</w:t>
            </w:r>
          </w:p>
        </w:tc>
      </w:tr>
    </w:tbl>
    <w:p w14:paraId="3C2134FC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E035B0">
        <w:rPr>
          <w:rFonts w:ascii="Times New Roman" w:eastAsia="Times New Roman" w:hAnsi="Times New Roman" w:cs="Times New Roman"/>
          <w:bCs/>
          <w:sz w:val="20"/>
          <w:szCs w:val="20"/>
        </w:rPr>
        <w:t xml:space="preserve">Quadro 2: Consolidação dos resultados sobre a aplicação das práticas de Gestão do Conhecimento Pessoal nas etapas do processo de GC na OIC </w:t>
      </w:r>
    </w:p>
    <w:p w14:paraId="60FA7851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E035B0">
        <w:rPr>
          <w:rFonts w:ascii="Times New Roman" w:eastAsia="Times New Roman" w:hAnsi="Times New Roman" w:cs="Times New Roman"/>
          <w:bCs/>
          <w:sz w:val="20"/>
          <w:szCs w:val="20"/>
        </w:rPr>
        <w:t>Fonte: autores.</w:t>
      </w:r>
    </w:p>
    <w:p w14:paraId="03E6B44A" w14:textId="77777777" w:rsidR="002E7634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9F2DD6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Conforme expressado pelos profissionais participantes da pesquisa de campo realizada, na etapa localizar as 19 práticas de GCP indicadas têm como objetivo identificar fontes de conhecimento, especialistas e informações relevantes, além de mapear conexões e gargalos. Tal aplicação otimiza a busca por informações críticas e ajuda a identificar as habilidades individuais e organizacionais necessárias, facilitando a alocação de esforços e recursos em prol da inovação. </w:t>
      </w:r>
    </w:p>
    <w:p w14:paraId="29AE3200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Na etapa compartilhar, as 16 práticas de GCP manifestadas pelos profissionais promovem a troca de experiências e conhecimentos, seja de forma estruturada ou informal, estimulando o aprendizado coletivo e a disseminação de conhecimentos tácitos e explícitos para a inovação. Na etapa criação, as 23 práticas de GCP incentivam a experimentação, o </w:t>
      </w: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desenvolvimento de novas ideias e a busca por soluções inovadoras, fomentando a criatividade e a geração de conhecimento. </w:t>
      </w:r>
    </w:p>
    <w:p w14:paraId="1AC0F9E0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Por fim, na etapa aplicação, as 18 práticas de GCP asseguram que o conhecimento criado seja documentado, avaliado e implementado, facilitando seu uso futuro de forma individual e coletiva ao estruturar e organizar as informações para aplicação na inovação de maneira acessível. Além disso, têm a capacidade de promover a aplicação prática e o desenvolvimento contínuo das competências individuais e organizacionais em projetos de inovação.</w:t>
      </w:r>
    </w:p>
    <w:p w14:paraId="783ED1F9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No Quadro 3 é exposta a consolidação dos resultados qualitativos sobre a aplicação das práticas de GC nas etapas do processo de GCP nas </w:t>
      </w:r>
      <w:proofErr w:type="spellStart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>OICs</w:t>
      </w:r>
      <w:proofErr w:type="spellEnd"/>
      <w:r w:rsidRPr="00E035B0">
        <w:rPr>
          <w:rFonts w:ascii="Times New Roman" w:eastAsia="Times New Roman" w:hAnsi="Times New Roman" w:cs="Times New Roman"/>
          <w:bCs/>
          <w:sz w:val="24"/>
          <w:szCs w:val="24"/>
        </w:rPr>
        <w:t xml:space="preserve"> participantes da pesquisa realizada. 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85"/>
        <w:gridCol w:w="6514"/>
      </w:tblGrid>
      <w:tr w:rsidR="002E7634" w:rsidRPr="008970D1" w14:paraId="3D440E26" w14:textId="77777777" w:rsidTr="00010AE3">
        <w:tc>
          <w:tcPr>
            <w:tcW w:w="1985" w:type="dxa"/>
          </w:tcPr>
          <w:p w14:paraId="1D0A483A" w14:textId="77777777" w:rsidR="002E7634" w:rsidRPr="008970D1" w:rsidRDefault="002E7634" w:rsidP="00010AE3">
            <w:pPr>
              <w:spacing w:before="0"/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8970D1">
              <w:rPr>
                <w:b/>
                <w:bCs/>
                <w:kern w:val="2"/>
                <w:sz w:val="20"/>
                <w:szCs w:val="20"/>
                <w14:ligatures w14:val="standardContextual"/>
              </w:rPr>
              <w:t>Etapas</w:t>
            </w:r>
          </w:p>
        </w:tc>
        <w:tc>
          <w:tcPr>
            <w:tcW w:w="6514" w:type="dxa"/>
          </w:tcPr>
          <w:p w14:paraId="2E819BD5" w14:textId="77777777" w:rsidR="002E7634" w:rsidRPr="008970D1" w:rsidRDefault="002E7634" w:rsidP="00010AE3">
            <w:pPr>
              <w:spacing w:before="0"/>
              <w:jc w:val="center"/>
              <w:rPr>
                <w:b/>
                <w:bCs/>
                <w:kern w:val="2"/>
                <w:sz w:val="20"/>
                <w:szCs w:val="20"/>
                <w14:ligatures w14:val="standardContextual"/>
              </w:rPr>
            </w:pPr>
            <w:r w:rsidRPr="008970D1">
              <w:rPr>
                <w:b/>
                <w:bCs/>
                <w:kern w:val="2"/>
                <w:sz w:val="20"/>
                <w:szCs w:val="20"/>
                <w14:ligatures w14:val="standardContextual"/>
              </w:rPr>
              <w:t>Principais resultados</w:t>
            </w:r>
          </w:p>
        </w:tc>
      </w:tr>
      <w:tr w:rsidR="002E7634" w:rsidRPr="008970D1" w14:paraId="77500044" w14:textId="77777777" w:rsidTr="00010AE3">
        <w:tc>
          <w:tcPr>
            <w:tcW w:w="1985" w:type="dxa"/>
          </w:tcPr>
          <w:p w14:paraId="76DFA47D" w14:textId="77777777" w:rsidR="002E7634" w:rsidRPr="008970D1" w:rsidRDefault="002E7634" w:rsidP="00010AE3">
            <w:pPr>
              <w:spacing w:before="0"/>
              <w:rPr>
                <w:kern w:val="2"/>
                <w:sz w:val="20"/>
                <w:szCs w:val="20"/>
                <w14:ligatures w14:val="standardContextual"/>
              </w:rPr>
            </w:pPr>
            <w:r w:rsidRPr="008970D1">
              <w:rPr>
                <w:kern w:val="2"/>
                <w:sz w:val="20"/>
                <w:szCs w:val="20"/>
                <w14:ligatures w14:val="standardContextual"/>
              </w:rPr>
              <w:t>Localização e/ou Captura de Conhecimento</w:t>
            </w:r>
          </w:p>
        </w:tc>
        <w:tc>
          <w:tcPr>
            <w:tcW w:w="6514" w:type="dxa"/>
          </w:tcPr>
          <w:p w14:paraId="7CB643B2" w14:textId="77777777" w:rsidR="002E7634" w:rsidRPr="008970D1" w:rsidRDefault="002E7634" w:rsidP="00010AE3">
            <w:pPr>
              <w:spacing w:before="0"/>
              <w:rPr>
                <w:kern w:val="2"/>
                <w:sz w:val="20"/>
                <w:szCs w:val="20"/>
                <w14:ligatures w14:val="standardContextual"/>
              </w:rPr>
            </w:pPr>
            <w:r w:rsidRPr="008970D1">
              <w:rPr>
                <w:kern w:val="2"/>
                <w:sz w:val="20"/>
                <w:szCs w:val="20"/>
                <w14:ligatures w14:val="standardContextual"/>
              </w:rPr>
              <w:t xml:space="preserve">Os participantes localizam e capturam conhecimento por meio de fontes internas e externas, como repositórios organizacionais, buscas em ferramentas (Google, </w:t>
            </w:r>
            <w:proofErr w:type="spellStart"/>
            <w:r w:rsidRPr="008970D1">
              <w:rPr>
                <w:kern w:val="2"/>
                <w:sz w:val="20"/>
                <w:szCs w:val="20"/>
                <w14:ligatures w14:val="standardContextual"/>
              </w:rPr>
              <w:t>Confluence</w:t>
            </w:r>
            <w:proofErr w:type="spellEnd"/>
            <w:r w:rsidRPr="008970D1">
              <w:rPr>
                <w:kern w:val="2"/>
                <w:sz w:val="20"/>
                <w:szCs w:val="20"/>
                <w14:ligatures w14:val="standardContextual"/>
              </w:rPr>
              <w:t>, SharePoint) e interações com pessoas experientes. O Profissional 1 destaca o uso de leitura e cursos, enquanto o Profissional 2 cita entrevistas e conversas. O Profissional 3 utiliza repositórios com buscas por palavras-chave, e o Profissional 6 cria mapas de fontes confiáveis, integrando conteúdos externos e internos. Já o Profissional 9 prioriza artigos, práticas de mercado e inteligência artificial.</w:t>
            </w:r>
          </w:p>
        </w:tc>
      </w:tr>
      <w:tr w:rsidR="002E7634" w:rsidRPr="008970D1" w14:paraId="15B6FEF8" w14:textId="77777777" w:rsidTr="00010AE3">
        <w:tc>
          <w:tcPr>
            <w:tcW w:w="1985" w:type="dxa"/>
          </w:tcPr>
          <w:p w14:paraId="5327339A" w14:textId="77777777" w:rsidR="002E7634" w:rsidRPr="008970D1" w:rsidRDefault="002E7634" w:rsidP="00010AE3">
            <w:pPr>
              <w:spacing w:before="0"/>
              <w:rPr>
                <w:kern w:val="2"/>
                <w:sz w:val="20"/>
                <w:szCs w:val="20"/>
                <w14:ligatures w14:val="standardContextual"/>
              </w:rPr>
            </w:pPr>
            <w:r w:rsidRPr="008970D1">
              <w:rPr>
                <w:kern w:val="2"/>
                <w:sz w:val="20"/>
                <w:szCs w:val="20"/>
                <w14:ligatures w14:val="standardContextual"/>
              </w:rPr>
              <w:t>Compartilhamento de Conhecimento</w:t>
            </w:r>
          </w:p>
        </w:tc>
        <w:tc>
          <w:tcPr>
            <w:tcW w:w="6514" w:type="dxa"/>
          </w:tcPr>
          <w:p w14:paraId="21F38160" w14:textId="77777777" w:rsidR="002E7634" w:rsidRPr="008970D1" w:rsidRDefault="002E7634" w:rsidP="00010AE3">
            <w:pPr>
              <w:spacing w:before="0"/>
              <w:rPr>
                <w:kern w:val="2"/>
                <w:sz w:val="20"/>
                <w:szCs w:val="20"/>
                <w14:ligatures w14:val="standardContextual"/>
              </w:rPr>
            </w:pPr>
            <w:r w:rsidRPr="008970D1">
              <w:rPr>
                <w:kern w:val="2"/>
                <w:sz w:val="20"/>
                <w:szCs w:val="20"/>
                <w14:ligatures w14:val="standardContextual"/>
              </w:rPr>
              <w:t>O compartilhamento ocorre majoritariamente por meio de interações informais e reuniões, além de documentos organizados. O Profissional 3 implementa comunidades de prática, enquanto o Profissional 7 destaca o envolvimento proativo em discussões. O Profissional 2 e o Profissional 8 compartilham conhecimentos em reuniões de brainstorming e por meio de atas ou ações. O Profissional 4 realiza trocas verbais, mas reconhece a ausência de processos estruturados, e o Profissional 5 menciona espaços de troca, embora sem registro formal.</w:t>
            </w:r>
          </w:p>
        </w:tc>
      </w:tr>
      <w:tr w:rsidR="002E7634" w:rsidRPr="008970D1" w14:paraId="7B40DBC9" w14:textId="77777777" w:rsidTr="00010AE3">
        <w:tc>
          <w:tcPr>
            <w:tcW w:w="1985" w:type="dxa"/>
          </w:tcPr>
          <w:p w14:paraId="28602153" w14:textId="77777777" w:rsidR="002E7634" w:rsidRPr="008970D1" w:rsidRDefault="002E7634" w:rsidP="00010AE3">
            <w:pPr>
              <w:spacing w:before="0"/>
              <w:rPr>
                <w:kern w:val="2"/>
                <w:sz w:val="20"/>
                <w:szCs w:val="20"/>
                <w14:ligatures w14:val="standardContextual"/>
              </w:rPr>
            </w:pPr>
            <w:r w:rsidRPr="008970D1">
              <w:rPr>
                <w:kern w:val="2"/>
                <w:sz w:val="20"/>
                <w:szCs w:val="20"/>
                <w14:ligatures w14:val="standardContextual"/>
              </w:rPr>
              <w:t>Criação de Conhecimento</w:t>
            </w:r>
          </w:p>
        </w:tc>
        <w:tc>
          <w:tcPr>
            <w:tcW w:w="6514" w:type="dxa"/>
          </w:tcPr>
          <w:p w14:paraId="0AEB2D98" w14:textId="77777777" w:rsidR="002E7634" w:rsidRPr="008970D1" w:rsidRDefault="002E7634" w:rsidP="00010AE3">
            <w:pPr>
              <w:spacing w:before="0"/>
              <w:rPr>
                <w:kern w:val="2"/>
                <w:sz w:val="20"/>
                <w:szCs w:val="20"/>
                <w14:ligatures w14:val="standardContextual"/>
              </w:rPr>
            </w:pPr>
            <w:r w:rsidRPr="008970D1">
              <w:rPr>
                <w:kern w:val="2"/>
                <w:sz w:val="20"/>
                <w:szCs w:val="20"/>
                <w14:ligatures w14:val="standardContextual"/>
              </w:rPr>
              <w:t>A criação de conhecimento é impulsionada por brainstormings, análise crítica e experiências colaborativas. O Profissional 1 gera conhecimento por meio da observação e melhoria de processos. O Profissional 3 realiza retrospectivas e propõe soluções colaborativas a partir de lições aprendidas. O Profissional 8 desenvolve novas metodologias para projetos, enquanto o Profissional 6 concatena referências para criar raciocínios inovadores. O Profissional 2 cita participação em fluxos de design e melhorias práticas, e o Profissional 7 se envolve de forma proativa na criação de ideias junto à equipe.</w:t>
            </w:r>
          </w:p>
        </w:tc>
      </w:tr>
      <w:tr w:rsidR="002E7634" w:rsidRPr="008970D1" w14:paraId="1BBC43FB" w14:textId="77777777" w:rsidTr="00010AE3">
        <w:tc>
          <w:tcPr>
            <w:tcW w:w="1985" w:type="dxa"/>
          </w:tcPr>
          <w:p w14:paraId="023C975F" w14:textId="77777777" w:rsidR="002E7634" w:rsidRPr="008970D1" w:rsidRDefault="002E7634" w:rsidP="00010AE3">
            <w:pPr>
              <w:spacing w:before="0"/>
              <w:rPr>
                <w:kern w:val="2"/>
                <w:sz w:val="20"/>
                <w:szCs w:val="20"/>
                <w14:ligatures w14:val="standardContextual"/>
              </w:rPr>
            </w:pPr>
            <w:r w:rsidRPr="008970D1">
              <w:rPr>
                <w:kern w:val="2"/>
                <w:sz w:val="20"/>
                <w:szCs w:val="20"/>
                <w14:ligatures w14:val="standardContextual"/>
              </w:rPr>
              <w:t>Aplicação de Conhecimento</w:t>
            </w:r>
          </w:p>
        </w:tc>
        <w:tc>
          <w:tcPr>
            <w:tcW w:w="6514" w:type="dxa"/>
          </w:tcPr>
          <w:p w14:paraId="6987D9D2" w14:textId="77777777" w:rsidR="002E7634" w:rsidRPr="008970D1" w:rsidRDefault="002E7634" w:rsidP="00010AE3">
            <w:pPr>
              <w:spacing w:before="0"/>
              <w:rPr>
                <w:kern w:val="2"/>
                <w:sz w:val="20"/>
                <w:szCs w:val="20"/>
                <w14:ligatures w14:val="standardContextual"/>
              </w:rPr>
            </w:pPr>
            <w:r w:rsidRPr="008970D1">
              <w:rPr>
                <w:kern w:val="2"/>
                <w:sz w:val="20"/>
                <w:szCs w:val="20"/>
                <w14:ligatures w14:val="standardContextual"/>
              </w:rPr>
              <w:t>A aplicação do conhecimento é centrada na experimentação prática, resolução de problemas e otimização de processos. O Profissional 1 aplica testando novas abordagens sem medo de errar. O Profissional 2 usa técnicas de negociação para resolver problemas e ensina colegas. O Profissional 3 aplica conhecimentos de GC ao criar comunidades de prática. O Profissional 5 organiza aprendizados em notas e os reaplica em demandas recorrentes. O Profissional 8 implementa ferramentas de gestão de projetos, como cronogramas e indicadores. Já o Profissional 9 aplica o conhecimento na comunicação de informações complexas, adaptando a linguagem para públicos diversos.</w:t>
            </w:r>
          </w:p>
        </w:tc>
      </w:tr>
    </w:tbl>
    <w:p w14:paraId="2088B3E0" w14:textId="77777777" w:rsidR="002E7634" w:rsidRPr="00E035B0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E035B0">
        <w:rPr>
          <w:rFonts w:ascii="Times New Roman" w:eastAsia="Times New Roman" w:hAnsi="Times New Roman" w:cs="Times New Roman"/>
          <w:bCs/>
          <w:sz w:val="20"/>
          <w:szCs w:val="20"/>
        </w:rPr>
        <w:t xml:space="preserve">Quadro 3: Consolidação dos resultados qualitativos sobre as práticas de GCP nas etapas do processo de GC nas </w:t>
      </w:r>
      <w:proofErr w:type="spellStart"/>
      <w:r w:rsidRPr="00E035B0">
        <w:rPr>
          <w:rFonts w:ascii="Times New Roman" w:eastAsia="Times New Roman" w:hAnsi="Times New Roman" w:cs="Times New Roman"/>
          <w:bCs/>
          <w:sz w:val="20"/>
          <w:szCs w:val="20"/>
        </w:rPr>
        <w:t>OICs</w:t>
      </w:r>
      <w:proofErr w:type="spellEnd"/>
    </w:p>
    <w:p w14:paraId="4132BA2D" w14:textId="37695AFD" w:rsidR="00D8471E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5B0">
        <w:rPr>
          <w:rFonts w:ascii="Times New Roman" w:eastAsia="Times New Roman" w:hAnsi="Times New Roman" w:cs="Times New Roman"/>
          <w:bCs/>
          <w:sz w:val="20"/>
          <w:szCs w:val="20"/>
        </w:rPr>
        <w:t xml:space="preserve">Fonte: </w:t>
      </w:r>
      <w:proofErr w:type="gramStart"/>
      <w:r w:rsidRPr="00E035B0">
        <w:rPr>
          <w:rFonts w:ascii="Times New Roman" w:eastAsia="Times New Roman" w:hAnsi="Times New Roman" w:cs="Times New Roman"/>
          <w:bCs/>
          <w:sz w:val="20"/>
          <w:szCs w:val="20"/>
        </w:rPr>
        <w:t>autores.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521D2A69" w14:textId="77777777" w:rsidR="00D8471E" w:rsidRDefault="00D847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F0E4B9" w14:textId="77777777" w:rsidR="00D847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CONSIDERAÇÕES FINAIS E IMPLICAÇÕES</w:t>
      </w:r>
    </w:p>
    <w:p w14:paraId="273C67C1" w14:textId="77777777" w:rsidR="002E7634" w:rsidRPr="000A2441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" w:firstLine="57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>No atual contexto de transformação digital, exigências por inovação contínua e pressão por aprendizado acelerado e a compreensão de como os indivíduos gerenciam seu próprio conhecimento se tornou uma questão estratégica para as organizações. Nesse cenário, a Gestão do Conhecimento Pessoal (GCP) emerge como um eixo fundamental para o fortalecimento da inteligência organizacional, especialmente em Organizações Intensivas em Conhecimento (</w:t>
      </w:r>
      <w:proofErr w:type="spellStart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>OICs</w:t>
      </w:r>
      <w:proofErr w:type="spellEnd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). Considerando-se tal contexto, esta pesquisa investigou como as práticas de GCP adotadas por trabalhadores do conhecimento em </w:t>
      </w:r>
      <w:proofErr w:type="spellStart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>OICs</w:t>
      </w:r>
      <w:proofErr w:type="spellEnd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 influenciam o desenvolvimento individual e organizacional em prol da inovação.</w:t>
      </w:r>
    </w:p>
    <w:p w14:paraId="53651407" w14:textId="77777777" w:rsidR="002E7634" w:rsidRPr="000A2441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" w:firstLine="57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Os resultados desta pesquisa possibilitaram identificar 29 práticas de GCP adotadas pelos trabalhadores do conhecimento nas </w:t>
      </w:r>
      <w:proofErr w:type="spellStart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>OICs</w:t>
      </w:r>
      <w:proofErr w:type="spellEnd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 brasileiras participantes da pesquisa, quais sejam (em ordem alfabética): análise de informação e fluxo de trabalho; análise de lacuna de conhecimento; análise social/organizacional e sociogramas; análise, visualização, métricas e relatórios; anotações; armazenamento; arquivamento; avaliação de documentos estratégicos; </w:t>
      </w:r>
      <w:r w:rsidRPr="000A244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benchmarking</w:t>
      </w:r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; classificação; </w:t>
      </w:r>
      <w:r w:rsidRPr="000A244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coaching</w:t>
      </w:r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, mentoria e aprendizagens; comunidades de práticas; contação de histórias, narrativas e anedotas; </w:t>
      </w:r>
      <w:r w:rsidRPr="000A244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e-learning</w:t>
      </w:r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 e treinamento; entrevistas com especialistas; lições aprendidas; mapas, modelos e taxonomias de conhecimento; mapeamento de competências e processos; melhores práticas; modelos; observação; perfil de especialista e páginas amarelas; pesquisa e recuperação; prototipagem; revisão após a ação/tempo de reflexão; sessões </w:t>
      </w:r>
      <w:r w:rsidRPr="000A244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ad hoc</w:t>
      </w:r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; sessões de brainstorming; tempo de inovação e, por fim; </w:t>
      </w:r>
      <w:r w:rsidRPr="000A244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workshops</w:t>
      </w:r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 e tutoriais. </w:t>
      </w:r>
    </w:p>
    <w:p w14:paraId="67BE443B" w14:textId="77777777" w:rsidR="002E7634" w:rsidRPr="000A2441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" w:firstLine="57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As práticas identificadas foram classificadas com base na sua aplicação nas quatro etapas do processo de GCP. Foi possível identificar a aplicação de 19 práticas de GCP na etapa ‘localizar’; 16 práticas na etapa ‘compartilhar’; 23 práticas na etapa ‘criar’ e, por fim; 18 práticas na etapa ‘aplicar’. Os resultados da pesquisa revelam que a GCP atua como catalisadora da aprendizagem contínua, promovendo a adaptação organizacional e transformação de conhecimento individual em ativos organizacionais relevantes, impulsionando assim melhorias e inovação nas </w:t>
      </w:r>
      <w:proofErr w:type="spellStart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>OICs</w:t>
      </w:r>
      <w:proofErr w:type="spellEnd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94C76A9" w14:textId="77777777" w:rsidR="002E7634" w:rsidRPr="000A2441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" w:firstLine="57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Além disso, as práticas de GCP identificadas estão diretamente associadas à integração dos conhecimentos tácitos e explícitos, ao fortalecimento das competências individuais e à criação de redes colaborativas, contribuindo para o desenvolvimento estratégico das equipes das </w:t>
      </w:r>
      <w:proofErr w:type="spellStart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>OICs</w:t>
      </w:r>
      <w:proofErr w:type="spellEnd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 inseridas em processos de inovação. A pesquisa revelou que a GCP potencializa a </w:t>
      </w:r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articulação e integração de conhecimentos interdisciplinares, promovendo avanços na resolução de problemas complexos, característicos de ambientes inovadores nas </w:t>
      </w:r>
      <w:proofErr w:type="spellStart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>OICs</w:t>
      </w:r>
      <w:proofErr w:type="spellEnd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5570E219" w14:textId="77777777" w:rsidR="002E7634" w:rsidRPr="000A2441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" w:firstLine="57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Os resultados identificados nesta pesquisa reforçam a natureza dinâmica da GCP. As diferentes práticas aplicadas nas etapas do processo de GCP atuam de forma complementar, levando os trabalhadores do conhecimento a localizarem fontes confiáveis, compartilharem conhecimentos tácitos, cocriarem soluções e aplicarem o conhecimento para a promoção da inovação na organização. O detalhamento qualitativo das narrativas dos profissionais das </w:t>
      </w:r>
      <w:proofErr w:type="spellStart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>OICs</w:t>
      </w:r>
      <w:proofErr w:type="spellEnd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 aponta que a criação de conhecimento está frequentemente atrelada à experimentação, à aprendizagem coletiva e à aplicação prática. Isso evidencia o papel estratégico da GCP na geração de inovações e na consolidação de uma cultura organizacional orientada à aprendizagem e à melhoria contínua.</w:t>
      </w:r>
    </w:p>
    <w:p w14:paraId="669EB577" w14:textId="77777777" w:rsidR="002E7634" w:rsidRPr="000A2441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" w:firstLine="57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Como contribuições da pesquisa indica-se a ampliação do entendimento de pesquisadores da Academia sobre a relação entre a GCP e o desenvolvimento individual e coletivo de trabalhadores do conhecimento para promoção da inovação em </w:t>
      </w:r>
      <w:proofErr w:type="spellStart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>OICs</w:t>
      </w:r>
      <w:proofErr w:type="spellEnd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 xml:space="preserve">, contribuindo assim para uma visão mais integrada da aplicação de práticas individuais e organizacionais de GC nesse tipo de organização. Ao abordar a interseção entre práticas de GCP e a inovação nas </w:t>
      </w:r>
      <w:proofErr w:type="spellStart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>OICs</w:t>
      </w:r>
      <w:proofErr w:type="spellEnd"/>
      <w:r w:rsidRPr="000A2441">
        <w:rPr>
          <w:rFonts w:ascii="Times New Roman" w:eastAsia="Times New Roman" w:hAnsi="Times New Roman" w:cs="Times New Roman"/>
          <w:bCs/>
          <w:sz w:val="24"/>
          <w:szCs w:val="24"/>
        </w:rPr>
        <w:t>, este estudo fornece base teórica para futuras investigações, além de ressaltar a importância da GCP como um campo emergente de pesquisa acadêmica.</w:t>
      </w:r>
    </w:p>
    <w:p w14:paraId="71A49502" w14:textId="77777777" w:rsidR="002E7634" w:rsidRPr="002A4E66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51F55474" w14:textId="20EBBB07" w:rsidR="002E7634" w:rsidRPr="002E7634" w:rsidRDefault="002E7634" w:rsidP="002E7634">
      <w:pPr>
        <w:pStyle w:val="PargrafodaLista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E76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CONTRIBUIÇÃO DO TRABALHO</w:t>
      </w:r>
    </w:p>
    <w:p w14:paraId="4BB5C12E" w14:textId="77777777" w:rsidR="002E7634" w:rsidRPr="002A4E66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2A4E6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Quanto às contribuições desta pesquisa para profissionais e gestores de </w:t>
      </w:r>
      <w:proofErr w:type="spellStart"/>
      <w:r w:rsidRPr="002A4E6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OICs</w:t>
      </w:r>
      <w:proofErr w:type="spellEnd"/>
      <w:r w:rsidRPr="002A4E6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 o presente estudo oferece diretrizes práticas para implementar e otimizar a aplicação de práticas de GCP como suporte aos processos de inovação. A pesquisa destaca a necessidade de alinhar práticas individuais às metas organizacionais, criando assim ambientes que incentivem o aprendizado contínuo, a colaboração e o compartilhamento de conhecimento como parte da cultura organizacional voltada à inovação.</w:t>
      </w:r>
    </w:p>
    <w:p w14:paraId="16C0CFCA" w14:textId="77777777" w:rsidR="002E7634" w:rsidRPr="002A4E66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DF03632" w14:textId="77777777" w:rsidR="002E7634" w:rsidRPr="002A4E66" w:rsidRDefault="002E7634" w:rsidP="002E7634">
      <w:pPr>
        <w:numPr>
          <w:ilvl w:val="1"/>
          <w:numId w:val="3"/>
        </w:numPr>
        <w:spacing w:line="360" w:lineRule="auto"/>
        <w:ind w:left="425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A4E6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IMPLICAÇÕES TEÓRICAS E PRÁTICAS</w:t>
      </w:r>
    </w:p>
    <w:p w14:paraId="035C16C0" w14:textId="77777777" w:rsidR="002E7634" w:rsidRPr="002A4E66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2A4E6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Como sugestões para pesquisas futuras, recomenda-se expandir a investigação para diferentes setores e regiões, explorando o impacto da cultura organizacional na GCP em </w:t>
      </w:r>
      <w:proofErr w:type="spellStart"/>
      <w:r w:rsidRPr="002A4E6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OICs</w:t>
      </w:r>
      <w:proofErr w:type="spellEnd"/>
      <w:r w:rsidRPr="002A4E6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Também indica-se desenvolver estudos para avaliar a evolução das práticas de GCP e seu impacto na sustentabilidade do conhecimento organizacional, além de buscar explorar o papel </w:t>
      </w:r>
      <w:r w:rsidRPr="002A4E6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de tecnologias emergentes, como métodos e técnicas de inteligência artificial, no aprimoramento das práticas de GCP em </w:t>
      </w:r>
      <w:proofErr w:type="spellStart"/>
      <w:r w:rsidRPr="002A4E6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OICs</w:t>
      </w:r>
      <w:proofErr w:type="spellEnd"/>
      <w:r w:rsidRPr="002A4E6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em benefício da inovação.</w:t>
      </w:r>
    </w:p>
    <w:p w14:paraId="7EE17D84" w14:textId="77777777" w:rsidR="002E7634" w:rsidRPr="002A4E66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B9932E1" w14:textId="77777777" w:rsidR="002E7634" w:rsidRPr="002A4E66" w:rsidRDefault="002E7634" w:rsidP="002E7634">
      <w:pPr>
        <w:numPr>
          <w:ilvl w:val="1"/>
          <w:numId w:val="3"/>
        </w:numPr>
        <w:spacing w:line="360" w:lineRule="auto"/>
        <w:ind w:left="425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A4E6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IMPLICAÇÕES GERENCIAIS</w:t>
      </w:r>
    </w:p>
    <w:p w14:paraId="2F41BA3B" w14:textId="77777777" w:rsidR="002E7634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A4E6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Alguns estudos também podem contribuir com o amadurecimento da área de Gestão do Conhecimento oferecendo orientação prática para os gestores organizacionais.</w:t>
      </w:r>
    </w:p>
    <w:p w14:paraId="079230C5" w14:textId="77777777" w:rsidR="002E7634" w:rsidRPr="002A4E66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E65A60C" w14:textId="77777777" w:rsidR="002E7634" w:rsidRPr="002A4E66" w:rsidRDefault="002E7634" w:rsidP="002E7634">
      <w:pPr>
        <w:numPr>
          <w:ilvl w:val="1"/>
          <w:numId w:val="3"/>
        </w:numPr>
        <w:spacing w:line="360" w:lineRule="auto"/>
        <w:ind w:left="425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A4E6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LIMITAÇÕES DA PESQUISA E ESTUDOS FUTUROS</w:t>
      </w:r>
    </w:p>
    <w:p w14:paraId="5D8EA139" w14:textId="4AB4634D" w:rsidR="00B009E4" w:rsidRPr="002E7634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4E6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Esta pesquisa apresenta algumas limitações que merecem destaque. O foco exclusivo em empresas brasileiras restringe a generalização dos resultados para outros contextos culturais e regionais. Além disso, a análise foi baseada em percepções autorrelatadas pelos participantes, o que pode introduzir vieses nos dados coletados e influenciar a interpretação dos resultados. Por fim, a ausência da realização de um estudo longitudinal impede uma compreensão mais aprofundada sobre como as práticas de GCP evoluem ao longo do tempo e seus impactos de longo prazo na inovação em </w:t>
      </w:r>
      <w:proofErr w:type="spellStart"/>
      <w:r w:rsidRPr="002A4E6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OICs</w:t>
      </w:r>
      <w:proofErr w:type="spellEnd"/>
      <w:r w:rsidRPr="002A4E6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033BDFA2" w14:textId="77777777" w:rsidR="00B009E4" w:rsidRDefault="00B009E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0EC4FD" w14:textId="77777777" w:rsidR="00D847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REFERÊNCIAS</w:t>
      </w:r>
    </w:p>
    <w:p w14:paraId="052597EA" w14:textId="77777777" w:rsidR="00D8471E" w:rsidRDefault="00D8471E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73D58D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2A4E66">
        <w:rPr>
          <w:rFonts w:ascii="Times New Roman" w:eastAsia="Times New Roman" w:hAnsi="Times New Roman" w:cs="Times New Roman"/>
        </w:rPr>
        <w:t xml:space="preserve">BARDIN, Laurence. </w:t>
      </w:r>
      <w:r w:rsidRPr="002A4E66">
        <w:rPr>
          <w:rFonts w:ascii="Times New Roman" w:eastAsia="Times New Roman" w:hAnsi="Times New Roman" w:cs="Times New Roman"/>
          <w:b/>
          <w:bCs/>
        </w:rPr>
        <w:t>Análise de conteúdo</w:t>
      </w:r>
      <w:r w:rsidRPr="002A4E66">
        <w:rPr>
          <w:rFonts w:ascii="Times New Roman" w:eastAsia="Times New Roman" w:hAnsi="Times New Roman" w:cs="Times New Roman"/>
        </w:rPr>
        <w:t>. Lisboa: Edições 70, 1977.</w:t>
      </w:r>
    </w:p>
    <w:p w14:paraId="56D46953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DD96C98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BERG, H. A. V. D.; KAUR, V. Individual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Measurement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Organizational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Measured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at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Individual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Level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Journal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Management,</w:t>
      </w:r>
      <w:r w:rsidRPr="002A4E66">
        <w:rPr>
          <w:rFonts w:ascii="Times New Roman" w:eastAsia="Times New Roman" w:hAnsi="Times New Roman" w:cs="Times New Roman"/>
          <w:color w:val="000000"/>
        </w:rPr>
        <w:t xml:space="preserve"> v. 26, n. 6, p. 1409-1437, 2022.</w:t>
      </w:r>
    </w:p>
    <w:p w14:paraId="0927DC16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932FBCD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CARDOSO, M. R. G.; OLIVEIRA, G. S.; GHELLI, K. G. M. Análise de conteúdo: uma metodologia de pesquisa qualitativa. </w:t>
      </w:r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Cadernos da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Fucamp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>, v. 20, n. 43, p. 98-111, 2021.</w:t>
      </w:r>
    </w:p>
    <w:p w14:paraId="13F2D013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5253241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DALIKIR,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Kimiz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. The role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human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resources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(HR) in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tacit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sharing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. In: SPRINGER NATURE.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Tacit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sharing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>. 2017.</w:t>
      </w:r>
    </w:p>
    <w:p w14:paraId="5F05E125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F9B3A1B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ESKINDAROV, M.; GRUZINA, Y.; FIRSOVA, I.; MEL’NICHUK, M.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Human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Capital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Competencies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in High-Tech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Knowledge-Intensive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Sectors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Economy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. </w:t>
      </w:r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Economic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and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Social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Changes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>, v. 6, n. 72, p. 199-214, 2020.</w:t>
      </w:r>
    </w:p>
    <w:p w14:paraId="01110CB5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62128A4" w14:textId="77777777" w:rsidR="002E7634" w:rsidRPr="002A4E66" w:rsidRDefault="002E7634" w:rsidP="002E7634">
      <w:pPr>
        <w:spacing w:line="240" w:lineRule="auto"/>
        <w:jc w:val="both"/>
        <w:rPr>
          <w:rFonts w:ascii="Times New Roman" w:hAnsi="Times New Roman" w:cs="Times New Roman"/>
        </w:rPr>
      </w:pPr>
      <w:r w:rsidRPr="002A4E66">
        <w:rPr>
          <w:rFonts w:ascii="Times New Roman" w:hAnsi="Times New Roman" w:cs="Times New Roman"/>
        </w:rPr>
        <w:t xml:space="preserve">EVANS, M.; DALKIR, K.; BIDIAN, C. A </w:t>
      </w:r>
      <w:proofErr w:type="spellStart"/>
      <w:r w:rsidRPr="002A4E66">
        <w:rPr>
          <w:rFonts w:ascii="Times New Roman" w:hAnsi="Times New Roman" w:cs="Times New Roman"/>
        </w:rPr>
        <w:t>holistic</w:t>
      </w:r>
      <w:proofErr w:type="spellEnd"/>
      <w:r w:rsidRPr="002A4E66">
        <w:rPr>
          <w:rFonts w:ascii="Times New Roman" w:hAnsi="Times New Roman" w:cs="Times New Roman"/>
        </w:rPr>
        <w:t xml:space="preserve"> </w:t>
      </w:r>
      <w:proofErr w:type="spellStart"/>
      <w:r w:rsidRPr="002A4E66">
        <w:rPr>
          <w:rFonts w:ascii="Times New Roman" w:hAnsi="Times New Roman" w:cs="Times New Roman"/>
        </w:rPr>
        <w:t>view</w:t>
      </w:r>
      <w:proofErr w:type="spellEnd"/>
      <w:r w:rsidRPr="002A4E66">
        <w:rPr>
          <w:rFonts w:ascii="Times New Roman" w:hAnsi="Times New Roman" w:cs="Times New Roman"/>
        </w:rPr>
        <w:t xml:space="preserve"> </w:t>
      </w:r>
      <w:proofErr w:type="spellStart"/>
      <w:r w:rsidRPr="002A4E66">
        <w:rPr>
          <w:rFonts w:ascii="Times New Roman" w:hAnsi="Times New Roman" w:cs="Times New Roman"/>
        </w:rPr>
        <w:t>of</w:t>
      </w:r>
      <w:proofErr w:type="spellEnd"/>
      <w:r w:rsidRPr="002A4E66">
        <w:rPr>
          <w:rFonts w:ascii="Times New Roman" w:hAnsi="Times New Roman" w:cs="Times New Roman"/>
        </w:rPr>
        <w:t xml:space="preserve"> </w:t>
      </w:r>
      <w:proofErr w:type="spellStart"/>
      <w:r w:rsidRPr="002A4E66">
        <w:rPr>
          <w:rFonts w:ascii="Times New Roman" w:hAnsi="Times New Roman" w:cs="Times New Roman"/>
        </w:rPr>
        <w:t>the</w:t>
      </w:r>
      <w:proofErr w:type="spellEnd"/>
      <w:r w:rsidRPr="002A4E66">
        <w:rPr>
          <w:rFonts w:ascii="Times New Roman" w:hAnsi="Times New Roman" w:cs="Times New Roman"/>
        </w:rPr>
        <w:t xml:space="preserve"> </w:t>
      </w:r>
      <w:proofErr w:type="spellStart"/>
      <w:r w:rsidRPr="002A4E66">
        <w:rPr>
          <w:rFonts w:ascii="Times New Roman" w:hAnsi="Times New Roman" w:cs="Times New Roman"/>
        </w:rPr>
        <w:t>knowledge</w:t>
      </w:r>
      <w:proofErr w:type="spellEnd"/>
      <w:r w:rsidRPr="002A4E66">
        <w:rPr>
          <w:rFonts w:ascii="Times New Roman" w:hAnsi="Times New Roman" w:cs="Times New Roman"/>
        </w:rPr>
        <w:t xml:space="preserve"> </w:t>
      </w:r>
      <w:proofErr w:type="spellStart"/>
      <w:r w:rsidRPr="002A4E66">
        <w:rPr>
          <w:rFonts w:ascii="Times New Roman" w:hAnsi="Times New Roman" w:cs="Times New Roman"/>
        </w:rPr>
        <w:t>life</w:t>
      </w:r>
      <w:proofErr w:type="spellEnd"/>
      <w:r w:rsidRPr="002A4E66">
        <w:rPr>
          <w:rFonts w:ascii="Times New Roman" w:hAnsi="Times New Roman" w:cs="Times New Roman"/>
        </w:rPr>
        <w:t xml:space="preserve"> </w:t>
      </w:r>
      <w:proofErr w:type="spellStart"/>
      <w:r w:rsidRPr="002A4E66">
        <w:rPr>
          <w:rFonts w:ascii="Times New Roman" w:hAnsi="Times New Roman" w:cs="Times New Roman"/>
        </w:rPr>
        <w:t>cycle</w:t>
      </w:r>
      <w:proofErr w:type="spellEnd"/>
      <w:r w:rsidRPr="002A4E66">
        <w:rPr>
          <w:rFonts w:ascii="Times New Roman" w:hAnsi="Times New Roman" w:cs="Times New Roman"/>
        </w:rPr>
        <w:t xml:space="preserve">: </w:t>
      </w:r>
      <w:proofErr w:type="spellStart"/>
      <w:r w:rsidRPr="002A4E66">
        <w:rPr>
          <w:rFonts w:ascii="Times New Roman" w:hAnsi="Times New Roman" w:cs="Times New Roman"/>
        </w:rPr>
        <w:t>the</w:t>
      </w:r>
      <w:proofErr w:type="spellEnd"/>
      <w:r w:rsidRPr="002A4E66">
        <w:rPr>
          <w:rFonts w:ascii="Times New Roman" w:hAnsi="Times New Roman" w:cs="Times New Roman"/>
        </w:rPr>
        <w:t xml:space="preserve"> </w:t>
      </w:r>
      <w:proofErr w:type="spellStart"/>
      <w:r w:rsidRPr="002A4E66">
        <w:rPr>
          <w:rFonts w:ascii="Times New Roman" w:hAnsi="Times New Roman" w:cs="Times New Roman"/>
        </w:rPr>
        <w:t>knowledge</w:t>
      </w:r>
      <w:proofErr w:type="spellEnd"/>
      <w:r w:rsidRPr="002A4E66">
        <w:rPr>
          <w:rFonts w:ascii="Times New Roman" w:hAnsi="Times New Roman" w:cs="Times New Roman"/>
        </w:rPr>
        <w:t xml:space="preserve"> management </w:t>
      </w:r>
      <w:proofErr w:type="spellStart"/>
      <w:r w:rsidRPr="002A4E66">
        <w:rPr>
          <w:rFonts w:ascii="Times New Roman" w:hAnsi="Times New Roman" w:cs="Times New Roman"/>
        </w:rPr>
        <w:t>cycle</w:t>
      </w:r>
      <w:proofErr w:type="spellEnd"/>
      <w:r w:rsidRPr="002A4E66">
        <w:rPr>
          <w:rFonts w:ascii="Times New Roman" w:hAnsi="Times New Roman" w:cs="Times New Roman"/>
        </w:rPr>
        <w:t xml:space="preserve"> (KMC) model. </w:t>
      </w:r>
      <w:r w:rsidRPr="002A4E66">
        <w:rPr>
          <w:rFonts w:ascii="Times New Roman" w:hAnsi="Times New Roman" w:cs="Times New Roman"/>
          <w:b/>
          <w:bCs/>
        </w:rPr>
        <w:t xml:space="preserve">The </w:t>
      </w:r>
      <w:proofErr w:type="spellStart"/>
      <w:r w:rsidRPr="002A4E66">
        <w:rPr>
          <w:rFonts w:ascii="Times New Roman" w:hAnsi="Times New Roman" w:cs="Times New Roman"/>
          <w:b/>
          <w:bCs/>
        </w:rPr>
        <w:t>Electronic</w:t>
      </w:r>
      <w:proofErr w:type="spellEnd"/>
      <w:r w:rsidRPr="002A4E6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A4E66">
        <w:rPr>
          <w:rFonts w:ascii="Times New Roman" w:hAnsi="Times New Roman" w:cs="Times New Roman"/>
          <w:b/>
          <w:bCs/>
        </w:rPr>
        <w:t>Journal</w:t>
      </w:r>
      <w:proofErr w:type="spellEnd"/>
      <w:r w:rsidRPr="002A4E6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A4E66">
        <w:rPr>
          <w:rFonts w:ascii="Times New Roman" w:hAnsi="Times New Roman" w:cs="Times New Roman"/>
          <w:b/>
          <w:bCs/>
        </w:rPr>
        <w:t>of</w:t>
      </w:r>
      <w:proofErr w:type="spellEnd"/>
      <w:r w:rsidRPr="002A4E6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A4E66">
        <w:rPr>
          <w:rFonts w:ascii="Times New Roman" w:hAnsi="Times New Roman" w:cs="Times New Roman"/>
          <w:b/>
          <w:bCs/>
        </w:rPr>
        <w:t>Knowledge</w:t>
      </w:r>
      <w:proofErr w:type="spellEnd"/>
      <w:r w:rsidRPr="002A4E66">
        <w:rPr>
          <w:rFonts w:ascii="Times New Roman" w:hAnsi="Times New Roman" w:cs="Times New Roman"/>
          <w:b/>
          <w:bCs/>
        </w:rPr>
        <w:t xml:space="preserve"> Management</w:t>
      </w:r>
      <w:r w:rsidRPr="002A4E66">
        <w:rPr>
          <w:rFonts w:ascii="Times New Roman" w:hAnsi="Times New Roman" w:cs="Times New Roman"/>
        </w:rPr>
        <w:t>, v. 12, n. 1, p. 47, 2014.</w:t>
      </w:r>
    </w:p>
    <w:p w14:paraId="4120C77D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191D653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FARZANEH, M.; MEHRALIAN, G.; ISAAI, M.T.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Collective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construction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>: a socio-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cognitive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approach. </w:t>
      </w:r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VINE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Journal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Information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and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Management Systems</w:t>
      </w:r>
      <w:r w:rsidRPr="002A4E66">
        <w:rPr>
          <w:rFonts w:ascii="Times New Roman" w:eastAsia="Times New Roman" w:hAnsi="Times New Roman" w:cs="Times New Roman"/>
          <w:color w:val="000000"/>
        </w:rPr>
        <w:t>, v. 51, n. 4, p. 573-591, 2021. Disponível em: https://doi.org/10.1108/VJIKMS-11-2019-0186</w:t>
      </w:r>
    </w:p>
    <w:p w14:paraId="72D7EA18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03C808B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lastRenderedPageBreak/>
        <w:t xml:space="preserve">FRAND, J. L.; HIXSON, C. G. Personal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management: </w:t>
      </w:r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Who?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What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?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Why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? When? Where?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How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?</w:t>
      </w:r>
      <w:r w:rsidRPr="002A4E66">
        <w:rPr>
          <w:rFonts w:ascii="Times New Roman" w:eastAsia="Times New Roman" w:hAnsi="Times New Roman" w:cs="Times New Roman"/>
          <w:color w:val="000000"/>
        </w:rPr>
        <w:t xml:space="preserve"> In.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Educom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98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Conference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>, Orlando, Flórida, 1998. Disponível em: https://scholarsbank.uoregon.edu/xmlui/handle/1794/24358. Acesso em: 25 de abril de 2023.</w:t>
      </w:r>
    </w:p>
    <w:p w14:paraId="0C1C4F02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50FB287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IBIDUNNI, A.S.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Exploring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dimensions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for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improving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performance in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organizations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Journal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Workplace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Learning</w:t>
      </w:r>
      <w:r w:rsidRPr="002A4E66">
        <w:rPr>
          <w:rFonts w:ascii="Times New Roman" w:eastAsia="Times New Roman" w:hAnsi="Times New Roman" w:cs="Times New Roman"/>
          <w:color w:val="000000"/>
        </w:rPr>
        <w:t>, v. 32, n. 1, p. 76-93, 2020. Disponível em: https://doi.org/10.1108/JWL-01-2019-0013</w:t>
      </w:r>
    </w:p>
    <w:p w14:paraId="3640C4BA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DC7EBAF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ITOKAZU, M. F.; MEDEIROS, L. F. de. A abordagem mista de pesquisa nas dissertações de mestrados profissionais em educação e tecnologia no Brasil. </w:t>
      </w:r>
      <w:r w:rsidRPr="002A4E66">
        <w:rPr>
          <w:rFonts w:ascii="Times New Roman" w:eastAsia="Times New Roman" w:hAnsi="Times New Roman" w:cs="Times New Roman"/>
          <w:b/>
          <w:bCs/>
          <w:color w:val="000000"/>
        </w:rPr>
        <w:t>Revista de Estudos e Pesquisas Sobre Ensino Tecnológico</w:t>
      </w:r>
      <w:r w:rsidRPr="002A4E66">
        <w:rPr>
          <w:rFonts w:ascii="Times New Roman" w:eastAsia="Times New Roman" w:hAnsi="Times New Roman" w:cs="Times New Roman"/>
          <w:color w:val="000000"/>
        </w:rPr>
        <w:t>, v. 10, e231324, jan./dez., 2024.</w:t>
      </w:r>
    </w:p>
    <w:p w14:paraId="29A989CB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817F5E7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JARCHE, H. </w:t>
      </w:r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Personal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Management (PKM)</w:t>
      </w:r>
      <w:r w:rsidRPr="002A4E66">
        <w:rPr>
          <w:rFonts w:ascii="Times New Roman" w:eastAsia="Times New Roman" w:hAnsi="Times New Roman" w:cs="Times New Roman"/>
          <w:color w:val="000000"/>
        </w:rPr>
        <w:t>. 2024. Disponível em: https://jarche.com/</w:t>
      </w:r>
    </w:p>
    <w:p w14:paraId="7A4191DB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08570D3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JARRAHI, M.H.; REYNOLDS, R.; ESHRAGHI, A. Personal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management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enactment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personal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infrastructures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as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shadow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IT.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Information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and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Learning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Sciences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>, v. 122, n. 1/2, p. 17-44, 2021. Disponível em: https://doi.org/10.1108/ILS-11-2019-0120</w:t>
      </w:r>
    </w:p>
    <w:p w14:paraId="5A4628A4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091FB30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JEFFERSON, T.L.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Taking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it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personally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: personal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management. </w:t>
      </w:r>
      <w:r w:rsidRPr="002A4E66">
        <w:rPr>
          <w:rFonts w:ascii="Times New Roman" w:eastAsia="Times New Roman" w:hAnsi="Times New Roman" w:cs="Times New Roman"/>
          <w:b/>
          <w:bCs/>
          <w:color w:val="000000"/>
        </w:rPr>
        <w:t>VINE</w:t>
      </w:r>
      <w:r w:rsidRPr="002A4E66">
        <w:rPr>
          <w:rFonts w:ascii="Times New Roman" w:eastAsia="Times New Roman" w:hAnsi="Times New Roman" w:cs="Times New Roman"/>
          <w:color w:val="000000"/>
        </w:rPr>
        <w:t>, v. 36, n. 1, p. 35-37, 2006. Disponível em: https://doi.org/10.1108/03055720610667345.</w:t>
      </w:r>
    </w:p>
    <w:p w14:paraId="0B5E3197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7A11678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LEY, T. et al. A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Appropriation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Model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to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Connect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Scaffolded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Learning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Maturation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in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Workplace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Learning Settings.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Vocations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and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Learning</w:t>
      </w:r>
      <w:r w:rsidRPr="002A4E66">
        <w:rPr>
          <w:rFonts w:ascii="Times New Roman" w:eastAsia="Times New Roman" w:hAnsi="Times New Roman" w:cs="Times New Roman"/>
          <w:color w:val="000000"/>
        </w:rPr>
        <w:t>, v. 13, n. 1, p. 91-112, 2020.</w:t>
      </w:r>
    </w:p>
    <w:p w14:paraId="39E7BE4E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A7C7F78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LIU, Y.; XIAO, D. The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Impact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Personal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Management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on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Technical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Innovation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from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Perspective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Ba -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Taking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X Enterprise as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an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Example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Zhishi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Guanli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Luntan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>, v. 7, n. 5, 2022.</w:t>
      </w:r>
    </w:p>
    <w:p w14:paraId="6532DCDB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B4FBB96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MARQUES JÚNIOR, E.; GOBBO, J.A.; FUKUNAGA, F.; CERCHIONE, R.; CENTOBELLI, P. Use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management systems: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analysis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strategies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Brazilian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small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medium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enterprises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Journal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Management</w:t>
      </w:r>
      <w:r w:rsidRPr="002A4E66">
        <w:rPr>
          <w:rFonts w:ascii="Times New Roman" w:eastAsia="Times New Roman" w:hAnsi="Times New Roman" w:cs="Times New Roman"/>
          <w:color w:val="000000"/>
        </w:rPr>
        <w:t>, v. 24, n.2, p. 369-394. 2020. https://doi.org/10.1108/JKM-06-2019-0334</w:t>
      </w:r>
    </w:p>
    <w:p w14:paraId="6CDC5742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C0C8339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MATTARELLI, E.; COCHIS, C.; BERTOLOTTI, F.; UNGUREANU, P.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How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designed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work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environment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enacted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work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interactions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impact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creativity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work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>–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life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balance.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European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Journal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Innovation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Management.</w:t>
      </w:r>
      <w:r w:rsidRPr="002A4E66">
        <w:rPr>
          <w:rFonts w:ascii="Times New Roman" w:eastAsia="Times New Roman" w:hAnsi="Times New Roman" w:cs="Times New Roman"/>
          <w:color w:val="000000"/>
        </w:rPr>
        <w:t xml:space="preserve"> v. 27, n. 2, p. 648-672, 2024. Disponível em: https://doi.org/10.1108/EJIM-01-2022-0028</w:t>
      </w:r>
    </w:p>
    <w:p w14:paraId="67131279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1B893F5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NAKASH, M.; BOUHNIK, D.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Can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return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on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investment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in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management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initiatives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in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organizations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be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measured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?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Aslib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Journal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Information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Management</w:t>
      </w:r>
      <w:r w:rsidRPr="002A4E66">
        <w:rPr>
          <w:rFonts w:ascii="Times New Roman" w:eastAsia="Times New Roman" w:hAnsi="Times New Roman" w:cs="Times New Roman"/>
          <w:color w:val="000000"/>
        </w:rPr>
        <w:t>, v. 74, n. 3, p. 417-431, 2022.</w:t>
      </w:r>
    </w:p>
    <w:p w14:paraId="0110FC58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3AD6363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NAKASH, M.; BOUHNIK, D.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Risks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in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absence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optimal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management in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knowledge-intensive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organizations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. </w:t>
      </w:r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VINE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Journal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Information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and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Management Systems</w:t>
      </w:r>
      <w:r w:rsidRPr="002A4E66">
        <w:rPr>
          <w:rFonts w:ascii="Times New Roman" w:eastAsia="Times New Roman" w:hAnsi="Times New Roman" w:cs="Times New Roman"/>
          <w:color w:val="000000"/>
        </w:rPr>
        <w:t>, v. 52, n. 1, p. 87-101, 2022. Disponível em: https://doi.org/10.1108/VJIKMS-05-2020-0081</w:t>
      </w:r>
    </w:p>
    <w:p w14:paraId="2DCA6EE9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A0DAA7C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ÓSKARSDÓTTIR, H. G.; ODDSSON, G. V.; STURLUSON, J. Þ.; SÆMUNDSSON, R. J. A Soft Systems Approach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to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Worker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Productivity: A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Purposeful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Activity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Model for </w:t>
      </w:r>
      <w:proofErr w:type="spellStart"/>
      <w:proofErr w:type="gramStart"/>
      <w:r w:rsidRPr="002A4E66"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Individual</w:t>
      </w:r>
      <w:proofErr w:type="gramEnd"/>
      <w:r w:rsidRPr="002A4E66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Administrative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Sciences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>, v. 11, n. 4, p. 1-26, 2021.</w:t>
      </w:r>
    </w:p>
    <w:p w14:paraId="09524455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414349D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OSMAN, M. A.; MOHD NOAH, S. A.; SAAD, S.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Ontology-Based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Management Tools for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Sharing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in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Organization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- A Review. </w:t>
      </w:r>
      <w:r w:rsidRPr="002A4E66">
        <w:rPr>
          <w:rFonts w:ascii="Times New Roman" w:eastAsia="Times New Roman" w:hAnsi="Times New Roman" w:cs="Times New Roman"/>
          <w:b/>
          <w:bCs/>
          <w:color w:val="000000"/>
        </w:rPr>
        <w:t>IEEE Access</w:t>
      </w:r>
      <w:r w:rsidRPr="002A4E66">
        <w:rPr>
          <w:rFonts w:ascii="Times New Roman" w:eastAsia="Times New Roman" w:hAnsi="Times New Roman" w:cs="Times New Roman"/>
          <w:color w:val="000000"/>
        </w:rPr>
        <w:t>, v. 10, p. 43267-43283, 2022. Disponível em: https://doi.org/10.1109/ACCESS.2022.3163758</w:t>
      </w:r>
    </w:p>
    <w:p w14:paraId="06334CAC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9110998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lastRenderedPageBreak/>
        <w:t xml:space="preserve">ROCHA, E. M.; PACHECO, D. A. d. J.; SILVÉRIO, N.; ZANUZZI, C. M. d. S.; SELIG, P. M. The role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ICTs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for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sharing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in franchising networks. 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Journal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Business &amp; Industrial Marketing,</w:t>
      </w:r>
      <w:r w:rsidRPr="002A4E66">
        <w:rPr>
          <w:rFonts w:ascii="Times New Roman" w:eastAsia="Times New Roman" w:hAnsi="Times New Roman" w:cs="Times New Roman"/>
          <w:color w:val="000000"/>
        </w:rPr>
        <w:t xml:space="preserve"> v. 39, n. 2, p. 366-387, 2024. Disponível em: https://doi.org/10.1108/JBIM-01-2023-0010.</w:t>
      </w:r>
    </w:p>
    <w:p w14:paraId="1DAA0561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E9D2924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SHAHZADI, A.; LI, S.; SAHIBZADA, U.F.; MALIK, M.; KHALID, R.; AFSHAN, G. The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dynamic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relationship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management processes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project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success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modeling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mediating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role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worker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satisfaction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. </w:t>
      </w:r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Business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Process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Management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Journal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>, v. 27, n. 6, p. 1657-1676, 2021. Disponível em: https://doi.org/10.1108/BPMJ-08-2021-0500</w:t>
      </w:r>
    </w:p>
    <w:p w14:paraId="0E4007D3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978D08A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hAnsi="Times New Roman" w:cs="Times New Roman"/>
        </w:rPr>
        <w:t xml:space="preserve">SHUJAHAT, M.; WANG, M.; ALI, M.; BIBI, A.; RAZZAQ, S.; DURST, S. </w:t>
      </w:r>
      <w:proofErr w:type="spellStart"/>
      <w:r w:rsidRPr="002A4E66">
        <w:rPr>
          <w:rFonts w:ascii="Times New Roman" w:hAnsi="Times New Roman" w:cs="Times New Roman"/>
        </w:rPr>
        <w:t>Idiosyncratic</w:t>
      </w:r>
      <w:proofErr w:type="spellEnd"/>
      <w:r w:rsidRPr="002A4E66">
        <w:rPr>
          <w:rFonts w:ascii="Times New Roman" w:hAnsi="Times New Roman" w:cs="Times New Roman"/>
        </w:rPr>
        <w:t xml:space="preserve"> </w:t>
      </w:r>
      <w:proofErr w:type="spellStart"/>
      <w:r w:rsidRPr="002A4E66">
        <w:rPr>
          <w:rFonts w:ascii="Times New Roman" w:hAnsi="Times New Roman" w:cs="Times New Roman"/>
        </w:rPr>
        <w:t>job</w:t>
      </w:r>
      <w:proofErr w:type="spellEnd"/>
      <w:r w:rsidRPr="002A4E66">
        <w:rPr>
          <w:rFonts w:ascii="Times New Roman" w:hAnsi="Times New Roman" w:cs="Times New Roman"/>
        </w:rPr>
        <w:t xml:space="preserve">-design </w:t>
      </w:r>
      <w:proofErr w:type="spellStart"/>
      <w:r w:rsidRPr="002A4E66">
        <w:rPr>
          <w:rFonts w:ascii="Times New Roman" w:hAnsi="Times New Roman" w:cs="Times New Roman"/>
        </w:rPr>
        <w:t>practices</w:t>
      </w:r>
      <w:proofErr w:type="spellEnd"/>
      <w:r w:rsidRPr="002A4E66">
        <w:rPr>
          <w:rFonts w:ascii="Times New Roman" w:hAnsi="Times New Roman" w:cs="Times New Roman"/>
        </w:rPr>
        <w:t xml:space="preserve"> for </w:t>
      </w:r>
      <w:proofErr w:type="spellStart"/>
      <w:r w:rsidRPr="002A4E66">
        <w:rPr>
          <w:rFonts w:ascii="Times New Roman" w:hAnsi="Times New Roman" w:cs="Times New Roman"/>
        </w:rPr>
        <w:t>cultivating</w:t>
      </w:r>
      <w:proofErr w:type="spellEnd"/>
      <w:r w:rsidRPr="002A4E66">
        <w:rPr>
          <w:rFonts w:ascii="Times New Roman" w:hAnsi="Times New Roman" w:cs="Times New Roman"/>
        </w:rPr>
        <w:t xml:space="preserve"> personal </w:t>
      </w:r>
      <w:proofErr w:type="spellStart"/>
      <w:r w:rsidRPr="002A4E66">
        <w:rPr>
          <w:rFonts w:ascii="Times New Roman" w:hAnsi="Times New Roman" w:cs="Times New Roman"/>
        </w:rPr>
        <w:t>knowledge</w:t>
      </w:r>
      <w:proofErr w:type="spellEnd"/>
      <w:r w:rsidRPr="002A4E66">
        <w:rPr>
          <w:rFonts w:ascii="Times New Roman" w:hAnsi="Times New Roman" w:cs="Times New Roman"/>
        </w:rPr>
        <w:t xml:space="preserve"> management </w:t>
      </w:r>
      <w:proofErr w:type="spellStart"/>
      <w:r w:rsidRPr="002A4E66">
        <w:rPr>
          <w:rFonts w:ascii="Times New Roman" w:hAnsi="Times New Roman" w:cs="Times New Roman"/>
        </w:rPr>
        <w:t>among</w:t>
      </w:r>
      <w:proofErr w:type="spellEnd"/>
      <w:r w:rsidRPr="002A4E66">
        <w:rPr>
          <w:rFonts w:ascii="Times New Roman" w:hAnsi="Times New Roman" w:cs="Times New Roman"/>
        </w:rPr>
        <w:t xml:space="preserve"> </w:t>
      </w:r>
      <w:proofErr w:type="spellStart"/>
      <w:r w:rsidRPr="002A4E66">
        <w:rPr>
          <w:rFonts w:ascii="Times New Roman" w:hAnsi="Times New Roman" w:cs="Times New Roman"/>
        </w:rPr>
        <w:t>knowledge</w:t>
      </w:r>
      <w:proofErr w:type="spellEnd"/>
      <w:r w:rsidRPr="002A4E66">
        <w:rPr>
          <w:rFonts w:ascii="Times New Roman" w:hAnsi="Times New Roman" w:cs="Times New Roman"/>
        </w:rPr>
        <w:t xml:space="preserve"> </w:t>
      </w:r>
      <w:proofErr w:type="spellStart"/>
      <w:r w:rsidRPr="002A4E66">
        <w:rPr>
          <w:rFonts w:ascii="Times New Roman" w:hAnsi="Times New Roman" w:cs="Times New Roman"/>
        </w:rPr>
        <w:t>workers</w:t>
      </w:r>
      <w:proofErr w:type="spellEnd"/>
      <w:r w:rsidRPr="002A4E66">
        <w:rPr>
          <w:rFonts w:ascii="Times New Roman" w:hAnsi="Times New Roman" w:cs="Times New Roman"/>
        </w:rPr>
        <w:t xml:space="preserve"> in </w:t>
      </w:r>
      <w:proofErr w:type="spellStart"/>
      <w:r w:rsidRPr="002A4E66">
        <w:rPr>
          <w:rFonts w:ascii="Times New Roman" w:hAnsi="Times New Roman" w:cs="Times New Roman"/>
        </w:rPr>
        <w:t>organizations</w:t>
      </w:r>
      <w:proofErr w:type="spellEnd"/>
      <w:r w:rsidRPr="002A4E66">
        <w:rPr>
          <w:rFonts w:ascii="Times New Roman" w:hAnsi="Times New Roman" w:cs="Times New Roman"/>
        </w:rPr>
        <w:t xml:space="preserve">. </w:t>
      </w:r>
      <w:proofErr w:type="spellStart"/>
      <w:r w:rsidRPr="002A4E66">
        <w:rPr>
          <w:rFonts w:ascii="Times New Roman" w:hAnsi="Times New Roman" w:cs="Times New Roman"/>
          <w:b/>
          <w:bCs/>
        </w:rPr>
        <w:t>Journal</w:t>
      </w:r>
      <w:proofErr w:type="spellEnd"/>
      <w:r w:rsidRPr="002A4E6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A4E66">
        <w:rPr>
          <w:rFonts w:ascii="Times New Roman" w:hAnsi="Times New Roman" w:cs="Times New Roman"/>
          <w:b/>
          <w:bCs/>
        </w:rPr>
        <w:t>of</w:t>
      </w:r>
      <w:proofErr w:type="spellEnd"/>
      <w:r w:rsidRPr="002A4E66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A4E66">
        <w:rPr>
          <w:rFonts w:ascii="Times New Roman" w:hAnsi="Times New Roman" w:cs="Times New Roman"/>
          <w:b/>
          <w:bCs/>
        </w:rPr>
        <w:t>Knowledge</w:t>
      </w:r>
      <w:proofErr w:type="spellEnd"/>
      <w:r w:rsidRPr="002A4E66">
        <w:rPr>
          <w:rFonts w:ascii="Times New Roman" w:hAnsi="Times New Roman" w:cs="Times New Roman"/>
          <w:b/>
          <w:bCs/>
        </w:rPr>
        <w:t xml:space="preserve"> Management</w:t>
      </w:r>
      <w:r w:rsidRPr="002A4E66">
        <w:rPr>
          <w:rFonts w:ascii="Times New Roman" w:hAnsi="Times New Roman" w:cs="Times New Roman"/>
        </w:rPr>
        <w:t>, v. 25, p. 4, p. 770-795, 2021</w:t>
      </w:r>
    </w:p>
    <w:p w14:paraId="3AE52263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3650B28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VÁRK, A. REINO, A.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Practice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Ecology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Management—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Connecting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Formal, Informal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Personal.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Journal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Documentation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>, v. 77, n. 1, p. 163-180, 2021.</w:t>
      </w:r>
    </w:p>
    <w:p w14:paraId="5669B32E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00BC7A6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VU, O. T. K.; ALONSO, A. D. The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significance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of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individual,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group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and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future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at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a business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level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through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knowledge-based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2A4E66">
        <w:rPr>
          <w:rFonts w:ascii="Times New Roman" w:eastAsia="Times New Roman" w:hAnsi="Times New Roman" w:cs="Times New Roman"/>
          <w:color w:val="000000"/>
        </w:rPr>
        <w:t>lens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 xml:space="preserve">. </w:t>
      </w:r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Business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Process</w:t>
      </w:r>
      <w:proofErr w:type="spellEnd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 xml:space="preserve"> Management </w:t>
      </w:r>
      <w:proofErr w:type="spellStart"/>
      <w:r w:rsidRPr="002A4E66">
        <w:rPr>
          <w:rFonts w:ascii="Times New Roman" w:eastAsia="Times New Roman" w:hAnsi="Times New Roman" w:cs="Times New Roman"/>
          <w:b/>
          <w:bCs/>
          <w:color w:val="000000"/>
        </w:rPr>
        <w:t>Journal</w:t>
      </w:r>
      <w:proofErr w:type="spellEnd"/>
      <w:r w:rsidRPr="002A4E66">
        <w:rPr>
          <w:rFonts w:ascii="Times New Roman" w:eastAsia="Times New Roman" w:hAnsi="Times New Roman" w:cs="Times New Roman"/>
          <w:color w:val="000000"/>
        </w:rPr>
        <w:t>, v. 9, n. 7, p. 2191-2211, 2023.</w:t>
      </w:r>
    </w:p>
    <w:p w14:paraId="4EF70046" w14:textId="77777777" w:rsidR="002E7634" w:rsidRPr="002A4E66" w:rsidRDefault="002E7634" w:rsidP="002E763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8AC2E2A" w14:textId="51AEB4CE" w:rsidR="002E7634" w:rsidRPr="002E7634" w:rsidRDefault="002E7634" w:rsidP="002E76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4E66">
        <w:rPr>
          <w:rFonts w:ascii="Times New Roman" w:eastAsia="Times New Roman" w:hAnsi="Times New Roman" w:cs="Times New Roman"/>
          <w:color w:val="000000"/>
        </w:rPr>
        <w:t xml:space="preserve">ZIVIANI, F.; MAIRESSE, A. C. P.; PEDROSO, S. L.; ALMEIDA, T. B. de. Mapeamento das práticas de gestão do conhecimento em organizações prestadoras de serviços de tecnologia da informação. </w:t>
      </w:r>
      <w:r w:rsidRPr="002A4E66">
        <w:rPr>
          <w:rFonts w:ascii="Times New Roman" w:eastAsia="Times New Roman" w:hAnsi="Times New Roman" w:cs="Times New Roman"/>
          <w:b/>
          <w:bCs/>
          <w:color w:val="000000"/>
        </w:rPr>
        <w:t>Perspectivas em Gestão &amp; Conhecimento</w:t>
      </w:r>
      <w:r w:rsidRPr="002A4E66">
        <w:rPr>
          <w:rFonts w:ascii="Times New Roman" w:eastAsia="Times New Roman" w:hAnsi="Times New Roman" w:cs="Times New Roman"/>
          <w:color w:val="000000"/>
        </w:rPr>
        <w:t>, João Pessoa, v. 14, n. 1, p. 141-160, jan./</w:t>
      </w:r>
    </w:p>
    <w:sectPr w:rsidR="002E7634" w:rsidRPr="002E7634" w:rsidSect="00B009E4">
      <w:headerReference w:type="default" r:id="rId10"/>
      <w:footerReference w:type="default" r:id="rId11"/>
      <w:headerReference w:type="first" r:id="rId12"/>
      <w:pgSz w:w="11909" w:h="16834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9F690" w14:textId="77777777" w:rsidR="008214DC" w:rsidRDefault="008214DC">
      <w:pPr>
        <w:spacing w:line="240" w:lineRule="auto"/>
      </w:pPr>
      <w:r>
        <w:separator/>
      </w:r>
    </w:p>
  </w:endnote>
  <w:endnote w:type="continuationSeparator" w:id="0">
    <w:p w14:paraId="74D6BD9E" w14:textId="77777777" w:rsidR="008214DC" w:rsidRDefault="008214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204187-203E-7E4D-8EB0-AFEE4AFAE2A2}"/>
    <w:embedBold r:id="rId2" w:fontKey="{6095BF9C-AC1D-FF4F-832D-A3B6BD100D64}"/>
    <w:embedItalic r:id="rId3" w:fontKey="{810B7B08-38CD-2044-AFE9-69E5BC328391}"/>
    <w:embedBoldItalic r:id="rId4" w:fontKey="{BFB1CEDF-193E-F447-9252-2D71D79C35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084B560-9AE3-A845-877F-01A338BF60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6C10192-21CA-534F-B385-DFD5B762E3CF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7" w:fontKey="{A8941F0A-C351-A041-A5F1-DBCD466E4075}"/>
  </w:font>
  <w:font w:name="Noto Sans Symbols">
    <w:panose1 w:val="020B0604020202020204"/>
    <w:charset w:val="00"/>
    <w:family w:val="auto"/>
    <w:pitch w:val="default"/>
    <w:embedRegular r:id="rId8" w:fontKey="{09BD4276-C584-D148-925D-AE9513B8EB1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573E2032-82BC-E844-A5BD-78A17C60C20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49511E86-49AD-A64D-A93D-4871D2D4B6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2EC08CF0-4849-1248-A560-E5F4E11029AE}"/>
    <w:embedBold r:id="rId12" w:fontKey="{474FF043-AB05-D94A-93F0-906D033D297A}"/>
    <w:embedItalic r:id="rId13" w:fontKey="{E331E7AE-E25F-1A49-8218-4DD9255AECC6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66DF63AD-12BD-7249-814B-DFDB300787A2}"/>
    <w:embedBold r:id="rId16" w:fontKey="{2787BFF8-8130-C447-85B5-A6CD672E23A5}"/>
    <w:embedItalic r:id="rId17" w:fontKey="{7DEEB8A4-7949-CA4E-9E4F-64BD193F2A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1B0B7" w14:textId="77777777" w:rsidR="006F452E" w:rsidRPr="00B009E4" w:rsidRDefault="006F452E" w:rsidP="006F45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Times New Roman" w:eastAsia="Times New Roman" w:hAnsi="Times New Roman" w:cs="Times New Roman"/>
        <w:color w:val="1F497D" w:themeColor="text2"/>
      </w:rPr>
    </w:pPr>
    <w:r w:rsidRPr="00B009E4">
      <w:rPr>
        <w:rFonts w:ascii="Times New Roman" w:eastAsia="Times New Roman" w:hAnsi="Times New Roman" w:cs="Times New Roman"/>
        <w:color w:val="1F497D" w:themeColor="text2"/>
      </w:rPr>
      <w:t>SBGC – Sociedade Brasileira de Gestão do Conhecimento – sbgc.org.br</w:t>
    </w:r>
  </w:p>
  <w:p w14:paraId="2E83D7AB" w14:textId="7A199FCD" w:rsidR="00D8471E" w:rsidRDefault="006F452E" w:rsidP="006F45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Times New Roman" w:eastAsia="Times New Roman" w:hAnsi="Times New Roman" w:cs="Times New Roman"/>
        <w:color w:val="000000"/>
      </w:rPr>
    </w:pPr>
    <w:r w:rsidRPr="00B009E4">
      <w:rPr>
        <w:rFonts w:ascii="Times New Roman" w:eastAsia="Times New Roman" w:hAnsi="Times New Roman" w:cs="Times New Roman"/>
        <w:color w:val="1F497D" w:themeColor="text2"/>
      </w:rPr>
      <w:t xml:space="preserve">KM Brasil 2025 - 20º Congresso Brasileiro de Gestão do Conhecimento – kmbrasil.org                      </w:t>
    </w:r>
    <w:r w:rsidRPr="00B009E4">
      <w:rPr>
        <w:rFonts w:ascii="Times New Roman" w:eastAsia="Times New Roman" w:hAnsi="Times New Roman" w:cs="Times New Roman"/>
        <w:color w:val="1F497D" w:themeColor="text2"/>
      </w:rPr>
      <w:fldChar w:fldCharType="begin"/>
    </w:r>
    <w:r w:rsidRPr="00B009E4">
      <w:rPr>
        <w:rFonts w:ascii="Times New Roman" w:eastAsia="Times New Roman" w:hAnsi="Times New Roman" w:cs="Times New Roman"/>
        <w:color w:val="1F497D" w:themeColor="text2"/>
      </w:rPr>
      <w:instrText>PAGE</w:instrText>
    </w:r>
    <w:r w:rsidRPr="00B009E4">
      <w:rPr>
        <w:rFonts w:ascii="Times New Roman" w:eastAsia="Times New Roman" w:hAnsi="Times New Roman" w:cs="Times New Roman"/>
        <w:color w:val="1F497D" w:themeColor="text2"/>
      </w:rPr>
      <w:fldChar w:fldCharType="separate"/>
    </w:r>
    <w:r w:rsidR="00421B29" w:rsidRPr="00B009E4">
      <w:rPr>
        <w:rFonts w:ascii="Times New Roman" w:eastAsia="Times New Roman" w:hAnsi="Times New Roman" w:cs="Times New Roman"/>
        <w:noProof/>
        <w:color w:val="1F497D" w:themeColor="text2"/>
      </w:rPr>
      <w:t>1</w:t>
    </w:r>
    <w:r w:rsidRPr="00B009E4">
      <w:rPr>
        <w:rFonts w:ascii="Times New Roman" w:eastAsia="Times New Roman" w:hAnsi="Times New Roman" w:cs="Times New Roman"/>
        <w:color w:val="1F497D" w:themeColor="text2"/>
      </w:rPr>
      <w:fldChar w:fldCharType="end"/>
    </w:r>
  </w:p>
  <w:p w14:paraId="12F598DC" w14:textId="77777777" w:rsidR="00D8471E" w:rsidRDefault="00D847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A5404" w14:textId="77777777" w:rsidR="008214DC" w:rsidRDefault="008214DC">
      <w:pPr>
        <w:spacing w:line="240" w:lineRule="auto"/>
      </w:pPr>
      <w:r>
        <w:separator/>
      </w:r>
    </w:p>
  </w:footnote>
  <w:footnote w:type="continuationSeparator" w:id="0">
    <w:p w14:paraId="73C4B569" w14:textId="77777777" w:rsidR="008214DC" w:rsidRDefault="008214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AE08E" w14:textId="6CEA9C00" w:rsidR="00D8471E" w:rsidRDefault="00136729" w:rsidP="001367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both"/>
      <w:rPr>
        <w:color w:val="000000"/>
      </w:rPr>
    </w:pPr>
    <w:r>
      <w:rPr>
        <w:noProof/>
      </w:rPr>
      <w:drawing>
        <wp:inline distT="0" distB="0" distL="0" distR="0" wp14:anchorId="66525D89" wp14:editId="00DB3627">
          <wp:extent cx="1126957" cy="360000"/>
          <wp:effectExtent l="0" t="0" r="0" b="2540"/>
          <wp:docPr id="203747436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794546" name="Imagem 1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957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</w:rPr>
      <w:drawing>
        <wp:inline distT="0" distB="0" distL="0" distR="0" wp14:anchorId="1784989F" wp14:editId="54DFB772">
          <wp:extent cx="1191818" cy="360000"/>
          <wp:effectExtent l="0" t="0" r="0" b="2540"/>
          <wp:docPr id="36435748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599476" name="Imagem 2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818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CCC41" w14:textId="488E232C" w:rsidR="00136729" w:rsidRDefault="00136729">
    <w:pPr>
      <w:pStyle w:val="Cabealho"/>
    </w:pPr>
    <w:r>
      <w:rPr>
        <w:noProof/>
      </w:rPr>
      <w:drawing>
        <wp:inline distT="0" distB="0" distL="0" distR="0" wp14:anchorId="70ED366B" wp14:editId="78F09767">
          <wp:extent cx="1126957" cy="360000"/>
          <wp:effectExtent l="0" t="0" r="0" b="2540"/>
          <wp:docPr id="127079454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957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</w:t>
    </w:r>
    <w:r>
      <w:rPr>
        <w:noProof/>
      </w:rPr>
      <w:drawing>
        <wp:inline distT="0" distB="0" distL="0" distR="0" wp14:anchorId="6A79E5C0" wp14:editId="180DC618">
          <wp:extent cx="1191818" cy="360000"/>
          <wp:effectExtent l="0" t="0" r="0" b="2540"/>
          <wp:docPr id="143359947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818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F77A256" w14:textId="3EDE407D" w:rsidR="00D8471E" w:rsidRDefault="00D847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E4739"/>
    <w:multiLevelType w:val="multilevel"/>
    <w:tmpl w:val="2E421136"/>
    <w:lvl w:ilvl="0">
      <w:start w:val="1"/>
      <w:numFmt w:val="decimal"/>
      <w:lvlText w:val="%1"/>
      <w:lvlJc w:val="right"/>
      <w:pPr>
        <w:ind w:left="466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1.%2"/>
      <w:lvlJc w:val="right"/>
      <w:pPr>
        <w:ind w:left="52" w:firstLine="89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1.%2.%3"/>
      <w:lvlJc w:val="right"/>
      <w:pPr>
        <w:ind w:left="77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1.%2.%3.%4"/>
      <w:lvlJc w:val="right"/>
      <w:pPr>
        <w:ind w:left="149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1.%2.%3.%4.%5"/>
      <w:lvlJc w:val="right"/>
      <w:pPr>
        <w:ind w:left="221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1.%2.%3.%4.%5.%6"/>
      <w:lvlJc w:val="right"/>
      <w:pPr>
        <w:ind w:left="293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1.%2.%3.%4.%5.%6.%7"/>
      <w:lvlJc w:val="right"/>
      <w:pPr>
        <w:ind w:left="365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1.%2.%3.%4.%5.%6.%7.%8"/>
      <w:lvlJc w:val="right"/>
      <w:pPr>
        <w:ind w:left="437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1.%2.%3.%4.%5.%6.%7.%8.%9"/>
      <w:lvlJc w:val="right"/>
      <w:pPr>
        <w:ind w:left="5092" w:hanging="36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" w15:restartNumberingAfterBreak="0">
    <w:nsid w:val="0EEB0227"/>
    <w:multiLevelType w:val="multilevel"/>
    <w:tmpl w:val="3FBA25D6"/>
    <w:lvl w:ilvl="0">
      <w:start w:val="1"/>
      <w:numFmt w:val="decimal"/>
      <w:lvlText w:val="%1."/>
      <w:lvlJc w:val="left"/>
      <w:pPr>
        <w:ind w:left="466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1.%2"/>
      <w:lvlJc w:val="right"/>
      <w:pPr>
        <w:ind w:left="52" w:firstLine="89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1.%2.%3"/>
      <w:lvlJc w:val="right"/>
      <w:pPr>
        <w:ind w:left="77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1.%2.%3.%4"/>
      <w:lvlJc w:val="right"/>
      <w:pPr>
        <w:ind w:left="149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1.%2.%3.%4.%5"/>
      <w:lvlJc w:val="right"/>
      <w:pPr>
        <w:ind w:left="221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1.%2.%3.%4.%5.%6"/>
      <w:lvlJc w:val="right"/>
      <w:pPr>
        <w:ind w:left="293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1.%2.%3.%4.%5.%6.%7"/>
      <w:lvlJc w:val="right"/>
      <w:pPr>
        <w:ind w:left="365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1.%2.%3.%4.%5.%6.%7.%8"/>
      <w:lvlJc w:val="right"/>
      <w:pPr>
        <w:ind w:left="437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1.%2.%3.%4.%5.%6.%7.%8.%9"/>
      <w:lvlJc w:val="right"/>
      <w:pPr>
        <w:ind w:left="5092" w:hanging="36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2" w15:restartNumberingAfterBreak="0">
    <w:nsid w:val="4DD65773"/>
    <w:multiLevelType w:val="multilevel"/>
    <w:tmpl w:val="432AF41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5DF83DDD"/>
    <w:multiLevelType w:val="multilevel"/>
    <w:tmpl w:val="CFE63A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8363DCA"/>
    <w:multiLevelType w:val="hybridMultilevel"/>
    <w:tmpl w:val="5932397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628323819">
    <w:abstractNumId w:val="3"/>
  </w:num>
  <w:num w:numId="2" w16cid:durableId="691417632">
    <w:abstractNumId w:val="2"/>
  </w:num>
  <w:num w:numId="3" w16cid:durableId="754589262">
    <w:abstractNumId w:val="1"/>
  </w:num>
  <w:num w:numId="4" w16cid:durableId="82263098">
    <w:abstractNumId w:val="4"/>
  </w:num>
  <w:num w:numId="5" w16cid:durableId="917255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71E"/>
    <w:rsid w:val="00136729"/>
    <w:rsid w:val="00194943"/>
    <w:rsid w:val="002E7634"/>
    <w:rsid w:val="00421B29"/>
    <w:rsid w:val="00512D7C"/>
    <w:rsid w:val="006A4F8D"/>
    <w:rsid w:val="006F452E"/>
    <w:rsid w:val="008214DC"/>
    <w:rsid w:val="0092081D"/>
    <w:rsid w:val="00B009E4"/>
    <w:rsid w:val="00B66C2E"/>
    <w:rsid w:val="00B72C81"/>
    <w:rsid w:val="00D8471E"/>
    <w:rsid w:val="00DD1E49"/>
    <w:rsid w:val="00F7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3E5D92"/>
  <w15:docId w15:val="{55CBF3C4-6FD1-459E-91DC-227376480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70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708A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08A4"/>
  </w:style>
  <w:style w:type="paragraph" w:styleId="Rodap">
    <w:name w:val="footer"/>
    <w:basedOn w:val="Normal"/>
    <w:link w:val="RodapChar"/>
    <w:uiPriority w:val="99"/>
    <w:unhideWhenUsed/>
    <w:rsid w:val="008708A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08A4"/>
  </w:style>
  <w:style w:type="paragraph" w:customStyle="1" w:styleId="Corpo">
    <w:name w:val="Corpo"/>
    <w:rsid w:val="008708A4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color w:val="000000"/>
      <w:bdr w:val="nil"/>
    </w:rPr>
  </w:style>
  <w:style w:type="character" w:styleId="nfase">
    <w:name w:val="Emphasis"/>
    <w:basedOn w:val="Fontepargpadro"/>
    <w:uiPriority w:val="20"/>
    <w:qFormat/>
    <w:rsid w:val="009210C0"/>
    <w:rPr>
      <w:i/>
      <w:iCs/>
    </w:rPr>
  </w:style>
  <w:style w:type="paragraph" w:styleId="PargrafodaLista">
    <w:name w:val="List Paragraph"/>
    <w:basedOn w:val="Normal"/>
    <w:uiPriority w:val="34"/>
    <w:qFormat/>
    <w:rsid w:val="006A4EDB"/>
    <w:pPr>
      <w:ind w:left="720"/>
      <w:contextualSpacing/>
    </w:p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apple-tab-span">
    <w:name w:val="apple-tab-span"/>
    <w:basedOn w:val="Fontepargpadro"/>
    <w:rsid w:val="00A726EA"/>
  </w:style>
  <w:style w:type="character" w:styleId="Hyperlink">
    <w:name w:val="Hyperlink"/>
    <w:uiPriority w:val="99"/>
    <w:unhideWhenUsed/>
    <w:rsid w:val="00C5226B"/>
    <w:rPr>
      <w:color w:val="0000FF"/>
      <w:u w:val="single"/>
    </w:r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comgrade">
    <w:name w:val="Table Grid"/>
    <w:basedOn w:val="Tabelanormal"/>
    <w:uiPriority w:val="39"/>
    <w:rsid w:val="002E7634"/>
    <w:pPr>
      <w:spacing w:before="4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htM3Pl6tH8ume8n61uR96lHE9w==">CgMxLjA4AHIhMWJNOUR0VWhSdGhrV01xNndrdnVkTXo4NmJWMHFkSHdL</go:docsCustomData>
</go:gDocsCustomXmlDataStorage>
</file>

<file path=customXml/itemProps1.xml><?xml version="1.0" encoding="utf-8"?>
<ds:datastoreItem xmlns:ds="http://schemas.openxmlformats.org/officeDocument/2006/customXml" ds:itemID="{25C5C1AC-3AD9-4E7F-A010-88E8547057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7743</Words>
  <Characters>41818</Characters>
  <Application>Microsoft Office Word</Application>
  <DocSecurity>0</DocSecurity>
  <Lines>348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Lima</dc:creator>
  <cp:lastModifiedBy>Mariana Lima</cp:lastModifiedBy>
  <cp:revision>2</cp:revision>
  <dcterms:created xsi:type="dcterms:W3CDTF">2025-09-08T19:07:00Z</dcterms:created>
  <dcterms:modified xsi:type="dcterms:W3CDTF">2025-09-08T19:07:00Z</dcterms:modified>
</cp:coreProperties>
</file>