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8949" w14:textId="77777777" w:rsidR="006E1617" w:rsidRDefault="006E16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2E8E9FEE" w:rsidR="00C71D5F" w:rsidRDefault="006E1617" w:rsidP="006E16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060CC98" wp14:editId="4938F2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9193" cy="10691495"/>
            <wp:effectExtent l="0" t="0" r="3810" b="0"/>
            <wp:wrapNone/>
            <wp:docPr id="1" name="Image 1" descr="Desenho com traços pretos em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com traços pretos em fundo branc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193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ALEITAMENTO MATERNO EXCLUSIVO: FATORES QUE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CONTRIBUEM PARA O DESMAME PRECOCE</w:t>
      </w:r>
    </w:p>
    <w:p w14:paraId="00000002" w14:textId="77777777" w:rsidR="00C71D5F" w:rsidRDefault="00C71D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Lívia Souza Bueno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Graduanda de Medicina da Universidade Nove de Julho - UNINOVE, São Bernardo do Campo - SP</w:t>
      </w:r>
    </w:p>
    <w:p w14:paraId="00000004" w14:textId="47BB10B0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Tânia Barbosa Santos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Graduanda de Medicina da Universidade Nove de Julho - UNINOVE, São Bernardo do Campo - SP</w:t>
      </w:r>
    </w:p>
    <w:p w14:paraId="00000005" w14:textId="77777777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Naiara Marcondes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Brioli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Graduanda de Medicina da Universidade Nove de Julho - UNINOVE, São Bernardo do Campo - SP</w:t>
      </w:r>
    </w:p>
    <w:p w14:paraId="00000006" w14:textId="6E7C1324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Thayná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dos Santos Magalhães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Graduanda de Medicina da Universidade Nove de Julho - UNINOVE, São Bernardo do Campo - SP</w:t>
      </w:r>
    </w:p>
    <w:p w14:paraId="00000007" w14:textId="77777777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Alexandre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Barauna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Viscione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Médico pela Universidade Cidade de São Paulo - UNICID, São Paulo - SP</w:t>
      </w:r>
    </w:p>
    <w:p w14:paraId="00000008" w14:textId="77777777" w:rsidR="00C71D5F" w:rsidRDefault="00000000" w:rsidP="006E1617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Gilberto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Nagahama</w:t>
      </w:r>
      <w:proofErr w:type="spellEnd"/>
    </w:p>
    <w:p w14:paraId="00000009" w14:textId="28F738CD" w:rsidR="00C71D5F" w:rsidRDefault="00000000" w:rsidP="006E161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Docente de Medicina da Universidade Nove de Julho - UNINOVE, São Bernardo do Campo - SP</w:t>
      </w:r>
    </w:p>
    <w:p w14:paraId="0000000A" w14:textId="77777777" w:rsidR="00C71D5F" w:rsidRDefault="00C71D5F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B" w14:textId="77777777" w:rsidR="00C71D5F" w:rsidRDefault="00000000" w:rsidP="006E16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C" w14:textId="77777777" w:rsidR="00C71D5F" w:rsidRDefault="00C71D5F" w:rsidP="006E16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009A1E23" w:rsidR="00C71D5F" w:rsidRDefault="00000000" w:rsidP="006E161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6E1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1617" w:rsidRPr="006E1617">
        <w:rPr>
          <w:rFonts w:ascii="Times New Roman" w:eastAsia="Times New Roman" w:hAnsi="Times New Roman" w:cs="Times New Roman"/>
          <w:bCs/>
          <w:sz w:val="24"/>
          <w:szCs w:val="24"/>
        </w:rPr>
        <w:t>O Aleitamento Materno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Exclusivo (AME) para crianças até o sexto mês de vida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 xml:space="preserve"> é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estratégia isolada que mais previne mortes infantis.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evidenciar a importância do aleitamento materno exclusivo e abordar quais são os fatores que contribuem para o desmame precoce.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Revisão de literatura do tipo integrativa. A pesquisa foi realizada na base de dados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/MEDLINE em março de 2024. Foram identificados 47 artigos.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's Health’’ AND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’’ AND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’’ foram os descritores utilizados. A partir dos critérios de inclusão e exclusão, chegou-se ao total de 18 artigos inclusos. </w:t>
      </w:r>
      <w:r w:rsidR="006E1617">
        <w:rPr>
          <w:rFonts w:ascii="Times New Roman" w:eastAsia="Times New Roman" w:hAnsi="Times New Roman" w:cs="Times New Roman"/>
          <w:b/>
          <w:sz w:val="24"/>
          <w:szCs w:val="24"/>
        </w:rPr>
        <w:t>RESULTADOS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Há um impacto da ocupação materna na associação com o AME durante os 6 meses, sendo necessário a constituição de uma rede de apoio materna. Questões como o período da pandemia,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hábitos de vida parecem influenciar na continuidade da amamentação, porém, mais estudos precisam ser realizados.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Dificuldades na própria amamentação são fatores para o desmame precoce, mas quando há uma colaboração dos profissionais da saúde, em conjunto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apoio parental, cônjuge e de amigos as taxas de amamentação exclusiva até os 6 meses aumentam.</w:t>
      </w:r>
    </w:p>
    <w:p w14:paraId="0000000E" w14:textId="77777777" w:rsidR="00C71D5F" w:rsidRDefault="00C71D5F" w:rsidP="006E161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F" w14:textId="77777777" w:rsidR="00C71D5F" w:rsidRDefault="00000000" w:rsidP="006E161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PALAVRAS-CHAVE: </w:t>
      </w:r>
      <w:r>
        <w:rPr>
          <w:rFonts w:ascii="Times New Roman" w:eastAsia="Times New Roman" w:hAnsi="Times New Roman" w:cs="Times New Roman"/>
          <w:sz w:val="20"/>
          <w:szCs w:val="20"/>
        </w:rPr>
        <w:t>Aleitamento materno; desmame; saúde materna.</w:t>
      </w:r>
    </w:p>
    <w:p w14:paraId="00000010" w14:textId="77777777" w:rsidR="00C71D5F" w:rsidRDefault="00C71D5F" w:rsidP="006E161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C71D5F" w:rsidRDefault="00000000" w:rsidP="006E161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2" w14:textId="77777777" w:rsidR="00C71D5F" w:rsidRDefault="00C71D5F" w:rsidP="006E16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6D75037B" w:rsidR="00C71D5F" w:rsidRPr="006E1617" w:rsidRDefault="00000000" w:rsidP="006E16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O Aleitamento Materno Exclusivo (AME) para crianças até o sexto mês de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vida é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a estratégia isolada que mais previne mortes infantis, além de promover a saúde física, mental e psíquica da criança e da mulher que amamenta, de acordo com o Ministério da Saúde. Sendo indiscutivelmente o alimento ideal para a saúde da criança e, consequentemente,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para a saúde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da mãe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Após esse período, a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alimentação deve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ser complementada com outros alimentos, sendo mantida até os 2 anos de idade (Bueno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2014)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6183B04E" w:rsidR="00C71D5F" w:rsidRPr="006E1617" w:rsidRDefault="00000000" w:rsidP="006E16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Em relação aos lactentes, os benefícios são nutricionais, imunológicos e emocionais. O leite materno apresenta, na sua composição, imunoglobulinas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e linfócitos que ajudam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o sistema imune da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criança a proteger doenças crônicas e infecciosas, infecções respiratórias, alergias, hipertensão, hipercolesterolemia e diabetes. Promove também o crescimento adequado, por conter os nutrientes essenciais necessários, o desenvolvimento sensorial cognitivo e o desenvolvimento </w:t>
      </w:r>
      <w:r w:rsidR="006E1617" w:rsidRPr="006E1617">
        <w:rPr>
          <w:noProof/>
        </w:rPr>
        <w:drawing>
          <wp:anchor distT="0" distB="0" distL="0" distR="0" simplePos="0" relativeHeight="251661312" behindDoc="1" locked="0" layoutInCell="1" allowOverlap="1" wp14:anchorId="416B8E1B" wp14:editId="120D5CF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690225"/>
            <wp:effectExtent l="0" t="0" r="0" b="0"/>
            <wp:wrapNone/>
            <wp:docPr id="1891991716" name="Image 1" descr="Desenho com traços pretos em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91716" name="Image 1" descr="Desenho com traços pretos em fundo branc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da cavidade </w:t>
      </w:r>
      <w:r w:rsidR="000A2A9A" w:rsidRPr="006E1617">
        <w:rPr>
          <w:noProof/>
        </w:rPr>
        <w:lastRenderedPageBreak/>
        <w:drawing>
          <wp:anchor distT="0" distB="0" distL="0" distR="0" simplePos="0" relativeHeight="251669504" behindDoc="1" locked="0" layoutInCell="1" allowOverlap="1" wp14:anchorId="577AA362" wp14:editId="4E80435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690225"/>
            <wp:effectExtent l="0" t="0" r="0" b="0"/>
            <wp:wrapNone/>
            <wp:docPr id="824728250" name="Image 1" descr="Desenho com traços pretos em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91716" name="Image 1" descr="Desenho com traços pretos em fundo branc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bucal, além de intervir de maneira positiva na construção dos hábitos alimentares. Cada propriedade reflete o cumprimento das exigências nutricionais e particularidades fisiológicas do metabolismo da criança, além de aumentar o vínculo afetivo entre mãe e filho e o benefício do baixo custo envolvido (Lopes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5" w14:textId="140F9813" w:rsidR="00C71D5F" w:rsidRPr="006E1617" w:rsidRDefault="00000000" w:rsidP="000A2A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Dentre os inúmeros benefícios para as mães, destacam-se o menor sangramento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pós-parto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, efeito contraceptivo, recuperação mais rápida do peso 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>-gestacional, menor prevalência de câncer de ovário, endométrio e mama, melhor homeostase da glicose e menos fraturas ósseas por osteoporose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(Ministério da saúde, 2022)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Entretanto, apesar de todas as vantagens que o leite materno proporciona, o desmame precoce ainda é prevalente em diversos países, inclusive no Brasil (Feitosa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2020)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O desmame precoce pode causar graves prejuízos à saúde dos lactentes, pois os alimentos introduzidos são inadequados do ponto de vista nutricional e expõe a criança a organismos infecciosos, causando reflexos no desenvolvimento infantil (Lopes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2A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C71D5F" w:rsidRPr="006E1617" w:rsidRDefault="00C71D5F" w:rsidP="006E16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71D5F" w:rsidRPr="006E1617" w:rsidRDefault="00000000" w:rsidP="006E16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18" w14:textId="4590728F" w:rsidR="00C71D5F" w:rsidRPr="006E1617" w:rsidRDefault="00000000" w:rsidP="006E16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>Evidenciar a importância do aleitamento materno exclusivo e abordar quais são os fatores que contribuem para o desmame precoce, destacando as causas e consequências da interrupção.</w:t>
      </w:r>
    </w:p>
    <w:p w14:paraId="00000019" w14:textId="77777777" w:rsidR="00C71D5F" w:rsidRPr="006E1617" w:rsidRDefault="00C71D5F" w:rsidP="006E16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71D5F" w:rsidRPr="006E1617" w:rsidRDefault="00000000" w:rsidP="006E16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B" w14:textId="726ABC46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Revisão de literatura do tipo integrativa, que buscou responder à pergunta ‘’quais são os fatores que contribuem para o desmame precoce no aleitamento materno exclusivo’’. A pesquisa foi realizada na base de dados </w:t>
      </w:r>
      <w:proofErr w:type="spellStart"/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PubMed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>/MEDLINE, em março de 2024. Foram identificados 47 artigos. ‘’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's Health’’ AND ‘’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Breast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Feeding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>’’ AND ‘’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Intention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>’’ foram adicionados como termos de busca de acordo com os descritores em ciências da saúde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>). Como critérios de inclusão, definiram-se artigos que abordaram a amamentação, em português e inglês nos últimos 5 anos (2019-2024). Artigos que focaram apenas na gravidez ou na introdução alimentar foram excluídos, bem como pesquisas publicadas apenas como resumos, repetidas e impossibilitadas de acesso completo gratuito, além de revisões de literatura e artigos que não deixavam claro a metodologia utilizada. Dos 47 artigos encontrados inicialmente, 19 estavam fora do escopo, 4 retratavam apenas a gravidez, 3 abordavam introdução alimentar, 2 eram revisões de literatura,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1 artigo estava incompleto</w:t>
      </w:r>
      <w:r w:rsidR="006E16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Por fim, os revisores chegaram ao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score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total de 18 artigos inclusos.</w:t>
      </w:r>
    </w:p>
    <w:p w14:paraId="0000001C" w14:textId="77777777" w:rsidR="00C71D5F" w:rsidRPr="006E1617" w:rsidRDefault="00000000" w:rsidP="006E16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0000001D" w14:textId="77777777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O Aleitamento Materno Exclusivo (AME) até os seis meses de idade é recomendado pela Organização Mundial de Saúde. Porém, diversos fatores contribuem para a interrupção precoce do aleitamento materno. Estudos apontam que os desafios da amamentação como dificuldade para sugar, dor ao amamentar e a percepção de leite insuficiente foram razões para que as mulheres cessaram o AME antes do tempo de amamentação esperado. Das 536 mulheres que participaram do estudo, 47% relataram dificuldade na amamentação e 40% cessaram a amamentação devido à percepção de leite insuficiente (Reynolds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2023).</w:t>
      </w:r>
    </w:p>
    <w:p w14:paraId="0000001E" w14:textId="5E3DCC4A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Outro fator recorrente, é o impacto da ocupação materna na associação com o AME durante os 6 meses. O retorno ao trabalho após a licença maternidade contribui para interromper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precocemente a amamentação. Muitos locais de trabalho limitam a retirada do leite materno, além </w:t>
      </w:r>
      <w:r w:rsidR="006E1617" w:rsidRPr="006E1617">
        <w:rPr>
          <w:noProof/>
        </w:rPr>
        <w:drawing>
          <wp:anchor distT="0" distB="0" distL="0" distR="0" simplePos="0" relativeHeight="251663360" behindDoc="1" locked="0" layoutInCell="1" allowOverlap="1" wp14:anchorId="506B17CF" wp14:editId="7D9E31F6">
            <wp:simplePos x="0" y="0"/>
            <wp:positionH relativeFrom="page">
              <wp:align>right</wp:align>
            </wp:positionH>
            <wp:positionV relativeFrom="page">
              <wp:posOffset>-75565</wp:posOffset>
            </wp:positionV>
            <wp:extent cx="7772400" cy="10739120"/>
            <wp:effectExtent l="0" t="0" r="0" b="5080"/>
            <wp:wrapNone/>
            <wp:docPr id="526627348" name="Image 1" descr="Desenho com traços pretos em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27348" name="Image 1" descr="Desenho com traços pretos em fundo branc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3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de não fornecerem horários adequados para realizar a amamentação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Jirakittidul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2019) (Jiang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2020). Foi observado que mães que realizam trabalho informal apresentavam menos chance de amamentar quando comparadas com mães que ficavam em casa ou trabalhavam em período integral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Hao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2022).</w:t>
      </w:r>
    </w:p>
    <w:p w14:paraId="0000001F" w14:textId="64AC2FEB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O apoio à amamentação é um fator preditivo para que as mulheres consigam realizar a amamentação exclusiva no período de 6 meses. Sendo essencial o apoio do cônjuge ou parceiro, familiar e de amigos, além da ajuda de profissionais da saúde. Esses fatores são significativos no aumento das taxas de duração de amamentação (Chien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2020). O apoio e capacitação dos profissionais com as gestantes e puérperas é importante quando é observado que as mulheres com ensino superior apresentam maior aceitação em amamentar, quando comparado às de </w:t>
      </w:r>
      <w:r w:rsidR="006E1617" w:rsidRPr="006E1617">
        <w:rPr>
          <w:rFonts w:ascii="Times New Roman" w:eastAsia="Times New Roman" w:hAnsi="Times New Roman" w:cs="Times New Roman"/>
          <w:sz w:val="24"/>
          <w:szCs w:val="24"/>
        </w:rPr>
        <w:t>menor escolaridade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. Esse fato pode estar relacionado que as que apresentam graduação, possuem mais informações sobre a nutrição infantil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Chaabna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(Cato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00000020" w14:textId="77777777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>Portanto, a intenção de amamentar é algo que precisa ser trabalhado desde o período do pré-natal até o pós-parto precoce. Quando não é falado com as mulheres sobre essa temática, esclarecidas as dúvidas e explicado a importância da amamentação durante o período gestacional, há maiores chances de cessar o AME.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Ogbo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Importante ressaltar que no período da pandemia muitas mulheres relataram não ter intenção de amamentar, devido a sintomas do tipo obsessivo compulsivo, sendo ainda importante saber o que isso impacta na continuação da amamentação no período atual.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Reagu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>2022)</w:t>
      </w:r>
    </w:p>
    <w:p w14:paraId="00000021" w14:textId="77777777" w:rsidR="00C71D5F" w:rsidRPr="006E1617" w:rsidRDefault="00000000" w:rsidP="006E161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>Além disso, estudos analisaram que doenças crônicas não transmissíveis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) também influenciaram no AME, além de hábitos de vida como tabagismo e alcoolismo contribuem como preditores negativos para a prática do desmame precoce (Collins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2023)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Eilers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et al. 2020). Ademais, um estudo que analisou a hiperglicemia gestacional, observou que as mães com hiperglicemia durante a gestação produzem menos leite e possuem menor duração da amamentação em comparação às mães normoglicêmicas, o que pode também contribuir negativamente no desfecho da amamentação (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Pang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1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00000022" w14:textId="77777777" w:rsidR="00C71D5F" w:rsidRPr="006E1617" w:rsidRDefault="00000000" w:rsidP="006E16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23" w14:textId="77777777" w:rsidR="00C71D5F" w:rsidRPr="006E1617" w:rsidRDefault="00C71D5F" w:rsidP="006E16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71D5F" w:rsidRDefault="00000000" w:rsidP="006E16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Dificuldades na própria amamentação são fatores para o desmame precoce, mas quando há uma colaboração dos profissionais da saúde nesse processo, em conjunto com 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apoio parental, cônjuge e de amigos as taxas de amamentação exclusiva até os 6 meses aumentam. Entretanto, fatores socioculturais e econômicos também devem ser observados, visto que muitas mulheres não possuem uma rede de apoio o que dificulta o processo de amamentação. Questões como o período da pandemia, </w:t>
      </w:r>
      <w:proofErr w:type="spellStart"/>
      <w:r w:rsidRPr="006E1617"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 w:rsidRPr="006E1617">
        <w:rPr>
          <w:rFonts w:ascii="Times New Roman" w:eastAsia="Times New Roman" w:hAnsi="Times New Roman" w:cs="Times New Roman"/>
          <w:sz w:val="24"/>
          <w:szCs w:val="24"/>
        </w:rPr>
        <w:t xml:space="preserve"> e hábitos de vida parecem influenciar na continuidade da amamentação, porém, mais estudos precisam ser realizados para analisar o impacto desses fatores.</w:t>
      </w:r>
    </w:p>
    <w:p w14:paraId="00000025" w14:textId="77777777" w:rsidR="00C71D5F" w:rsidRDefault="00C71D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C71D5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27" w14:textId="77777777" w:rsidR="00C71D5F" w:rsidRDefault="00C71D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BUENO, K. A importância do Aleitamento materno exclusivo até os seis meses de idade para a promoção da saúde da mãe e do bebê. Universidade Federal de Minas Gerais/NESCON, Belo Horizonte, dezembro, 2013. Disponível em: </w:t>
      </w:r>
      <w:hyperlink r:id="rId5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https://www.nescon.medicina.ufmg.br/biblioteca/imagem/4276.pdf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Acesso realizado em 07 de abril de 2024.</w:t>
      </w:r>
    </w:p>
    <w:p w14:paraId="00000029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2B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2C" w14:textId="5D29FE15" w:rsidR="00C71D5F" w:rsidRPr="000A2A9A" w:rsidRDefault="006E1617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0" distR="0" simplePos="0" relativeHeight="251665408" behindDoc="1" locked="0" layoutInCell="1" allowOverlap="1" wp14:anchorId="78DE2176" wp14:editId="066E2855">
            <wp:simplePos x="0" y="0"/>
            <wp:positionH relativeFrom="page">
              <wp:align>right</wp:align>
            </wp:positionH>
            <wp:positionV relativeFrom="page">
              <wp:posOffset>-85725</wp:posOffset>
            </wp:positionV>
            <wp:extent cx="7772400" cy="10720070"/>
            <wp:effectExtent l="0" t="0" r="0" b="5080"/>
            <wp:wrapNone/>
            <wp:docPr id="1279631371" name="Image 1" descr="Desenho com traços pretos em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31371" name="Image 1" descr="Desenho com traços pretos em fundo branc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CATO, K.</w:t>
      </w:r>
      <w:r w:rsidR="00000000" w:rsidRPr="000A2A9A">
        <w:rPr>
          <w:rFonts w:ascii="Times New Roman" w:eastAsia="Times New Roman" w:hAnsi="Times New Roman" w:cs="Times New Roman"/>
          <w:i/>
          <w:sz w:val="16"/>
          <w:szCs w:val="16"/>
        </w:rPr>
        <w:t xml:space="preserve"> et a</w:t>
      </w:r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l.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as a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balancing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act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pregnant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Swedish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women's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voices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on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Int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Breastfeed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, v. 15, n. 1, 5 mar. 2020. Disponível em:</w:t>
      </w:r>
      <w:hyperlink r:id="rId6">
        <w:r w:rsidR="00000000" w:rsidRPr="000A2A9A">
          <w:rPr>
            <w:rFonts w:ascii="Times New Roman" w:eastAsia="Times New Roman" w:hAnsi="Times New Roman" w:cs="Times New Roman"/>
            <w:sz w:val="16"/>
            <w:szCs w:val="16"/>
          </w:rPr>
          <w:t xml:space="preserve"> https://www.ncbi.nlm.nih.gov/pmc/articles/PMC7059277/</w:t>
        </w:r>
      </w:hyperlink>
      <w:r w:rsidR="00000000" w:rsidRPr="000A2A9A">
        <w:rPr>
          <w:rFonts w:ascii="Times New Roman" w:eastAsia="Times New Roman" w:hAnsi="Times New Roman" w:cs="Times New Roman"/>
          <w:sz w:val="16"/>
          <w:szCs w:val="16"/>
        </w:rPr>
        <w:t>. Acesso realizado em: 08 de abril de 2024.</w:t>
      </w:r>
      <w:r w:rsidRPr="000A2A9A">
        <w:rPr>
          <w:rFonts w:ascii="Times New Roman" w:hAnsi="Times New Roman" w:cs="Times New Roman"/>
          <w:noProof/>
          <w:sz w:val="16"/>
          <w:szCs w:val="16"/>
        </w:rPr>
        <w:t xml:space="preserve"> </w:t>
      </w:r>
    </w:p>
    <w:p w14:paraId="0000002F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0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CHIEN, L.Y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Impact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COVID-19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intention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behaviour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among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postpartum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women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five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countries.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Women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Birth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2022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Nov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>; 35(6): e523–e529. Disponível em: https://www.ncbi.nlm.nih.gov/pmc/articles/PMC9212938/. Acesso realizado em 07 de abril de 2024.</w:t>
      </w:r>
    </w:p>
    <w:p w14:paraId="00000031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2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COLLINS, I. C.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practices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among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patients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managed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comprehensive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cardio-obstetrics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program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maternal-fetal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neonatal medicine/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maternal-fetal &amp; neonatal medicine, v. 36, n. 2, 10 set. 2023. Disponível em: </w:t>
      </w:r>
      <w:hyperlink r:id="rId7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https://www.ncbi.nlm.nih.gov/pmc/articles/PMC10580703/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Acesso realizado em 09 de abril de 2024.</w:t>
      </w:r>
    </w:p>
    <w:p w14:paraId="00000033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4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EILERS, M. A.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Initiation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Duration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Supplementation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Among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Mexican-Origin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Women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Texas.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Pediatrics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145, n. 4, 1 abr. 2020. Disponível em: </w:t>
      </w:r>
      <w:hyperlink r:id="rId8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https://www.ncbi.nlm.nih.gov/pmc/articles/PMC7111493/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Acesso realizado em 08 de abril de 2024.</w:t>
      </w:r>
    </w:p>
    <w:p w14:paraId="00000035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6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FEITOSA, R.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Aleitamento materno e fatores associados ao desmame precoce: Revista integrativa. BJPE - Revista Brasileira de Engenharia de Produção, Espírito Santo, n4, v6, Edição especial “Tecnologia &amp; Inovação na Saúde”, p. 90-106, 2020. Disponível em: </w:t>
      </w:r>
      <w:hyperlink r:id="rId9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https://periodicos.ufes.br/bjpe/article/view/31553/21266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 Acesso realizado em 08 de abril de 2024.</w:t>
      </w:r>
    </w:p>
    <w:p w14:paraId="00000037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8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HAO, Y.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Practices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Associated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Factors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Shanghai: A Cross-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Sectional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Study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Nutrients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14, n. 20, p. 4429, 21 out. 2022. Disponível em: </w:t>
      </w:r>
      <w:hyperlink r:id="rId10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https://www.ncbi.nlm.nih.gov/pmc/articles/PMC9610171/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Acesso realizado em 07 de abril de 2024.</w:t>
      </w:r>
    </w:p>
    <w:p w14:paraId="00000039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A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JIANG, L.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Estimating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the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population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impact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hypothetical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interventions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a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low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-income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population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Los Angeles County: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agent-based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model. PLOS ONE, v. 15, n. 4, p. e0231134, 9 abr. 2020. Disponível em: </w:t>
      </w:r>
      <w:hyperlink r:id="rId11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https://www.ncbi.nlm.nih.gov/pmc/articles/PMC7145098/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Acesso realizado em 09 de abril de 2024. </w:t>
      </w:r>
    </w:p>
    <w:p w14:paraId="0000003B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C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JIRAKITTIDUL, P.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Prevalence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associated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factors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women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with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gestational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diabetes in a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University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Hospital in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Thailand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International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14, n. 1, 31 jul. 2019. Disponível em: </w:t>
      </w:r>
      <w:hyperlink r:id="rId12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https://www.ncbi.nlm.nih.gov/pmc/articles/PMC6668133/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Acesso realizado em 09 de abril de 2024. </w:t>
      </w:r>
    </w:p>
    <w:p w14:paraId="00000043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4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LOPES, L. Desmame precoce. Universidade do Estado do Rio de Janeiro Universidade aberta do SUS Especialização em Saúde da Família, Rio de Janeiro, 2016. Disponível em: </w:t>
      </w:r>
      <w:hyperlink r:id="rId13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https://ares.unasus.gov.br/acervo/html/ARES/7965/1/L%C3%ADvia%20Maia%20Lopes.pdf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.  Acesso realizado em 08 de abril de 2024.</w:t>
      </w:r>
    </w:p>
    <w:p w14:paraId="00000045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6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>MINISTÉRIO DA SAÚDE. Aleitamento materno. Gov.br. 2022. Disponível em: &lt;</w:t>
      </w:r>
      <w:hyperlink r:id="rId14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https://www.gov.br/saude/pt-br/assuntos/saude-de-a-a-z/a/aleitamento-materno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>&gt;.   Acesso realizado em 08 de abril de 2024.</w:t>
      </w:r>
    </w:p>
    <w:p w14:paraId="00000047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8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>OGBO, F.A.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 xml:space="preserve"> et al.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Determinants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Exclusive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Cessation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the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Early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Postnatal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Period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among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Culturally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Linguistically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Diverse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(CALD) Australian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Mothers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Nutrients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>, v. 11, n. 7, p. 1611, 16 jul. 2019. Disponível em: https://www.ncbi.nlm.nih.gov/pmc/articles/PMC6682964/. Acesso realizado em 08 de abril de 2024.</w:t>
      </w:r>
    </w:p>
    <w:p w14:paraId="00000049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A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PANG, W. W.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The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association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maternal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gestational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hyperglycemia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with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duration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markers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milk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production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The American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Clinical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Nutrition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114, n. 3, p. 1219–1228, set. 2021. Disponível em: </w:t>
      </w:r>
      <w:hyperlink r:id="rId15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https://www.ncbi.nlm.nih.gov/pmc/articles/PMC7611668/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Acesso realizado em 09 de abril de 2024. </w:t>
      </w:r>
    </w:p>
    <w:p w14:paraId="0000004B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C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REAGU, S. M.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al.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Impact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the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fear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Covid-19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infection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intent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to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; a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cross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sectional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survey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a perinatal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population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Qatar. BMC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Pregnancy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Childbirth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22, n. 1, 5 fev. 2022. Disponível em: </w:t>
      </w:r>
      <w:hyperlink r:id="rId16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https://www.ncbi.nlm.nih.gov/pmc/articles/PMC8817146/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Acesso realizado em 09 de abril de 2024. </w:t>
      </w:r>
    </w:p>
    <w:p w14:paraId="0000004D" w14:textId="77777777" w:rsidR="00C71D5F" w:rsidRPr="000A2A9A" w:rsidRDefault="00C71D5F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4E" w14:textId="77777777" w:rsidR="00C71D5F" w:rsidRPr="000A2A9A" w:rsidRDefault="00000000" w:rsidP="006E16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REYNOLDS, R. </w:t>
      </w:r>
      <w:r w:rsidRPr="000A2A9A">
        <w:rPr>
          <w:rFonts w:ascii="Times New Roman" w:eastAsia="Times New Roman" w:hAnsi="Times New Roman" w:cs="Times New Roman"/>
          <w:i/>
          <w:sz w:val="16"/>
          <w:szCs w:val="16"/>
        </w:rPr>
        <w:t>et al</w:t>
      </w:r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practices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associations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with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pregnancy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maternal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infant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characteristics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in Australia: a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cross-sectional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study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International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Breastfeeding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A2A9A">
        <w:rPr>
          <w:rFonts w:ascii="Times New Roman" w:eastAsia="Times New Roman" w:hAnsi="Times New Roman" w:cs="Times New Roman"/>
          <w:sz w:val="16"/>
          <w:szCs w:val="16"/>
        </w:rPr>
        <w:t>Journal</w:t>
      </w:r>
      <w:proofErr w:type="spellEnd"/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, v. 18, n. 1, 19 jan. 2023. Disponível em: </w:t>
      </w:r>
      <w:hyperlink r:id="rId17">
        <w:r w:rsidRPr="000A2A9A">
          <w:rPr>
            <w:rFonts w:ascii="Times New Roman" w:eastAsia="Times New Roman" w:hAnsi="Times New Roman" w:cs="Times New Roman"/>
            <w:sz w:val="16"/>
            <w:szCs w:val="16"/>
          </w:rPr>
          <w:t>https://www.ncbi.nlm.nih.gov/pmc/articles/PMC9854140/</w:t>
        </w:r>
      </w:hyperlink>
      <w:r w:rsidRPr="000A2A9A">
        <w:rPr>
          <w:rFonts w:ascii="Times New Roman" w:eastAsia="Times New Roman" w:hAnsi="Times New Roman" w:cs="Times New Roman"/>
          <w:sz w:val="16"/>
          <w:szCs w:val="16"/>
        </w:rPr>
        <w:t xml:space="preserve">. Acesso realizado em 09 de abril de 2024. </w:t>
      </w:r>
    </w:p>
    <w:p w14:paraId="00000053" w14:textId="77777777" w:rsidR="00C71D5F" w:rsidRDefault="00C71D5F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54" w14:textId="77777777" w:rsidR="00C71D5F" w:rsidRDefault="00C71D5F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55" w14:textId="77777777" w:rsidR="00C71D5F" w:rsidRDefault="00C71D5F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56" w14:textId="77777777" w:rsidR="00C71D5F" w:rsidRDefault="00C71D5F">
      <w:pPr>
        <w:spacing w:line="360" w:lineRule="auto"/>
        <w:jc w:val="both"/>
        <w:rPr>
          <w:rFonts w:ascii="Calibri" w:eastAsia="Calibri" w:hAnsi="Calibri" w:cs="Calibri"/>
          <w:color w:val="2C3E50"/>
          <w:sz w:val="27"/>
          <w:szCs w:val="27"/>
          <w:shd w:val="clear" w:color="auto" w:fill="FEF1C4"/>
        </w:rPr>
      </w:pPr>
    </w:p>
    <w:sectPr w:rsidR="00C71D5F" w:rsidSect="00A64B23"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5F"/>
    <w:rsid w:val="000A2A9A"/>
    <w:rsid w:val="006E1617"/>
    <w:rsid w:val="00702372"/>
    <w:rsid w:val="00A64B23"/>
    <w:rsid w:val="00C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0D1E"/>
  <w15:docId w15:val="{8F62210F-7F24-402E-A0F9-9087985D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111493/" TargetMode="External"/><Relationship Id="rId13" Type="http://schemas.openxmlformats.org/officeDocument/2006/relationships/hyperlink" Target="https://ares.unasus.gov.br/acervo/html/ARES/7965/1/L%C3%ADvia%20Maia%20Lopes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10580703/" TargetMode="External"/><Relationship Id="rId12" Type="http://schemas.openxmlformats.org/officeDocument/2006/relationships/hyperlink" Target="https://www.ncbi.nlm.nih.gov/pmc/articles/PMC6668133/" TargetMode="External"/><Relationship Id="rId17" Type="http://schemas.openxmlformats.org/officeDocument/2006/relationships/hyperlink" Target="https://www.ncbi.nlm.nih.gov/pmc/articles/PMC98541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mc/articles/PMC88171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7059277/" TargetMode="External"/><Relationship Id="rId11" Type="http://schemas.openxmlformats.org/officeDocument/2006/relationships/hyperlink" Target="https://www.ncbi.nlm.nih.gov/pmc/articles/PMC7145098/" TargetMode="External"/><Relationship Id="rId5" Type="http://schemas.openxmlformats.org/officeDocument/2006/relationships/hyperlink" Target="https://www.nescon.medicina.ufmg.br/biblioteca/imagem/4276.pdf" TargetMode="External"/><Relationship Id="rId15" Type="http://schemas.openxmlformats.org/officeDocument/2006/relationships/hyperlink" Target="https://www.ncbi.nlm.nih.gov/pmc/articles/PMC7611668/" TargetMode="External"/><Relationship Id="rId10" Type="http://schemas.openxmlformats.org/officeDocument/2006/relationships/hyperlink" Target="https://www.ncbi.nlm.nih.gov/pmc/articles/PMC9610171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periodicos.ufes.br/bjpe/article/view/31553/21266" TargetMode="External"/><Relationship Id="rId14" Type="http://schemas.openxmlformats.org/officeDocument/2006/relationships/hyperlink" Target="https://www.gov.br/saude/pt-br/assuntos/saude-de-a-a-z/a/aleitamento-mate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2297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 SOUZA BUENO</cp:lastModifiedBy>
  <cp:revision>4</cp:revision>
  <dcterms:created xsi:type="dcterms:W3CDTF">2024-04-21T15:17:00Z</dcterms:created>
  <dcterms:modified xsi:type="dcterms:W3CDTF">2024-04-21T15:50:00Z</dcterms:modified>
</cp:coreProperties>
</file>