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BF30" w14:textId="77777777" w:rsidR="00480137" w:rsidRPr="00850F56" w:rsidRDefault="00480137" w:rsidP="00480137">
      <w:pPr>
        <w:pStyle w:val="Ttulo1"/>
        <w:rPr>
          <w:lang w:val="pt-BR"/>
        </w:rPr>
      </w:pPr>
      <w:r w:rsidRPr="00850F56">
        <w:rPr>
          <w:lang w:val="pt-BR"/>
        </w:rPr>
        <w:t>CORPO TEM CO</w:t>
      </w:r>
      <w:sdt>
        <w:sdtPr>
          <w:rPr>
            <w:lang w:val="pt-BR"/>
          </w:rPr>
          <w:tag w:val="goog_rdk_0"/>
          <w:id w:val="-1344552654"/>
        </w:sdtPr>
        <w:sdtEndPr/>
        <w:sdtContent/>
      </w:sdt>
      <w:r w:rsidRPr="00850F56">
        <w:rPr>
          <w:lang w:val="pt-BR"/>
        </w:rPr>
        <w:t>RPOS, TEXTURA E PERFUME: OUTRAS COSTURAS, OUTRAS COLAGENS</w:t>
      </w:r>
    </w:p>
    <w:p w14:paraId="24D43236" w14:textId="77777777" w:rsidR="00EE4FB0" w:rsidRDefault="00EE4FB0" w:rsidP="002077D0">
      <w:pPr>
        <w:spacing w:after="0" w:line="240" w:lineRule="auto"/>
        <w:jc w:val="right"/>
        <w:rPr>
          <w:rFonts w:ascii="Times New Roman" w:hAnsi="Times New Roman" w:cs="Times New Roman"/>
          <w:sz w:val="24"/>
          <w:szCs w:val="24"/>
        </w:rPr>
      </w:pPr>
    </w:p>
    <w:p w14:paraId="54CB10CC" w14:textId="5F2EE356"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r w:rsidR="00CA1ED1">
        <w:rPr>
          <w:rFonts w:ascii="Times New Roman" w:hAnsi="Times New Roman" w:cs="Times New Roman"/>
          <w:sz w:val="24"/>
          <w:szCs w:val="24"/>
        </w:rPr>
        <w:t>Iáscara Oara de Jesus</w:t>
      </w:r>
      <w:r w:rsidR="00CA1ED1">
        <w:rPr>
          <w:rStyle w:val="Refdenotaderodap"/>
          <w:rFonts w:ascii="Times New Roman" w:hAnsi="Times New Roman" w:cs="Times New Roman"/>
          <w:sz w:val="24"/>
          <w:szCs w:val="24"/>
        </w:rPr>
        <w:footnoteReference w:id="1"/>
      </w:r>
      <w:r w:rsidRPr="00DA625C">
        <w:rPr>
          <w:rFonts w:ascii="Times New Roman" w:hAnsi="Times New Roman" w:cs="Times New Roman"/>
          <w:i/>
          <w:sz w:val="24"/>
          <w:szCs w:val="24"/>
        </w:rPr>
        <w:t xml:space="preserve">                                                              </w:t>
      </w:r>
    </w:p>
    <w:p w14:paraId="5B85BA86" w14:textId="0B8041DE" w:rsidR="00DA625C" w:rsidRPr="00FE3885" w:rsidRDefault="00FE3885" w:rsidP="00D735C9">
      <w:pPr>
        <w:spacing w:after="0"/>
        <w:jc w:val="right"/>
        <w:rPr>
          <w:rFonts w:ascii="Times New Roman" w:hAnsi="Times New Roman" w:cs="Times New Roman"/>
          <w:b/>
          <w:sz w:val="24"/>
          <w:szCs w:val="24"/>
        </w:rPr>
      </w:pPr>
      <w:r w:rsidRPr="00FE3885">
        <w:rPr>
          <w:rFonts w:ascii="Times New Roman" w:hAnsi="Times New Roman" w:cs="Times New Roman"/>
          <w:b/>
          <w:sz w:val="24"/>
          <w:szCs w:val="24"/>
        </w:rPr>
        <w:t xml:space="preserve">Eixo temático: </w:t>
      </w:r>
      <w:r w:rsidR="00CA1ED1" w:rsidRPr="00FE3885">
        <w:rPr>
          <w:rFonts w:ascii="Times New Roman" w:hAnsi="Times New Roman" w:cs="Times New Roman"/>
          <w:b/>
          <w:sz w:val="24"/>
          <w:szCs w:val="24"/>
        </w:rPr>
        <w:t xml:space="preserve">Linguagem e </w:t>
      </w:r>
      <w:r w:rsidR="00D3489F">
        <w:rPr>
          <w:rFonts w:ascii="Times New Roman" w:hAnsi="Times New Roman" w:cs="Times New Roman"/>
          <w:b/>
          <w:sz w:val="24"/>
          <w:szCs w:val="24"/>
        </w:rPr>
        <w:t>A</w:t>
      </w:r>
      <w:r w:rsidR="00CA1ED1" w:rsidRPr="00FE3885">
        <w:rPr>
          <w:rFonts w:ascii="Times New Roman" w:hAnsi="Times New Roman" w:cs="Times New Roman"/>
          <w:b/>
          <w:sz w:val="24"/>
          <w:szCs w:val="24"/>
        </w:rPr>
        <w:t>rte</w:t>
      </w:r>
      <w:r w:rsidR="001F0959">
        <w:rPr>
          <w:rFonts w:ascii="Times New Roman" w:hAnsi="Times New Roman" w:cs="Times New Roman"/>
          <w:b/>
          <w:sz w:val="24"/>
          <w:szCs w:val="24"/>
        </w:rPr>
        <w:t>s</w:t>
      </w:r>
      <w:r w:rsidR="00DA625C" w:rsidRPr="00FE3885">
        <w:rPr>
          <w:rFonts w:ascii="Times New Roman" w:hAnsi="Times New Roman" w:cs="Times New Roman"/>
          <w:b/>
          <w:sz w:val="24"/>
          <w:szCs w:val="24"/>
        </w:rPr>
        <w:t xml:space="preserve"> </w:t>
      </w:r>
    </w:p>
    <w:p w14:paraId="014E90D9" w14:textId="77777777" w:rsidR="00CF024E" w:rsidRDefault="00CF024E" w:rsidP="00241ECF">
      <w:pPr>
        <w:pStyle w:val="SemEspaamento"/>
        <w:spacing w:line="360" w:lineRule="auto"/>
        <w:jc w:val="both"/>
        <w:rPr>
          <w:rFonts w:cs="Times New Roman"/>
          <w:color w:val="7030A0"/>
          <w:szCs w:val="24"/>
        </w:rPr>
      </w:pPr>
    </w:p>
    <w:p w14:paraId="797267BC" w14:textId="1E1D057F" w:rsidR="00480137" w:rsidRPr="003D2C9C" w:rsidRDefault="00480137" w:rsidP="008361E4">
      <w:pPr>
        <w:spacing w:line="360" w:lineRule="auto"/>
        <w:jc w:val="both"/>
        <w:rPr>
          <w:rFonts w:ascii="Times New Roman" w:hAnsi="Times New Roman" w:cs="Times New Roman"/>
          <w:sz w:val="24"/>
          <w:szCs w:val="24"/>
        </w:rPr>
      </w:pPr>
      <w:bookmarkStart w:id="0" w:name="_Hlk106298911"/>
      <w:r w:rsidRPr="004D45AE">
        <w:t xml:space="preserve"> </w:t>
      </w:r>
      <w:r w:rsidRPr="003D2C9C">
        <w:rPr>
          <w:rFonts w:ascii="Times New Roman" w:hAnsi="Times New Roman" w:cs="Times New Roman"/>
          <w:sz w:val="24"/>
          <w:szCs w:val="24"/>
        </w:rPr>
        <w:t xml:space="preserve">Este </w:t>
      </w:r>
      <w:r w:rsidR="00464AB1" w:rsidRPr="003D2C9C">
        <w:rPr>
          <w:rFonts w:ascii="Times New Roman" w:hAnsi="Times New Roman" w:cs="Times New Roman"/>
          <w:sz w:val="24"/>
          <w:szCs w:val="24"/>
        </w:rPr>
        <w:t>resumo é</w:t>
      </w:r>
      <w:r w:rsidRPr="003D2C9C">
        <w:rPr>
          <w:rFonts w:ascii="Times New Roman" w:hAnsi="Times New Roman" w:cs="Times New Roman"/>
          <w:sz w:val="24"/>
          <w:szCs w:val="24"/>
        </w:rPr>
        <w:t xml:space="preserve"> um recorte redesenhado da minha tese (qualificada) acerca do corpo. </w:t>
      </w:r>
      <w:r w:rsidR="00464AB1">
        <w:rPr>
          <w:rFonts w:ascii="Times New Roman" w:hAnsi="Times New Roman" w:cs="Times New Roman"/>
          <w:sz w:val="24"/>
          <w:szCs w:val="24"/>
        </w:rPr>
        <w:t>G</w:t>
      </w:r>
      <w:r w:rsidRPr="003D2C9C">
        <w:rPr>
          <w:rFonts w:ascii="Times New Roman" w:hAnsi="Times New Roman" w:cs="Times New Roman"/>
          <w:sz w:val="24"/>
          <w:szCs w:val="24"/>
        </w:rPr>
        <w:t xml:space="preserve">estado em úteros/cápsulas sintéticas e orgânicas promete um futuro. </w:t>
      </w:r>
      <w:sdt>
        <w:sdtPr>
          <w:rPr>
            <w:rFonts w:ascii="Times New Roman" w:hAnsi="Times New Roman" w:cs="Times New Roman"/>
            <w:sz w:val="24"/>
            <w:szCs w:val="24"/>
          </w:rPr>
          <w:tag w:val="goog_rdk_5"/>
          <w:id w:val="-1464348698"/>
        </w:sdtPr>
        <w:sdtEndPr/>
        <w:sdtContent/>
      </w:sdt>
      <w:r w:rsidRPr="003D2C9C">
        <w:rPr>
          <w:rFonts w:ascii="Times New Roman" w:hAnsi="Times New Roman" w:cs="Times New Roman"/>
          <w:sz w:val="24"/>
          <w:szCs w:val="24"/>
        </w:rPr>
        <w:t>Laboratórios</w:t>
      </w:r>
      <w:r w:rsidRPr="003D2C9C">
        <w:rPr>
          <w:rFonts w:ascii="Times New Roman" w:hAnsi="Times New Roman" w:cs="Times New Roman"/>
          <w:color w:val="7F7F7F"/>
          <w:sz w:val="24"/>
          <w:szCs w:val="24"/>
        </w:rPr>
        <w:t xml:space="preserve"> </w:t>
      </w:r>
      <w:r w:rsidRPr="003D2C9C">
        <w:rPr>
          <w:rFonts w:ascii="Times New Roman" w:hAnsi="Times New Roman" w:cs="Times New Roman"/>
          <w:sz w:val="24"/>
          <w:szCs w:val="24"/>
        </w:rPr>
        <w:t xml:space="preserve">proliferam. Redes até então orgânicas e restritas hibridizam. Um corpo de passagem é reatualizado em códigos. Um corpo no mundo faz mundos. Como suporte, Deleuze, no pensamento rizomático, perene, transitório. O estruturado nunca o é plenamente. Não há ponto de chegada nem de partida, mas linhas em movimento. Como objetivo, proponho conectar o corpo com diferentes áreas do conhecimento. O método utilizado foi o da Metodosofia. Não há resultados expressos, mas sim a intenção de </w:t>
      </w:r>
      <w:r w:rsidR="003D2C9C">
        <w:rPr>
          <w:rFonts w:ascii="Times New Roman" w:hAnsi="Times New Roman" w:cs="Times New Roman"/>
          <w:sz w:val="24"/>
          <w:szCs w:val="24"/>
        </w:rPr>
        <w:t>pensar</w:t>
      </w:r>
      <w:r w:rsidRPr="003D2C9C">
        <w:rPr>
          <w:rFonts w:ascii="Times New Roman" w:hAnsi="Times New Roman" w:cs="Times New Roman"/>
          <w:sz w:val="24"/>
          <w:szCs w:val="24"/>
        </w:rPr>
        <w:t xml:space="preserve"> o corpo</w:t>
      </w:r>
      <w:r w:rsidR="003D2C9C">
        <w:rPr>
          <w:rFonts w:ascii="Times New Roman" w:hAnsi="Times New Roman" w:cs="Times New Roman"/>
          <w:sz w:val="24"/>
          <w:szCs w:val="24"/>
        </w:rPr>
        <w:t xml:space="preserve">. </w:t>
      </w:r>
      <w:r w:rsidRPr="003D2C9C">
        <w:rPr>
          <w:rFonts w:ascii="Times New Roman" w:hAnsi="Times New Roman" w:cs="Times New Roman"/>
          <w:sz w:val="24"/>
          <w:szCs w:val="24"/>
        </w:rPr>
        <w:t>Linhas gestando outras, retornadas, renascidas. Nem sujeito, nem objeto. O rizoma não se submete a modelos estruturais ou geracionais. Experimentos rompem com o sujeito da consciência, da fixidez ou da permanência (DELEUZE, 1995; 1997; 2005). Viciado na instantaneidade, o invólucro humano é consumido em plataformas</w:t>
      </w:r>
      <w:r w:rsidRPr="003D2C9C">
        <w:rPr>
          <w:rFonts w:ascii="Times New Roman" w:hAnsi="Times New Roman" w:cs="Times New Roman"/>
          <w:color w:val="FF0000"/>
          <w:sz w:val="24"/>
          <w:szCs w:val="24"/>
        </w:rPr>
        <w:t xml:space="preserve">. </w:t>
      </w:r>
      <w:r w:rsidRPr="003D2C9C">
        <w:rPr>
          <w:rFonts w:ascii="Times New Roman" w:hAnsi="Times New Roman" w:cs="Times New Roman"/>
          <w:sz w:val="24"/>
          <w:szCs w:val="24"/>
        </w:rPr>
        <w:t xml:space="preserve">Nos jogos estabelecidos, o corpo é hackeado, impresso em 3d (LIMA, 2019; ENRIQUEZ, 2019). Tem cor, textura e perfume. Afasta e aproxima a obsolescência; imuniza e se replica em contextos artificiais. Ao fazer-se, ou fazer-me, possíveis caminhos nos levam a pensar. O humano que se anuncia chama de “verdade” aquilo que o conserva no rebanho e de “mentira” aquilo que o ameaça ou exclui do rebanho (NIETZSCHE, 2001). Eis, um horizonte inventado e distribuído em experimentos, receitas e fórmulas que entorpecem e definem sujeitos em suportes de peles que ainda denominamos Corpo (AGAMBEM, 2017; BAUMAN, 2017-2018; NIETZSCHE, 2005; HARARI, 2016). Olhá-lo em movimento e detectar algumas nuances que o formam e o </w:t>
      </w:r>
      <w:r w:rsidRPr="003D2C9C">
        <w:rPr>
          <w:rFonts w:ascii="Times New Roman" w:hAnsi="Times New Roman" w:cs="Times New Roman"/>
          <w:sz w:val="24"/>
          <w:szCs w:val="24"/>
        </w:rPr>
        <w:lastRenderedPageBreak/>
        <w:t xml:space="preserve">instituem enquanto sujeito viabiliza e permite uma dança que </w:t>
      </w:r>
      <w:r w:rsidRPr="00D54568">
        <w:rPr>
          <w:rFonts w:ascii="Times New Roman" w:hAnsi="Times New Roman" w:cs="Times New Roman"/>
          <w:sz w:val="24"/>
          <w:szCs w:val="24"/>
        </w:rPr>
        <w:t>redesenha e reivindica um caminho de fazer-nos experiência</w:t>
      </w:r>
      <w:r w:rsidR="00464AB1">
        <w:rPr>
          <w:rFonts w:ascii="Times New Roman" w:hAnsi="Times New Roman" w:cs="Times New Roman"/>
          <w:sz w:val="24"/>
          <w:szCs w:val="24"/>
        </w:rPr>
        <w:t>.</w:t>
      </w:r>
      <w:r w:rsidRPr="00D54568">
        <w:rPr>
          <w:rFonts w:ascii="Times New Roman" w:hAnsi="Times New Roman" w:cs="Times New Roman"/>
          <w:sz w:val="24"/>
          <w:szCs w:val="24"/>
        </w:rPr>
        <w:t xml:space="preserve"> </w:t>
      </w:r>
      <w:r w:rsidRPr="003D2C9C">
        <w:rPr>
          <w:rFonts w:ascii="Times New Roman" w:hAnsi="Times New Roman" w:cs="Times New Roman"/>
          <w:sz w:val="24"/>
          <w:szCs w:val="24"/>
        </w:rPr>
        <w:t>Corpos revelados já possibilitam criar uma vida sintética editar</w:t>
      </w:r>
      <w:r w:rsidR="00D54568">
        <w:rPr>
          <w:rFonts w:ascii="Times New Roman" w:hAnsi="Times New Roman" w:cs="Times New Roman"/>
          <w:sz w:val="24"/>
          <w:szCs w:val="24"/>
        </w:rPr>
        <w:t xml:space="preserve"> </w:t>
      </w:r>
      <w:r w:rsidRPr="003D2C9C">
        <w:rPr>
          <w:rFonts w:ascii="Times New Roman" w:hAnsi="Times New Roman" w:cs="Times New Roman"/>
          <w:sz w:val="24"/>
          <w:szCs w:val="24"/>
        </w:rPr>
        <w:t>corpos que vão sendo alterados, ainda que de forma acanhada e precária, mas já modificada e assinada pela ação humana. Homens e deuses conversam, deuses esses que também são desconectados com as descobertas científicas ampliadas. Protagonistas da cena, conversamos com o espelho: “Depois de decifrar as leis mudas da física, da química e da biologia, o gênero humano agora faz com ele o que quiser” (HARARI, 2016, p. 88). O Ser bruto, desajeitado e reativo, costurado com agulhas grossas, assegura nossa corporificação “(...) em seu formato prístino e potente, cru, rústico, rude/grosseiro, os quais o processo civilizatório conseguiu envernizar e/ou ‘terceirizar’ as não reparar, e menos ainda exorcizar” (BAUMAN, 2017, p. 21). Assim, vamos experimentando outras costuras, outras colagens. Intervencionistas por natureza, no ato de esculpir e experimentar, multiplicamos instrumentos que se traduzem em tecnologias aplicadas ao corpo, seja ele real, imaginário, virtual, engajado ou não.  Indo um pouco mais além, Vieira afirma que, “no final do século XX, somos todos híbridos, o ciborgue é a nossa ontologia e determina a nossa política” (VIEIRA, 2019, p. 210). O corpo é o definidor da vida</w:t>
      </w:r>
      <w:r w:rsidR="00464AB1">
        <w:rPr>
          <w:rFonts w:ascii="Times New Roman" w:hAnsi="Times New Roman" w:cs="Times New Roman"/>
          <w:sz w:val="24"/>
          <w:szCs w:val="24"/>
        </w:rPr>
        <w:t xml:space="preserve"> </w:t>
      </w:r>
      <w:r w:rsidRPr="003D2C9C">
        <w:rPr>
          <w:rFonts w:ascii="Times New Roman" w:hAnsi="Times New Roman" w:cs="Times New Roman"/>
          <w:sz w:val="24"/>
          <w:szCs w:val="24"/>
        </w:rPr>
        <w:t>(HARAWAY, 2009; HARARI, 2016; MANSKE, 2013).</w:t>
      </w:r>
      <w:r w:rsidR="00CE06C1">
        <w:rPr>
          <w:rFonts w:ascii="Times New Roman" w:hAnsi="Times New Roman" w:cs="Times New Roman"/>
          <w:sz w:val="24"/>
          <w:szCs w:val="24"/>
        </w:rPr>
        <w:t xml:space="preserve"> Objetivo neste ensaio que se faz artigo,</w:t>
      </w:r>
      <w:r w:rsidRPr="003D2C9C">
        <w:rPr>
          <w:rFonts w:ascii="Times New Roman" w:hAnsi="Times New Roman" w:cs="Times New Roman"/>
          <w:sz w:val="24"/>
          <w:szCs w:val="24"/>
        </w:rPr>
        <w:t xml:space="preserve"> conexões com diferentes áreas do conhecimento. A experimentação como possibilidade de aumento de potência. Transgredir, aventurar-se e, talvez, inspirar outras transgressões. Tramar as conversas/vozes/discursos dos autores em um mundo múltiplo de diferenças. Acontecimentos. Corpos moldados que anunciam e são anunciados. E, moldados, revelam. Tendo como ponto de partida, de referência, o pensamento da diferença, utilizei a Metodosofia como fio condutor. Afinal, “A pesquisa pode ser vista como um discurso que não é para ser entendido, mas para ser vivido e, mais ainda, suportado em seus efeitos” (CORAZZA, 2020, p. 20).</w:t>
      </w:r>
      <w:r w:rsidR="00CE06C1">
        <w:rPr>
          <w:rFonts w:ascii="Times New Roman" w:hAnsi="Times New Roman" w:cs="Times New Roman"/>
          <w:sz w:val="24"/>
          <w:szCs w:val="24"/>
        </w:rPr>
        <w:t xml:space="preserve"> </w:t>
      </w:r>
      <w:r w:rsidRPr="003D2C9C">
        <w:rPr>
          <w:rFonts w:ascii="Times New Roman" w:hAnsi="Times New Roman" w:cs="Times New Roman"/>
          <w:sz w:val="24"/>
          <w:szCs w:val="24"/>
        </w:rPr>
        <w:t xml:space="preserve">Não há </w:t>
      </w:r>
      <w:r w:rsidR="00CE06C1">
        <w:rPr>
          <w:rFonts w:ascii="Times New Roman" w:hAnsi="Times New Roman" w:cs="Times New Roman"/>
          <w:sz w:val="24"/>
          <w:szCs w:val="24"/>
        </w:rPr>
        <w:t>r</w:t>
      </w:r>
      <w:r w:rsidRPr="00CE06C1">
        <w:rPr>
          <w:rFonts w:ascii="Times New Roman" w:hAnsi="Times New Roman" w:cs="Times New Roman"/>
          <w:sz w:val="24"/>
          <w:szCs w:val="24"/>
        </w:rPr>
        <w:t>esultados</w:t>
      </w:r>
      <w:r w:rsidRPr="003D2C9C">
        <w:rPr>
          <w:rFonts w:ascii="Times New Roman" w:hAnsi="Times New Roman" w:cs="Times New Roman"/>
          <w:b/>
          <w:bCs/>
          <w:sz w:val="24"/>
          <w:szCs w:val="24"/>
        </w:rPr>
        <w:t xml:space="preserve"> </w:t>
      </w:r>
      <w:r w:rsidRPr="003D2C9C">
        <w:rPr>
          <w:rFonts w:ascii="Times New Roman" w:hAnsi="Times New Roman" w:cs="Times New Roman"/>
          <w:sz w:val="24"/>
          <w:szCs w:val="24"/>
        </w:rPr>
        <w:t xml:space="preserve">expressos, </w:t>
      </w:r>
      <w:r w:rsidRPr="003D2C9C">
        <w:rPr>
          <w:rFonts w:ascii="Times New Roman" w:hAnsi="Times New Roman" w:cs="Times New Roman"/>
          <w:bCs/>
          <w:sz w:val="24"/>
          <w:szCs w:val="24"/>
        </w:rPr>
        <w:t>mas</w:t>
      </w:r>
      <w:r w:rsidRPr="003D2C9C">
        <w:rPr>
          <w:rFonts w:ascii="Times New Roman" w:hAnsi="Times New Roman" w:cs="Times New Roman"/>
          <w:sz w:val="24"/>
          <w:szCs w:val="24"/>
        </w:rPr>
        <w:t xml:space="preserve"> sim a intenção de refletir sobre o corpo </w:t>
      </w:r>
      <w:r w:rsidR="00CE06C1">
        <w:rPr>
          <w:rFonts w:ascii="Times New Roman" w:hAnsi="Times New Roman" w:cs="Times New Roman"/>
          <w:sz w:val="24"/>
          <w:szCs w:val="24"/>
        </w:rPr>
        <w:t xml:space="preserve">que retorna continuamente. </w:t>
      </w:r>
      <w:r w:rsidRPr="003D2C9C">
        <w:rPr>
          <w:rFonts w:ascii="Times New Roman" w:hAnsi="Times New Roman" w:cs="Times New Roman"/>
          <w:sz w:val="24"/>
          <w:szCs w:val="24"/>
        </w:rPr>
        <w:t xml:space="preserve">Ao inaugurarmos um outro eu humano, via átomos rearranjados e recolocados em movimento pelas tecnologias gestadas, corpos híbridos já protagonizam cenários presentes e são aperfeiçoados para futuros e novos formatos de ser e estar em, também, enquanto habitante de outros espaços. Em templos renovados ensaiamos coreografias, as quais pautam e manifestam novos corpos e os alocam em um outro mundo. Este corpo, “(...) outrora distante e sob os desígnios de Deus, seria transformado no ponto de chegada de todas as realizações da história humana” (SOUZA, 2019, p. 229). Mas, na contemporaneidade, isso não acontece. Nossos corpos se espelham e não se reconhecem. Refletem outras tramas que já nascem capturadas para atenderem demandas de um mundo inteiramente imerso em uma </w:t>
      </w:r>
      <w:r w:rsidRPr="003D2C9C">
        <w:rPr>
          <w:rFonts w:ascii="Times New Roman" w:hAnsi="Times New Roman" w:cs="Times New Roman"/>
          <w:sz w:val="24"/>
          <w:szCs w:val="24"/>
        </w:rPr>
        <w:lastRenderedPageBreak/>
        <w:t>vontade e/ou necessidade de se adaptar e fazer frente aos desafios que se apresentam, instigam e anunciam uma nova geografia humana. Ao ser redesenhado, este corpo habita um espaço/tempo composto por linhas abertas. Híbridos em formação. Numa relação de alto contraste e complexidade revelada e materializada, este corpo também se mostra nas fábulas ficcionais. Eis, uma clara alusão a múltiplas linhas que se mostram. Sem um início, meio ou fim, a intenção é refletir sobre o corpo em uma conexão. Um corpo em movimento.</w:t>
      </w:r>
    </w:p>
    <w:p w14:paraId="001F6555" w14:textId="6905A92B" w:rsidR="003D2C9C" w:rsidRPr="00CE06C1" w:rsidRDefault="003D2C9C" w:rsidP="003D2C9C">
      <w:pPr>
        <w:spacing w:before="160"/>
        <w:jc w:val="both"/>
        <w:rPr>
          <w:rFonts w:ascii="Times New Roman" w:hAnsi="Times New Roman" w:cs="Times New Roman"/>
          <w:sz w:val="24"/>
          <w:szCs w:val="24"/>
        </w:rPr>
      </w:pPr>
      <w:r w:rsidRPr="003D2C9C">
        <w:rPr>
          <w:rFonts w:ascii="Times New Roman" w:hAnsi="Times New Roman" w:cs="Times New Roman"/>
          <w:b/>
          <w:bCs/>
          <w:sz w:val="24"/>
          <w:szCs w:val="24"/>
        </w:rPr>
        <w:t>Palavras-chave</w:t>
      </w:r>
      <w:r w:rsidRPr="003D2C9C">
        <w:rPr>
          <w:rFonts w:ascii="Times New Roman" w:hAnsi="Times New Roman" w:cs="Times New Roman"/>
          <w:sz w:val="24"/>
          <w:szCs w:val="24"/>
        </w:rPr>
        <w:t xml:space="preserve">: </w:t>
      </w:r>
      <w:r w:rsidR="00576416">
        <w:rPr>
          <w:rFonts w:ascii="Times New Roman" w:hAnsi="Times New Roman" w:cs="Times New Roman"/>
          <w:sz w:val="24"/>
          <w:szCs w:val="24"/>
        </w:rPr>
        <w:t>C</w:t>
      </w:r>
      <w:r w:rsidRPr="003D2C9C">
        <w:rPr>
          <w:rFonts w:ascii="Times New Roman" w:hAnsi="Times New Roman" w:cs="Times New Roman"/>
          <w:sz w:val="24"/>
          <w:szCs w:val="24"/>
        </w:rPr>
        <w:t>orpo</w:t>
      </w:r>
      <w:r w:rsidR="00576416">
        <w:rPr>
          <w:rFonts w:ascii="Times New Roman" w:hAnsi="Times New Roman" w:cs="Times New Roman"/>
          <w:sz w:val="24"/>
          <w:szCs w:val="24"/>
        </w:rPr>
        <w:t>. D</w:t>
      </w:r>
      <w:r w:rsidRPr="003D2C9C">
        <w:rPr>
          <w:rFonts w:ascii="Times New Roman" w:hAnsi="Times New Roman" w:cs="Times New Roman"/>
          <w:sz w:val="24"/>
          <w:szCs w:val="24"/>
        </w:rPr>
        <w:t>evir</w:t>
      </w:r>
      <w:r w:rsidR="00576416">
        <w:rPr>
          <w:rFonts w:ascii="Times New Roman" w:hAnsi="Times New Roman" w:cs="Times New Roman"/>
          <w:sz w:val="24"/>
          <w:szCs w:val="24"/>
        </w:rPr>
        <w:t>.</w:t>
      </w:r>
      <w:r w:rsidRPr="003D2C9C">
        <w:rPr>
          <w:rFonts w:ascii="Times New Roman" w:hAnsi="Times New Roman" w:cs="Times New Roman"/>
          <w:sz w:val="24"/>
          <w:szCs w:val="24"/>
        </w:rPr>
        <w:t xml:space="preserve"> </w:t>
      </w:r>
      <w:r w:rsidR="00576416">
        <w:rPr>
          <w:rFonts w:ascii="Times New Roman" w:hAnsi="Times New Roman" w:cs="Times New Roman"/>
          <w:sz w:val="24"/>
          <w:szCs w:val="24"/>
        </w:rPr>
        <w:t>H</w:t>
      </w:r>
      <w:r w:rsidRPr="003D2C9C">
        <w:rPr>
          <w:rFonts w:ascii="Times New Roman" w:hAnsi="Times New Roman" w:cs="Times New Roman"/>
          <w:sz w:val="24"/>
          <w:szCs w:val="24"/>
        </w:rPr>
        <w:t>íbrido</w:t>
      </w:r>
      <w:r w:rsidR="00576416">
        <w:rPr>
          <w:rFonts w:ascii="Times New Roman" w:hAnsi="Times New Roman" w:cs="Times New Roman"/>
          <w:sz w:val="24"/>
          <w:szCs w:val="24"/>
        </w:rPr>
        <w:t>.</w:t>
      </w:r>
      <w:r w:rsidRPr="003D2C9C">
        <w:rPr>
          <w:rFonts w:ascii="Times New Roman" w:hAnsi="Times New Roman" w:cs="Times New Roman"/>
          <w:sz w:val="24"/>
          <w:szCs w:val="24"/>
        </w:rPr>
        <w:t xml:space="preserve"> </w:t>
      </w:r>
      <w:r w:rsidRPr="00CE06C1">
        <w:rPr>
          <w:rFonts w:ascii="Times New Roman" w:hAnsi="Times New Roman" w:cs="Times New Roman"/>
          <w:sz w:val="24"/>
          <w:szCs w:val="24"/>
        </w:rPr>
        <w:t>Inteligência Artificial</w:t>
      </w:r>
    </w:p>
    <w:p w14:paraId="291D29D5" w14:textId="77777777" w:rsidR="003D2C9C" w:rsidRPr="00576416" w:rsidRDefault="003D2C9C" w:rsidP="00480137">
      <w:pPr>
        <w:rPr>
          <w:rFonts w:ascii="Times New Roman" w:hAnsi="Times New Roman" w:cs="Times New Roman"/>
          <w:sz w:val="24"/>
          <w:szCs w:val="24"/>
        </w:rPr>
      </w:pPr>
    </w:p>
    <w:bookmarkEnd w:id="0"/>
    <w:p w14:paraId="3502A07E" w14:textId="77777777" w:rsidR="00480137" w:rsidRPr="00576416" w:rsidRDefault="00480137" w:rsidP="00464AB1">
      <w:pPr>
        <w:pStyle w:val="Ttulo2"/>
        <w:spacing w:line="240" w:lineRule="auto"/>
        <w:rPr>
          <w:rFonts w:cs="Times New Roman"/>
          <w:szCs w:val="24"/>
          <w:lang w:val="pt-BR"/>
        </w:rPr>
      </w:pPr>
      <w:r w:rsidRPr="00576416">
        <w:rPr>
          <w:rFonts w:cs="Times New Roman"/>
          <w:szCs w:val="24"/>
          <w:lang w:val="pt-BR"/>
        </w:rPr>
        <w:t>Referências</w:t>
      </w:r>
    </w:p>
    <w:p w14:paraId="40D3CBBA"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rPr>
      </w:pPr>
      <w:r w:rsidRPr="00576416">
        <w:rPr>
          <w:rFonts w:ascii="Times New Roman" w:hAnsi="Times New Roman" w:cs="Times New Roman"/>
          <w:color w:val="000000"/>
          <w:sz w:val="24"/>
          <w:szCs w:val="24"/>
        </w:rPr>
        <w:t xml:space="preserve">AGAMBEN, Giorgio. </w:t>
      </w:r>
      <w:r w:rsidRPr="00576416">
        <w:rPr>
          <w:rFonts w:ascii="Times New Roman" w:hAnsi="Times New Roman" w:cs="Times New Roman"/>
          <w:b/>
          <w:color w:val="000000"/>
          <w:sz w:val="24"/>
          <w:szCs w:val="24"/>
        </w:rPr>
        <w:t>Profanações</w:t>
      </w:r>
      <w:r w:rsidRPr="00576416">
        <w:rPr>
          <w:rFonts w:ascii="Times New Roman" w:hAnsi="Times New Roman" w:cs="Times New Roman"/>
          <w:color w:val="000000"/>
          <w:sz w:val="24"/>
          <w:szCs w:val="24"/>
        </w:rPr>
        <w:t>. Trad. Selvino J. Assmann. Boitempo Editorial, 1.ed., 2017.</w:t>
      </w:r>
    </w:p>
    <w:p w14:paraId="183B8320"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highlight w:val="white"/>
        </w:rPr>
      </w:pPr>
      <w:bookmarkStart w:id="1" w:name="_heading=h.gjdgxs" w:colFirst="0" w:colLast="0"/>
      <w:bookmarkEnd w:id="1"/>
      <w:r w:rsidRPr="00576416">
        <w:rPr>
          <w:rFonts w:ascii="Times New Roman" w:hAnsi="Times New Roman" w:cs="Times New Roman"/>
          <w:color w:val="000000"/>
          <w:sz w:val="24"/>
          <w:szCs w:val="24"/>
          <w:highlight w:val="white"/>
        </w:rPr>
        <w:t>BAUMAN, Zygmunt. </w:t>
      </w:r>
      <w:r w:rsidRPr="00576416">
        <w:rPr>
          <w:rFonts w:ascii="Times New Roman" w:hAnsi="Times New Roman" w:cs="Times New Roman"/>
          <w:b/>
          <w:color w:val="000000"/>
          <w:sz w:val="24"/>
          <w:szCs w:val="24"/>
          <w:highlight w:val="white"/>
        </w:rPr>
        <w:t>Retrotopia</w:t>
      </w:r>
      <w:r w:rsidRPr="00576416">
        <w:rPr>
          <w:rFonts w:ascii="Times New Roman" w:hAnsi="Times New Roman" w:cs="Times New Roman"/>
          <w:bCs/>
          <w:color w:val="000000"/>
          <w:sz w:val="24"/>
          <w:szCs w:val="24"/>
          <w:highlight w:val="white"/>
        </w:rPr>
        <w:t>.</w:t>
      </w:r>
      <w:r w:rsidRPr="00576416">
        <w:rPr>
          <w:rFonts w:ascii="Times New Roman" w:hAnsi="Times New Roman" w:cs="Times New Roman"/>
          <w:b/>
          <w:color w:val="000000"/>
          <w:sz w:val="24"/>
          <w:szCs w:val="24"/>
          <w:highlight w:val="white"/>
        </w:rPr>
        <w:t xml:space="preserve"> </w:t>
      </w:r>
      <w:r w:rsidRPr="00576416">
        <w:rPr>
          <w:rFonts w:ascii="Times New Roman" w:hAnsi="Times New Roman" w:cs="Times New Roman"/>
          <w:color w:val="000000"/>
          <w:sz w:val="24"/>
          <w:szCs w:val="24"/>
          <w:highlight w:val="white"/>
        </w:rPr>
        <w:t>Trad. Renato Aguiar. 1.ed. Rio de Janeiro: Zahar, 2017.</w:t>
      </w:r>
    </w:p>
    <w:p w14:paraId="3E223353"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rPr>
      </w:pPr>
      <w:r w:rsidRPr="00576416">
        <w:rPr>
          <w:rFonts w:ascii="Times New Roman" w:hAnsi="Times New Roman" w:cs="Times New Roman"/>
          <w:color w:val="000000"/>
          <w:sz w:val="24"/>
          <w:szCs w:val="24"/>
        </w:rPr>
        <w:t xml:space="preserve">BAUMAN, Zygmunt; LOENCINI, Thomas. </w:t>
      </w:r>
      <w:r w:rsidRPr="00576416">
        <w:rPr>
          <w:rFonts w:ascii="Times New Roman" w:hAnsi="Times New Roman" w:cs="Times New Roman"/>
          <w:b/>
          <w:color w:val="000000"/>
          <w:sz w:val="24"/>
          <w:szCs w:val="24"/>
        </w:rPr>
        <w:t>Nascidos em tempos líquidos</w:t>
      </w:r>
      <w:r w:rsidRPr="00576416">
        <w:rPr>
          <w:rFonts w:ascii="Times New Roman" w:hAnsi="Times New Roman" w:cs="Times New Roman"/>
          <w:color w:val="000000"/>
          <w:sz w:val="24"/>
          <w:szCs w:val="24"/>
        </w:rPr>
        <w:t>. Transformações no terceiro milênio. Trad. Joana Angélica D’Ávila Melo. 1.ed. Rio de Janeiro: Zahar, 2018.</w:t>
      </w:r>
    </w:p>
    <w:p w14:paraId="4117C2AE" w14:textId="265F96A4"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sz w:val="24"/>
          <w:szCs w:val="24"/>
        </w:rPr>
      </w:pPr>
      <w:r w:rsidRPr="00576416">
        <w:rPr>
          <w:rFonts w:ascii="Times New Roman" w:hAnsi="Times New Roman" w:cs="Times New Roman"/>
          <w:sz w:val="24"/>
          <w:szCs w:val="24"/>
        </w:rPr>
        <w:t xml:space="preserve">CORAZZA, Sandra Mara. Metodosofia: Contrato de tradução. In Métodos de transcrição: pesquisa em Educação da </w:t>
      </w:r>
      <w:r w:rsidR="00576416" w:rsidRPr="00576416">
        <w:rPr>
          <w:rFonts w:ascii="Times New Roman" w:hAnsi="Times New Roman" w:cs="Times New Roman"/>
          <w:sz w:val="24"/>
          <w:szCs w:val="24"/>
        </w:rPr>
        <w:t>Diferença</w:t>
      </w:r>
      <w:r w:rsidR="00576416">
        <w:rPr>
          <w:rFonts w:ascii="Times New Roman" w:hAnsi="Times New Roman" w:cs="Times New Roman"/>
          <w:sz w:val="24"/>
          <w:szCs w:val="24"/>
        </w:rPr>
        <w:t xml:space="preserve"> </w:t>
      </w:r>
      <w:r w:rsidRPr="00576416">
        <w:rPr>
          <w:rFonts w:ascii="Times New Roman" w:hAnsi="Times New Roman" w:cs="Times New Roman"/>
          <w:sz w:val="24"/>
          <w:szCs w:val="24"/>
        </w:rPr>
        <w:t xml:space="preserve">/ </w:t>
      </w:r>
      <w:r w:rsidR="00576416" w:rsidRPr="00576416">
        <w:rPr>
          <w:rFonts w:ascii="Times New Roman" w:hAnsi="Times New Roman" w:cs="Times New Roman"/>
          <w:sz w:val="24"/>
          <w:szCs w:val="24"/>
        </w:rPr>
        <w:t>Organizadora:</w:t>
      </w:r>
      <w:r w:rsidRPr="00576416">
        <w:rPr>
          <w:rFonts w:ascii="Times New Roman" w:hAnsi="Times New Roman" w:cs="Times New Roman"/>
          <w:sz w:val="24"/>
          <w:szCs w:val="24"/>
        </w:rPr>
        <w:t xml:space="preserve"> Sandra Mara Corazza 0 São Leopoldo: </w:t>
      </w:r>
      <w:proofErr w:type="spellStart"/>
      <w:r w:rsidRPr="00576416">
        <w:rPr>
          <w:rFonts w:ascii="Times New Roman" w:hAnsi="Times New Roman" w:cs="Times New Roman"/>
          <w:sz w:val="24"/>
          <w:szCs w:val="24"/>
        </w:rPr>
        <w:t>Oikos</w:t>
      </w:r>
      <w:proofErr w:type="spellEnd"/>
      <w:r w:rsidRPr="00576416">
        <w:rPr>
          <w:rFonts w:ascii="Times New Roman" w:hAnsi="Times New Roman" w:cs="Times New Roman"/>
          <w:sz w:val="24"/>
          <w:szCs w:val="24"/>
        </w:rPr>
        <w:t>, 2020</w:t>
      </w:r>
    </w:p>
    <w:p w14:paraId="23CC2930"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rPr>
      </w:pPr>
      <w:r w:rsidRPr="00576416">
        <w:rPr>
          <w:rFonts w:ascii="Times New Roman" w:hAnsi="Times New Roman" w:cs="Times New Roman"/>
          <w:color w:val="000000"/>
          <w:sz w:val="24"/>
          <w:szCs w:val="24"/>
        </w:rPr>
        <w:t>DELEUZE, Gilles</w:t>
      </w:r>
      <w:r w:rsidRPr="00576416">
        <w:rPr>
          <w:rFonts w:ascii="Times New Roman" w:hAnsi="Times New Roman" w:cs="Times New Roman"/>
          <w:bCs/>
          <w:color w:val="000000"/>
          <w:sz w:val="24"/>
          <w:szCs w:val="24"/>
        </w:rPr>
        <w:t>.</w:t>
      </w:r>
      <w:r w:rsidRPr="00576416">
        <w:rPr>
          <w:rFonts w:ascii="Times New Roman" w:hAnsi="Times New Roman" w:cs="Times New Roman"/>
          <w:b/>
          <w:color w:val="000000"/>
          <w:sz w:val="24"/>
          <w:szCs w:val="24"/>
        </w:rPr>
        <w:t xml:space="preserve"> A ilha deserta e outros textos</w:t>
      </w:r>
      <w:r w:rsidRPr="00576416">
        <w:rPr>
          <w:rFonts w:ascii="Times New Roman" w:hAnsi="Times New Roman" w:cs="Times New Roman"/>
          <w:bCs/>
          <w:color w:val="000000"/>
          <w:sz w:val="24"/>
          <w:szCs w:val="24"/>
        </w:rPr>
        <w:t>. Textos e entrevistas (1953-1974)</w:t>
      </w:r>
      <w:r w:rsidRPr="00576416">
        <w:rPr>
          <w:rFonts w:ascii="Times New Roman" w:hAnsi="Times New Roman" w:cs="Times New Roman"/>
          <w:color w:val="000000"/>
          <w:sz w:val="24"/>
          <w:szCs w:val="24"/>
        </w:rPr>
        <w:t>. Edição preparada por David Lapoujade. Trad. Bras. Iluminuras, 2004.</w:t>
      </w:r>
    </w:p>
    <w:p w14:paraId="6A54E9D5"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rPr>
      </w:pPr>
      <w:r w:rsidRPr="00576416">
        <w:rPr>
          <w:rFonts w:ascii="Times New Roman" w:hAnsi="Times New Roman" w:cs="Times New Roman"/>
          <w:color w:val="000000"/>
          <w:sz w:val="24"/>
          <w:szCs w:val="24"/>
        </w:rPr>
        <w:t xml:space="preserve">DELEUZE, Gilles. </w:t>
      </w:r>
      <w:r w:rsidRPr="00576416">
        <w:rPr>
          <w:rFonts w:ascii="Times New Roman" w:hAnsi="Times New Roman" w:cs="Times New Roman"/>
          <w:b/>
          <w:color w:val="000000"/>
          <w:sz w:val="24"/>
          <w:szCs w:val="24"/>
        </w:rPr>
        <w:t>Mil platôs</w:t>
      </w:r>
      <w:r w:rsidRPr="00576416">
        <w:rPr>
          <w:rFonts w:ascii="Times New Roman" w:hAnsi="Times New Roman" w:cs="Times New Roman"/>
          <w:color w:val="000000"/>
          <w:sz w:val="24"/>
          <w:szCs w:val="24"/>
        </w:rPr>
        <w:t xml:space="preserve">. Capitalismo e esquizofrenia. Vol. 4. Trad. Sueli Rolnik. São Paulo: Ed. 54, 1997. </w:t>
      </w:r>
    </w:p>
    <w:p w14:paraId="569B7096"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rPr>
      </w:pPr>
      <w:r w:rsidRPr="00576416">
        <w:rPr>
          <w:rFonts w:ascii="Times New Roman" w:hAnsi="Times New Roman" w:cs="Times New Roman"/>
          <w:color w:val="000000"/>
          <w:sz w:val="24"/>
          <w:szCs w:val="24"/>
        </w:rPr>
        <w:t xml:space="preserve">DELEUZE, Gilles. </w:t>
      </w:r>
      <w:r w:rsidRPr="00576416">
        <w:rPr>
          <w:rFonts w:ascii="Times New Roman" w:hAnsi="Times New Roman" w:cs="Times New Roman"/>
          <w:b/>
          <w:color w:val="000000"/>
          <w:sz w:val="24"/>
          <w:szCs w:val="24"/>
        </w:rPr>
        <w:t>A imagem-tempo</w:t>
      </w:r>
      <w:r w:rsidRPr="00576416">
        <w:rPr>
          <w:rFonts w:ascii="Times New Roman" w:hAnsi="Times New Roman" w:cs="Times New Roman"/>
          <w:color w:val="000000"/>
          <w:sz w:val="24"/>
          <w:szCs w:val="24"/>
        </w:rPr>
        <w:t>. Trad. Eloisa de Araújo Ribeiro. São Paulo: Brasiliense, 2005.</w:t>
      </w:r>
    </w:p>
    <w:p w14:paraId="243B0D06"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HARARI, Yuval Noah. </w:t>
      </w:r>
      <w:r w:rsidRPr="00576416">
        <w:rPr>
          <w:rFonts w:ascii="Times New Roman" w:hAnsi="Times New Roman"/>
          <w:b/>
          <w:bCs/>
          <w:szCs w:val="24"/>
        </w:rPr>
        <w:t>Homo Deus</w:t>
      </w:r>
      <w:r w:rsidRPr="00576416">
        <w:rPr>
          <w:rFonts w:ascii="Times New Roman" w:hAnsi="Times New Roman"/>
          <w:bCs/>
          <w:szCs w:val="24"/>
        </w:rPr>
        <w:t>. Uma breve história do amanhã</w:t>
      </w:r>
      <w:r w:rsidRPr="00576416">
        <w:rPr>
          <w:rFonts w:ascii="Times New Roman" w:hAnsi="Times New Roman"/>
          <w:szCs w:val="24"/>
        </w:rPr>
        <w:t>. Trad. Paulo Geiger. 1ª edição. São Paulo: Companhia das letras, 2016.</w:t>
      </w:r>
    </w:p>
    <w:p w14:paraId="086F738D" w14:textId="77777777" w:rsidR="00480137" w:rsidRPr="00576416" w:rsidRDefault="00480137" w:rsidP="00464AB1">
      <w:pPr>
        <w:pStyle w:val="referbiblilog"/>
        <w:ind w:firstLine="0"/>
        <w:jc w:val="left"/>
        <w:rPr>
          <w:rFonts w:ascii="Times New Roman" w:hAnsi="Times New Roman"/>
          <w:szCs w:val="24"/>
        </w:rPr>
      </w:pPr>
    </w:p>
    <w:p w14:paraId="36B0AFEE"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HARARI, Yuval Noah.  </w:t>
      </w:r>
      <w:r w:rsidRPr="00576416">
        <w:rPr>
          <w:rFonts w:ascii="Times New Roman" w:hAnsi="Times New Roman"/>
          <w:b/>
          <w:bCs/>
          <w:szCs w:val="24"/>
        </w:rPr>
        <w:t>Sapiens</w:t>
      </w:r>
      <w:r w:rsidRPr="00576416">
        <w:rPr>
          <w:rFonts w:ascii="Times New Roman" w:hAnsi="Times New Roman"/>
          <w:bCs/>
          <w:szCs w:val="24"/>
        </w:rPr>
        <w:t>. Uma breve história.</w:t>
      </w:r>
      <w:r w:rsidRPr="00576416">
        <w:rPr>
          <w:rFonts w:ascii="Times New Roman" w:hAnsi="Times New Roman"/>
          <w:szCs w:val="24"/>
        </w:rPr>
        <w:t xml:space="preserve"> 4ª edição. São Paulo: Editora L&amp;PM, 2014.</w:t>
      </w:r>
    </w:p>
    <w:p w14:paraId="335A10C8" w14:textId="77777777" w:rsidR="00480137" w:rsidRPr="00576416" w:rsidRDefault="00480137" w:rsidP="00464AB1">
      <w:pPr>
        <w:pStyle w:val="referbiblilog"/>
        <w:ind w:firstLine="0"/>
        <w:jc w:val="left"/>
        <w:rPr>
          <w:rFonts w:ascii="Times New Roman" w:hAnsi="Times New Roman"/>
          <w:szCs w:val="24"/>
        </w:rPr>
      </w:pPr>
    </w:p>
    <w:p w14:paraId="2142A1E6"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HARAWAY, Donna. KUNZRU, Hari; TADEU, Tomaz (org. e trad.). </w:t>
      </w:r>
      <w:r w:rsidRPr="00576416">
        <w:rPr>
          <w:rFonts w:ascii="Times New Roman" w:hAnsi="Times New Roman"/>
          <w:b/>
          <w:bCs/>
          <w:szCs w:val="24"/>
        </w:rPr>
        <w:t>Antropologia do ciborgue</w:t>
      </w:r>
      <w:r w:rsidRPr="00576416">
        <w:rPr>
          <w:rFonts w:ascii="Times New Roman" w:hAnsi="Times New Roman"/>
          <w:szCs w:val="24"/>
        </w:rPr>
        <w:t xml:space="preserve">: as vertigens do pós-humano. </w:t>
      </w:r>
      <w:proofErr w:type="gramStart"/>
      <w:r w:rsidRPr="00576416">
        <w:rPr>
          <w:rFonts w:ascii="Times New Roman" w:hAnsi="Times New Roman"/>
          <w:szCs w:val="24"/>
        </w:rPr>
        <w:t>2º edição</w:t>
      </w:r>
      <w:proofErr w:type="gramEnd"/>
      <w:r w:rsidRPr="00576416">
        <w:rPr>
          <w:rFonts w:ascii="Times New Roman" w:hAnsi="Times New Roman"/>
          <w:szCs w:val="24"/>
        </w:rPr>
        <w:t>. Belo Horizonte: Autêntica Editora, 2009.</w:t>
      </w:r>
    </w:p>
    <w:p w14:paraId="1449B4D9" w14:textId="77777777" w:rsidR="00480137" w:rsidRPr="00576416" w:rsidRDefault="00480137" w:rsidP="00464AB1">
      <w:pPr>
        <w:pStyle w:val="referbiblilog"/>
        <w:ind w:firstLine="0"/>
        <w:jc w:val="left"/>
        <w:rPr>
          <w:rFonts w:ascii="Times New Roman" w:hAnsi="Times New Roman"/>
          <w:szCs w:val="24"/>
          <w:shd w:val="clear" w:color="auto" w:fill="FFFFFF"/>
        </w:rPr>
      </w:pPr>
      <w:r w:rsidRPr="00576416">
        <w:rPr>
          <w:rFonts w:ascii="Times New Roman" w:hAnsi="Times New Roman"/>
          <w:szCs w:val="24"/>
          <w:shd w:val="clear" w:color="auto" w:fill="FFFFFF"/>
        </w:rPr>
        <w:t xml:space="preserve">ENRIQUEZ, Juan. </w:t>
      </w:r>
      <w:r w:rsidRPr="00576416">
        <w:rPr>
          <w:rFonts w:ascii="Times New Roman" w:hAnsi="Times New Roman"/>
          <w:b/>
          <w:szCs w:val="24"/>
          <w:shd w:val="clear" w:color="auto" w:fill="FFFFFF"/>
        </w:rPr>
        <w:t>A ciência contemporânea</w:t>
      </w:r>
      <w:r w:rsidRPr="00576416">
        <w:rPr>
          <w:rFonts w:ascii="Times New Roman" w:hAnsi="Times New Roman"/>
          <w:szCs w:val="24"/>
          <w:shd w:val="clear" w:color="auto" w:fill="FFFFFF"/>
        </w:rPr>
        <w:t>: a era da maravilha genética. [VIDEO]. Disponível em: https://www.youtube.com/watch?v=-T3k6s7bev8 – 2019. Acesso em 30 set. 2020.</w:t>
      </w:r>
    </w:p>
    <w:p w14:paraId="6AAB9676" w14:textId="77777777" w:rsidR="00480137" w:rsidRPr="00576416" w:rsidRDefault="00480137" w:rsidP="00464AB1">
      <w:pPr>
        <w:pStyle w:val="referbiblilog"/>
        <w:ind w:firstLine="0"/>
        <w:jc w:val="left"/>
        <w:rPr>
          <w:rFonts w:ascii="Times New Roman" w:hAnsi="Times New Roman"/>
          <w:szCs w:val="24"/>
        </w:rPr>
      </w:pPr>
    </w:p>
    <w:p w14:paraId="53B81E75"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HARAWAY, Donna. KUNZRU, Hari; TADEU, Tomaz (org. e trad.). </w:t>
      </w:r>
      <w:r w:rsidRPr="00576416">
        <w:rPr>
          <w:rFonts w:ascii="Times New Roman" w:hAnsi="Times New Roman"/>
          <w:b/>
          <w:bCs/>
          <w:szCs w:val="24"/>
        </w:rPr>
        <w:t>Antropologia do ciborgue</w:t>
      </w:r>
      <w:r w:rsidRPr="00576416">
        <w:rPr>
          <w:rFonts w:ascii="Times New Roman" w:hAnsi="Times New Roman"/>
          <w:szCs w:val="24"/>
        </w:rPr>
        <w:t xml:space="preserve">: as vertigens do pós-humano. </w:t>
      </w:r>
      <w:proofErr w:type="gramStart"/>
      <w:r w:rsidRPr="00576416">
        <w:rPr>
          <w:rFonts w:ascii="Times New Roman" w:hAnsi="Times New Roman"/>
          <w:szCs w:val="24"/>
        </w:rPr>
        <w:t>2º edição</w:t>
      </w:r>
      <w:proofErr w:type="gramEnd"/>
      <w:r w:rsidRPr="00576416">
        <w:rPr>
          <w:rFonts w:ascii="Times New Roman" w:hAnsi="Times New Roman"/>
          <w:szCs w:val="24"/>
        </w:rPr>
        <w:t>. Belo Horizonte: Autêntica Editora, 2009.</w:t>
      </w:r>
    </w:p>
    <w:p w14:paraId="5975566E"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sz w:val="24"/>
          <w:szCs w:val="24"/>
          <w:highlight w:val="green"/>
        </w:rPr>
      </w:pPr>
    </w:p>
    <w:p w14:paraId="05819155"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LIMA, Manuel. VIDEO. </w:t>
      </w:r>
      <w:r w:rsidRPr="00576416">
        <w:rPr>
          <w:rFonts w:ascii="Times New Roman" w:hAnsi="Times New Roman"/>
          <w:b/>
          <w:szCs w:val="24"/>
        </w:rPr>
        <w:t>História da Ciência</w:t>
      </w:r>
      <w:r w:rsidRPr="00576416">
        <w:rPr>
          <w:rFonts w:ascii="Times New Roman" w:hAnsi="Times New Roman"/>
          <w:szCs w:val="24"/>
        </w:rPr>
        <w:t>. Uma história visual conhecimento. Disponível em:</w:t>
      </w:r>
    </w:p>
    <w:p w14:paraId="56B11569"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lang w:val="fr-FR"/>
        </w:rPr>
        <w:lastRenderedPageBreak/>
        <w:t xml:space="preserve">https://www.ted.com/talks/manuel_lima_a_visual_history_of_human_knowle dge/transcript?language=pt-br#t-756704. </w:t>
      </w:r>
      <w:r w:rsidRPr="00576416">
        <w:rPr>
          <w:rFonts w:ascii="Times New Roman" w:hAnsi="Times New Roman"/>
          <w:szCs w:val="24"/>
        </w:rPr>
        <w:t>Acesso em 20 dez. 2019.</w:t>
      </w:r>
    </w:p>
    <w:p w14:paraId="628F4B70"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sz w:val="24"/>
          <w:szCs w:val="24"/>
          <w:highlight w:val="green"/>
        </w:rPr>
      </w:pPr>
    </w:p>
    <w:p w14:paraId="2E4DEFEA"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MANSKE, George Saliba. </w:t>
      </w:r>
      <w:r w:rsidRPr="00576416">
        <w:rPr>
          <w:rFonts w:ascii="Times New Roman" w:hAnsi="Times New Roman"/>
          <w:bCs/>
          <w:szCs w:val="24"/>
        </w:rPr>
        <w:t xml:space="preserve">Atletas do século XXI: ou das fusões biotecnológicas nos atletas de alto rendimento. In: </w:t>
      </w:r>
      <w:r w:rsidRPr="00576416">
        <w:rPr>
          <w:rFonts w:ascii="Times New Roman" w:hAnsi="Times New Roman"/>
          <w:b/>
          <w:szCs w:val="24"/>
        </w:rPr>
        <w:t>Movimento</w:t>
      </w:r>
      <w:r w:rsidRPr="00576416">
        <w:rPr>
          <w:rFonts w:ascii="Times New Roman" w:hAnsi="Times New Roman"/>
          <w:szCs w:val="24"/>
        </w:rPr>
        <w:t>. Revista de educação física da UFRGS/Porto Alegre, v. 19, n. 1, jan./mar. 2013.</w:t>
      </w:r>
    </w:p>
    <w:p w14:paraId="7EF9B0E1"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sz w:val="24"/>
          <w:szCs w:val="24"/>
          <w:highlight w:val="green"/>
        </w:rPr>
      </w:pPr>
    </w:p>
    <w:p w14:paraId="4C03B5E0"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NIETZSCHE, Friedrich. </w:t>
      </w:r>
      <w:r w:rsidRPr="00576416">
        <w:rPr>
          <w:rFonts w:ascii="Times New Roman" w:hAnsi="Times New Roman"/>
          <w:b/>
          <w:bCs/>
          <w:szCs w:val="24"/>
        </w:rPr>
        <w:t>Além do bem e do mal</w:t>
      </w:r>
      <w:r w:rsidRPr="00576416">
        <w:rPr>
          <w:rFonts w:ascii="Times New Roman" w:hAnsi="Times New Roman"/>
          <w:bCs/>
          <w:szCs w:val="24"/>
        </w:rPr>
        <w:t>:</w:t>
      </w:r>
      <w:r w:rsidRPr="00576416">
        <w:rPr>
          <w:rFonts w:ascii="Times New Roman" w:hAnsi="Times New Roman"/>
          <w:b/>
          <w:bCs/>
          <w:szCs w:val="24"/>
        </w:rPr>
        <w:t xml:space="preserve"> </w:t>
      </w:r>
      <w:r w:rsidRPr="00576416">
        <w:rPr>
          <w:rFonts w:ascii="Times New Roman" w:hAnsi="Times New Roman"/>
          <w:szCs w:val="24"/>
        </w:rPr>
        <w:t>Prelúdio a uma filosofia do futuro. 1. Edição. São Paulo. SP: Companhia de Bolso, 2005.</w:t>
      </w:r>
    </w:p>
    <w:p w14:paraId="4565423E"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sz w:val="24"/>
          <w:szCs w:val="24"/>
          <w:highlight w:val="green"/>
        </w:rPr>
      </w:pPr>
    </w:p>
    <w:p w14:paraId="58AB25A1" w14:textId="77777777" w:rsidR="00480137" w:rsidRPr="00576416" w:rsidRDefault="00480137" w:rsidP="00464AB1">
      <w:pPr>
        <w:pStyle w:val="referbiblilog"/>
        <w:ind w:firstLine="0"/>
        <w:jc w:val="left"/>
        <w:rPr>
          <w:rFonts w:ascii="Times New Roman" w:hAnsi="Times New Roman"/>
          <w:szCs w:val="24"/>
          <w:shd w:val="clear" w:color="auto" w:fill="FFFFFF"/>
        </w:rPr>
      </w:pPr>
      <w:r w:rsidRPr="00576416">
        <w:rPr>
          <w:rFonts w:ascii="Times New Roman" w:hAnsi="Times New Roman"/>
          <w:szCs w:val="24"/>
          <w:shd w:val="clear" w:color="auto" w:fill="FFFFFF"/>
        </w:rPr>
        <w:t xml:space="preserve">SOUZA, Fábio Feltrin. </w:t>
      </w:r>
      <w:r w:rsidRPr="00576416">
        <w:rPr>
          <w:rFonts w:ascii="Times New Roman" w:hAnsi="Times New Roman"/>
          <w:bCs/>
          <w:szCs w:val="24"/>
          <w:shd w:val="clear" w:color="auto" w:fill="FFFFFF"/>
        </w:rPr>
        <w:t>Heterotopia, outros tempos?</w:t>
      </w:r>
      <w:r w:rsidRPr="00576416">
        <w:rPr>
          <w:rFonts w:ascii="Times New Roman" w:hAnsi="Times New Roman"/>
          <w:szCs w:val="24"/>
          <w:shd w:val="clear" w:color="auto" w:fill="FFFFFF"/>
        </w:rPr>
        <w:t xml:space="preserve"> In: </w:t>
      </w:r>
      <w:r w:rsidRPr="00576416">
        <w:rPr>
          <w:rFonts w:ascii="Times New Roman" w:hAnsi="Times New Roman"/>
          <w:b/>
          <w:szCs w:val="24"/>
          <w:shd w:val="clear" w:color="auto" w:fill="FFFFFF"/>
        </w:rPr>
        <w:t>Foucault e as práticas de Liberdade II</w:t>
      </w:r>
      <w:r w:rsidRPr="00576416">
        <w:rPr>
          <w:rFonts w:ascii="Times New Roman" w:hAnsi="Times New Roman"/>
          <w:szCs w:val="24"/>
          <w:shd w:val="clear" w:color="auto" w:fill="FFFFFF"/>
        </w:rPr>
        <w:t>: topologias políticas e heterotopias/ Atílio Butturi Júnior/ Cesar Candiotto/ Pedro Souza/ Sandra Caponi (Orgs.) Campinas, SP: Pontes Editores, 2019.</w:t>
      </w:r>
    </w:p>
    <w:p w14:paraId="38CF7AEA" w14:textId="77777777" w:rsidR="00480137" w:rsidRPr="00576416" w:rsidRDefault="00480137" w:rsidP="00464AB1">
      <w:pPr>
        <w:pBdr>
          <w:top w:val="nil"/>
          <w:left w:val="nil"/>
          <w:bottom w:val="nil"/>
          <w:right w:val="nil"/>
          <w:between w:val="nil"/>
        </w:pBdr>
        <w:spacing w:line="240" w:lineRule="auto"/>
        <w:ind w:left="284" w:hanging="284"/>
        <w:rPr>
          <w:rFonts w:ascii="Times New Roman" w:hAnsi="Times New Roman" w:cs="Times New Roman"/>
          <w:color w:val="000000"/>
          <w:sz w:val="24"/>
          <w:szCs w:val="24"/>
          <w:highlight w:val="green"/>
        </w:rPr>
      </w:pPr>
    </w:p>
    <w:p w14:paraId="0AAB2C4B" w14:textId="77777777" w:rsidR="00480137" w:rsidRPr="00576416" w:rsidRDefault="00480137" w:rsidP="00464AB1">
      <w:pPr>
        <w:pStyle w:val="referbiblilog"/>
        <w:ind w:firstLine="0"/>
        <w:jc w:val="left"/>
        <w:rPr>
          <w:rFonts w:ascii="Times New Roman" w:hAnsi="Times New Roman"/>
          <w:szCs w:val="24"/>
        </w:rPr>
      </w:pPr>
      <w:r w:rsidRPr="00576416">
        <w:rPr>
          <w:rFonts w:ascii="Times New Roman" w:hAnsi="Times New Roman"/>
          <w:szCs w:val="24"/>
        </w:rPr>
        <w:t xml:space="preserve">VIEIRA, Priscila Piazentini. </w:t>
      </w:r>
      <w:r w:rsidRPr="00576416">
        <w:rPr>
          <w:rFonts w:ascii="Times New Roman" w:hAnsi="Times New Roman"/>
          <w:bCs/>
          <w:szCs w:val="24"/>
        </w:rPr>
        <w:t>Michel Foucault e o “Manifesto Ciborgue”, de Donna Haraway</w:t>
      </w:r>
      <w:r w:rsidRPr="00576416">
        <w:rPr>
          <w:rFonts w:ascii="Times New Roman" w:hAnsi="Times New Roman"/>
          <w:szCs w:val="24"/>
        </w:rPr>
        <w:t xml:space="preserve">. </w:t>
      </w:r>
      <w:r w:rsidRPr="00576416">
        <w:rPr>
          <w:rFonts w:ascii="Times New Roman" w:hAnsi="Times New Roman"/>
          <w:iCs/>
          <w:szCs w:val="24"/>
        </w:rPr>
        <w:t xml:space="preserve">In: </w:t>
      </w:r>
      <w:r w:rsidRPr="00576416">
        <w:rPr>
          <w:rFonts w:ascii="Times New Roman" w:hAnsi="Times New Roman"/>
          <w:b/>
          <w:iCs/>
          <w:szCs w:val="24"/>
        </w:rPr>
        <w:t>Foucault e as práticas de liberdade I</w:t>
      </w:r>
      <w:r w:rsidRPr="00576416">
        <w:rPr>
          <w:rFonts w:ascii="Times New Roman" w:hAnsi="Times New Roman"/>
          <w:iCs/>
          <w:szCs w:val="24"/>
        </w:rPr>
        <w:t>: vivo e os seus limites</w:t>
      </w:r>
      <w:r w:rsidRPr="00576416">
        <w:rPr>
          <w:rFonts w:ascii="Times New Roman" w:hAnsi="Times New Roman"/>
          <w:szCs w:val="24"/>
        </w:rPr>
        <w:t>. Atílio Butturi Junior/ Cesar Candiotto/Pedro de Souza/Sandra Caponi (Orgs.). Campinas, SP: Pontes Editores, 2019.</w:t>
      </w:r>
    </w:p>
    <w:p w14:paraId="40335B08" w14:textId="4769C290" w:rsidR="00CF024E" w:rsidRDefault="00241ECF" w:rsidP="00464AB1">
      <w:pPr>
        <w:pStyle w:val="SemEspaamento"/>
        <w:jc w:val="both"/>
        <w:rPr>
          <w:rFonts w:cs="Times New Roman"/>
          <w:color w:val="000000"/>
          <w:szCs w:val="24"/>
        </w:rPr>
      </w:pPr>
      <w:r w:rsidRPr="00241ECF">
        <w:rPr>
          <w:rFonts w:cs="Times New Roman"/>
          <w:color w:val="000000"/>
          <w:szCs w:val="24"/>
        </w:rPr>
        <w:t xml:space="preserve"> </w:t>
      </w:r>
    </w:p>
    <w:sectPr w:rsidR="00CF024E" w:rsidSect="00525202">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5318" w14:textId="77777777" w:rsidR="009F115B" w:rsidRDefault="009F115B" w:rsidP="00DA625C">
      <w:pPr>
        <w:spacing w:after="0" w:line="240" w:lineRule="auto"/>
      </w:pPr>
      <w:r>
        <w:separator/>
      </w:r>
    </w:p>
  </w:endnote>
  <w:endnote w:type="continuationSeparator" w:id="0">
    <w:p w14:paraId="7F306E27" w14:textId="77777777" w:rsidR="009F115B" w:rsidRDefault="009F115B"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EndPr/>
    <w:sdtContent>
      <w:p w14:paraId="6E57D6DA" w14:textId="77777777" w:rsidR="00DA625C" w:rsidRDefault="00E64BC1">
        <w:pPr>
          <w:pStyle w:val="Rodap"/>
          <w:jc w:val="right"/>
        </w:pPr>
        <w:r>
          <w:fldChar w:fldCharType="begin"/>
        </w:r>
        <w:r w:rsidR="00DA625C">
          <w:instrText>PAGE   \* MERGEFORMAT</w:instrText>
        </w:r>
        <w:r>
          <w:fldChar w:fldCharType="separate"/>
        </w:r>
        <w:r w:rsidR="00565631">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C8A3" w14:textId="77777777" w:rsidR="009F115B" w:rsidRDefault="009F115B" w:rsidP="00DA625C">
      <w:pPr>
        <w:spacing w:after="0" w:line="240" w:lineRule="auto"/>
      </w:pPr>
      <w:r>
        <w:separator/>
      </w:r>
    </w:p>
  </w:footnote>
  <w:footnote w:type="continuationSeparator" w:id="0">
    <w:p w14:paraId="610DA2B0" w14:textId="77777777" w:rsidR="009F115B" w:rsidRDefault="009F115B" w:rsidP="00DA625C">
      <w:pPr>
        <w:spacing w:after="0" w:line="240" w:lineRule="auto"/>
      </w:pPr>
      <w:r>
        <w:continuationSeparator/>
      </w:r>
    </w:p>
  </w:footnote>
  <w:footnote w:id="1">
    <w:p w14:paraId="1A80E138" w14:textId="7949FDFE" w:rsidR="00E41DF0" w:rsidRPr="00E41DF0" w:rsidRDefault="00CA1ED1" w:rsidP="00E41DF0">
      <w:pPr>
        <w:spacing w:line="240" w:lineRule="auto"/>
        <w:jc w:val="both"/>
        <w:rPr>
          <w:rFonts w:ascii="Times New Roman" w:hAnsi="Times New Roman" w:cs="Times New Roman"/>
          <w:sz w:val="20"/>
          <w:szCs w:val="20"/>
          <w:shd w:val="clear" w:color="auto" w:fill="FFFFFF"/>
        </w:rPr>
      </w:pPr>
      <w:r>
        <w:rPr>
          <w:rStyle w:val="Refdenotaderodap"/>
        </w:rPr>
        <w:footnoteRef/>
      </w:r>
      <w:r w:rsidR="00E41DF0" w:rsidRPr="00E41DF0">
        <w:rPr>
          <w:rFonts w:ascii="Times New Roman" w:hAnsi="Times New Roman" w:cs="Times New Roman"/>
          <w:sz w:val="20"/>
          <w:szCs w:val="20"/>
        </w:rPr>
        <w:t>IÁSCARA OARA DE JESUS (</w:t>
      </w:r>
      <w:hyperlink r:id="rId1" w:history="1">
        <w:r w:rsidR="00E41DF0" w:rsidRPr="00850F56">
          <w:rPr>
            <w:rStyle w:val="Hyperlink"/>
            <w:rFonts w:ascii="Times New Roman" w:hAnsi="Times New Roman" w:cs="Times New Roman"/>
            <w:color w:val="auto"/>
            <w:sz w:val="20"/>
            <w:szCs w:val="20"/>
          </w:rPr>
          <w:t>oarajesus@gmail.com</w:t>
        </w:r>
      </w:hyperlink>
      <w:r w:rsidR="00E41DF0" w:rsidRPr="00850F56">
        <w:rPr>
          <w:rFonts w:ascii="Times New Roman" w:hAnsi="Times New Roman" w:cs="Times New Roman"/>
          <w:sz w:val="20"/>
          <w:szCs w:val="20"/>
        </w:rPr>
        <w:t>)</w:t>
      </w:r>
      <w:r w:rsidR="00E41DF0" w:rsidRPr="00E41DF0">
        <w:rPr>
          <w:rFonts w:ascii="Times New Roman" w:hAnsi="Times New Roman" w:cs="Times New Roman"/>
          <w:sz w:val="20"/>
          <w:szCs w:val="20"/>
        </w:rPr>
        <w:t xml:space="preserve"> -</w:t>
      </w:r>
      <w:r w:rsidR="00E41DF0" w:rsidRPr="00E41DF0">
        <w:rPr>
          <w:rFonts w:ascii="Times New Roman" w:hAnsi="Times New Roman" w:cs="Times New Roman"/>
          <w:sz w:val="20"/>
          <w:szCs w:val="20"/>
          <w:lang w:eastAsia="pt-BR"/>
        </w:rPr>
        <w:t xml:space="preserve"> É </w:t>
      </w:r>
      <w:r w:rsidR="00E41DF0" w:rsidRPr="00E41DF0">
        <w:rPr>
          <w:rFonts w:ascii="Times New Roman" w:hAnsi="Times New Roman" w:cs="Times New Roman"/>
          <w:sz w:val="20"/>
          <w:szCs w:val="20"/>
        </w:rPr>
        <w:t xml:space="preserve">Doutoranda em Educação na linha de pesquisa Estudos Culturais em Educação (UNIVALI) Universidade do Vale do Itajaí, Mestre em Ciências da Linguagem (UNISUL) Universidade do Sul de Sana Catarina, especialista em Produção e Criação de Moda (UDESC) Universidade do Estado de Santa Catarina. Graduada em Direito (UNIVALI). </w:t>
      </w:r>
      <w:r w:rsidR="00E41DF0" w:rsidRPr="00E41DF0">
        <w:rPr>
          <w:rFonts w:ascii="Times New Roman" w:hAnsi="Times New Roman" w:cs="Times New Roman"/>
          <w:bCs/>
          <w:sz w:val="20"/>
          <w:szCs w:val="20"/>
        </w:rPr>
        <w:t>artista experimental e</w:t>
      </w:r>
      <w:r w:rsidR="00E41DF0" w:rsidRPr="00E41DF0">
        <w:rPr>
          <w:rFonts w:ascii="Times New Roman" w:hAnsi="Times New Roman" w:cs="Times New Roman"/>
          <w:sz w:val="20"/>
          <w:szCs w:val="20"/>
        </w:rPr>
        <w:t xml:space="preserve"> professora universitária. Atuou como professora/coordenadora em cursos técnicos, de graduação e Pós-Graduação no (SENAI-SC-Brasil) Serviço Nacional da Indústria, (UNIVALI)- Universidade do Vale do Itajaí. Tem experiência na área da Educação, Moda, Design, Artes e Desenvolvimento de Produto. Recebeu o Prêmio Rio Sul – IV Salão de Artes da Cidade de Itajaí/ Revelação Artística Itajaiense – e Indicação Especial – III Salão de Artes da Cidade de Itajaí (Fundação Cultural de Itajaí).</w:t>
      </w:r>
      <w:r w:rsidR="00E41DF0" w:rsidRPr="00E41DF0">
        <w:rPr>
          <w:rFonts w:ascii="Times New Roman" w:hAnsi="Times New Roman" w:cs="Times New Roman"/>
          <w:sz w:val="20"/>
          <w:szCs w:val="20"/>
          <w:lang w:eastAsia="pt-BR"/>
        </w:rPr>
        <w:t xml:space="preserve"> Temas de Interesse e pesquisa: Corpos, culturas, biopolíticas, pedagogias culturais, artes. Componente do </w:t>
      </w:r>
      <w:r w:rsidR="00E41DF0" w:rsidRPr="00E41DF0">
        <w:rPr>
          <w:rFonts w:ascii="Times New Roman" w:hAnsi="Times New Roman" w:cs="Times New Roman"/>
          <w:sz w:val="20"/>
          <w:szCs w:val="20"/>
          <w:shd w:val="clear" w:color="auto" w:fill="FFFFFF"/>
        </w:rPr>
        <w:t>Grupo de Estudos e Pesquisa em Estudos Culturais (GEPEC) (DGP/</w:t>
      </w:r>
      <w:r w:rsidR="00850F56" w:rsidRPr="00E41DF0">
        <w:rPr>
          <w:rFonts w:ascii="Times New Roman" w:hAnsi="Times New Roman" w:cs="Times New Roman"/>
          <w:sz w:val="20"/>
          <w:szCs w:val="20"/>
          <w:shd w:val="clear" w:color="auto" w:fill="FFFFFF"/>
        </w:rPr>
        <w:t>CNPQ)</w:t>
      </w:r>
      <w:r w:rsidR="00850F56">
        <w:rPr>
          <w:rFonts w:ascii="Times New Roman" w:hAnsi="Times New Roman" w:cs="Times New Roman"/>
          <w:sz w:val="20"/>
          <w:szCs w:val="20"/>
          <w:shd w:val="clear" w:color="auto" w:fill="FFFFFF"/>
        </w:rPr>
        <w:t xml:space="preserve"> /Professor orientador: Dr. George Saliba Manske</w:t>
      </w:r>
    </w:p>
    <w:p w14:paraId="76D0F9AD" w14:textId="5D4CD8CA" w:rsidR="00CA1ED1" w:rsidRDefault="00CA1ED1" w:rsidP="00CA1ED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F52C" w14:textId="6676B74C" w:rsidR="00D735C9" w:rsidRPr="00B32394" w:rsidRDefault="00DA625C"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5C9">
      <w:rPr>
        <w:rFonts w:ascii="Arial" w:hAnsi="Arial" w:cs="Arial"/>
        <w:b/>
        <w:sz w:val="28"/>
        <w:szCs w:val="28"/>
      </w:rPr>
      <w:t>X</w:t>
    </w:r>
    <w:r w:rsidR="00D735C9"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136C49"/>
    <w:rsid w:val="001831ED"/>
    <w:rsid w:val="001A769A"/>
    <w:rsid w:val="001F0959"/>
    <w:rsid w:val="002077D0"/>
    <w:rsid w:val="00241ECF"/>
    <w:rsid w:val="003327E4"/>
    <w:rsid w:val="003D2C9C"/>
    <w:rsid w:val="00464AB1"/>
    <w:rsid w:val="00480137"/>
    <w:rsid w:val="00525202"/>
    <w:rsid w:val="00554DD0"/>
    <w:rsid w:val="00565631"/>
    <w:rsid w:val="00576416"/>
    <w:rsid w:val="0058293A"/>
    <w:rsid w:val="005D3BF5"/>
    <w:rsid w:val="005E0084"/>
    <w:rsid w:val="00600017"/>
    <w:rsid w:val="00631240"/>
    <w:rsid w:val="006E1A4A"/>
    <w:rsid w:val="008361E4"/>
    <w:rsid w:val="00850F56"/>
    <w:rsid w:val="00884540"/>
    <w:rsid w:val="008B39BB"/>
    <w:rsid w:val="008C6FEB"/>
    <w:rsid w:val="009F115B"/>
    <w:rsid w:val="00A73070"/>
    <w:rsid w:val="00A87C14"/>
    <w:rsid w:val="00B70169"/>
    <w:rsid w:val="00B93CFD"/>
    <w:rsid w:val="00CA1ED1"/>
    <w:rsid w:val="00CE06C1"/>
    <w:rsid w:val="00CF024E"/>
    <w:rsid w:val="00D3489F"/>
    <w:rsid w:val="00D54568"/>
    <w:rsid w:val="00D5480D"/>
    <w:rsid w:val="00D735C9"/>
    <w:rsid w:val="00DA625C"/>
    <w:rsid w:val="00E41DF0"/>
    <w:rsid w:val="00E64BC1"/>
    <w:rsid w:val="00EE4FB0"/>
    <w:rsid w:val="00F214BA"/>
    <w:rsid w:val="00FE3885"/>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paragraph" w:styleId="Ttulo1">
    <w:name w:val="heading 1"/>
    <w:basedOn w:val="Normal"/>
    <w:next w:val="Normal"/>
    <w:link w:val="Ttulo1Char"/>
    <w:uiPriority w:val="9"/>
    <w:qFormat/>
    <w:rsid w:val="00480137"/>
    <w:pPr>
      <w:keepNext/>
      <w:keepLines/>
      <w:spacing w:before="120" w:after="120" w:line="360" w:lineRule="auto"/>
      <w:jc w:val="center"/>
      <w:outlineLvl w:val="0"/>
    </w:pPr>
    <w:rPr>
      <w:rFonts w:ascii="Times New Roman" w:eastAsiaTheme="majorEastAsia" w:hAnsi="Times New Roman" w:cstheme="majorBidi"/>
      <w:b/>
      <w:sz w:val="28"/>
      <w:szCs w:val="32"/>
      <w:lang w:val="en-US"/>
    </w:rPr>
  </w:style>
  <w:style w:type="paragraph" w:styleId="Ttulo2">
    <w:name w:val="heading 2"/>
    <w:basedOn w:val="Normal"/>
    <w:next w:val="Normal"/>
    <w:link w:val="Ttulo2Char"/>
    <w:uiPriority w:val="9"/>
    <w:unhideWhenUsed/>
    <w:qFormat/>
    <w:rsid w:val="00480137"/>
    <w:pPr>
      <w:keepNext/>
      <w:keepLines/>
      <w:spacing w:before="120" w:after="80" w:line="360" w:lineRule="auto"/>
      <w:jc w:val="both"/>
      <w:outlineLvl w:val="1"/>
    </w:pPr>
    <w:rPr>
      <w:rFonts w:ascii="Times New Roman" w:eastAsiaTheme="majorEastAsia" w:hAnsi="Times New Roman" w:cstheme="majorBidi"/>
      <w:b/>
      <w:sz w:val="24"/>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semiHidden/>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character" w:styleId="Hyperlink">
    <w:name w:val="Hyperlink"/>
    <w:basedOn w:val="Fontepargpadro"/>
    <w:uiPriority w:val="99"/>
    <w:unhideWhenUsed/>
    <w:rsid w:val="00E41DF0"/>
    <w:rPr>
      <w:color w:val="0000FF"/>
      <w:u w:val="single"/>
    </w:rPr>
  </w:style>
  <w:style w:type="paragraph" w:styleId="SemEspaamento">
    <w:name w:val="No Spacing"/>
    <w:uiPriority w:val="1"/>
    <w:qFormat/>
    <w:rsid w:val="00241ECF"/>
    <w:pPr>
      <w:spacing w:after="0" w:line="240" w:lineRule="auto"/>
      <w:ind w:firstLine="709"/>
    </w:pPr>
    <w:rPr>
      <w:rFonts w:ascii="Times New Roman" w:hAnsi="Times New Roman"/>
      <w:sz w:val="24"/>
    </w:rPr>
  </w:style>
  <w:style w:type="character" w:customStyle="1" w:styleId="Ttulo1Char">
    <w:name w:val="Título 1 Char"/>
    <w:basedOn w:val="Fontepargpadro"/>
    <w:link w:val="Ttulo1"/>
    <w:uiPriority w:val="9"/>
    <w:rsid w:val="00480137"/>
    <w:rPr>
      <w:rFonts w:ascii="Times New Roman" w:eastAsiaTheme="majorEastAsia" w:hAnsi="Times New Roman" w:cstheme="majorBidi"/>
      <w:b/>
      <w:sz w:val="28"/>
      <w:szCs w:val="32"/>
      <w:lang w:val="en-US"/>
    </w:rPr>
  </w:style>
  <w:style w:type="character" w:customStyle="1" w:styleId="Ttulo2Char">
    <w:name w:val="Título 2 Char"/>
    <w:basedOn w:val="Fontepargpadro"/>
    <w:link w:val="Ttulo2"/>
    <w:uiPriority w:val="9"/>
    <w:rsid w:val="00480137"/>
    <w:rPr>
      <w:rFonts w:ascii="Times New Roman" w:eastAsiaTheme="majorEastAsia" w:hAnsi="Times New Roman" w:cstheme="majorBidi"/>
      <w:b/>
      <w:sz w:val="24"/>
      <w:szCs w:val="26"/>
      <w:lang w:val="en-US"/>
    </w:rPr>
  </w:style>
  <w:style w:type="character" w:customStyle="1" w:styleId="referbiblilogChar">
    <w:name w:val="refer biblilog Char"/>
    <w:basedOn w:val="Fontepargpadro"/>
    <w:link w:val="referbiblilog"/>
    <w:locked/>
    <w:rsid w:val="00480137"/>
    <w:rPr>
      <w:rFonts w:ascii="Arial" w:eastAsia="Arial Unicode MS" w:hAnsi="Arial" w:cs="Times New Roman"/>
      <w:sz w:val="24"/>
      <w:szCs w:val="20"/>
      <w:lang w:eastAsia="pt-BR"/>
    </w:rPr>
  </w:style>
  <w:style w:type="paragraph" w:customStyle="1" w:styleId="referbiblilog">
    <w:name w:val="refer biblilog"/>
    <w:basedOn w:val="Normal"/>
    <w:link w:val="referbiblilogChar"/>
    <w:qFormat/>
    <w:rsid w:val="00480137"/>
    <w:pPr>
      <w:spacing w:after="0" w:line="240" w:lineRule="auto"/>
      <w:ind w:firstLine="851"/>
      <w:jc w:val="both"/>
    </w:pPr>
    <w:rPr>
      <w:rFonts w:ascii="Arial" w:eastAsia="Arial Unicode MS"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oarajes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71D2-C19D-443D-9304-909B67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1272</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Zeu Bhg</cp:lastModifiedBy>
  <cp:revision>11</cp:revision>
  <dcterms:created xsi:type="dcterms:W3CDTF">2022-06-22T00:23:00Z</dcterms:created>
  <dcterms:modified xsi:type="dcterms:W3CDTF">2022-06-29T17:50:00Z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