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Manejo de Transtornos Psiquiátricos em Pacientes Hospitalizados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Fabiana Soares Machado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br/>
        <w:br/>
        <w:t xml:space="preserve">Izabella de Sousa Borges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br/>
        <w:br/>
        <w:t xml:space="preserve">Mariana Nunes Soares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br/>
        <w:br/>
        <w:t xml:space="preserve">Hellen Bruna Ramos Santos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br/>
        <w:br/>
        <w:t xml:space="preserve">Pedro Barbosa Gomes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  <w:vertAlign w:val="superscript"/>
        </w:rPr>
        <w:t xml:space="preserve">5</w:t>
      </w: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9"/>
          <w:shd w:fill="auto" w:val="clear"/>
        </w:rPr>
      </w:pPr>
    </w:p>
    <w:p>
      <w:pPr>
        <w:spacing w:before="0" w:after="0" w:line="240"/>
        <w:ind w:right="0" w:left="11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7"/>
        <w:ind w:right="780" w:left="710" w:hanging="59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Verdana" w:hAnsi="Verdana" w:cs="Verdana" w:eastAsia="Verdana"/>
          <w:color w:val="auto"/>
          <w:spacing w:val="0"/>
          <w:position w:val="0"/>
          <w:sz w:val="1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manejo de transtornos psiquiátricos em pacientes hospitalizados é uma área complexa e multifacetada da medicina que envolve a avaliação, diagnóstico, tratamento e monitoramento contínuo de pacientes com condições psiquiátricas graves. Este resumo cobre os principais aspectos desse manejo, incluindo as abordagens terapêuticas, os desafios específicos enfrentados em um ambiente hospitalar e as estratégias para garantir um tratamento eficaz e seguro.A avaliação inicial é crucial e inclui uma análise detalhada do histórico médico e psiquiátrico do paciente, avaliação do estado mental, exames físicos e, se necessário, testes laboratoriais e de imagem. A identificação de comorbidades médicas é essencial, pois condições médicas subjacentes podem exacerbar ou imitar sintomas psiquiátricos.Equipe Multidisciplinar: Integração de psiquiatras, psicólogos, enfermeiros, terapeutas ocupacionais e assistentes sociais para um tratamento holístico.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 - 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Transtornos, Saúde Mental, Internação</w:t>
        <w:br/>
        <w:t xml:space="preserve">E-mail da autora: fabimachadomed@gmail.com</w:t>
        <w:br/>
        <w:br/>
        <w:br/>
        <w:t xml:space="preserve">Uniatenas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fabimachadomed@gmail.com</w:t>
        <w:br/>
        <w:br/>
        <w:t xml:space="preserve">UniAtenas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izabella_sg@hotmail.com</w:t>
        <w:br/>
        <w:br/>
        <w:t xml:space="preserve"> Uniatenas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marianans188@gmail.com</w:t>
        <w:br/>
        <w:br/>
        <w:t xml:space="preserve">Centro Universitário Estácio Ribeirão Preto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hellenbrunaufu@gmail.com</w:t>
        <w:br/>
        <w:br/>
        <w:t xml:space="preserve">Uniatenas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bg4medicina@gmail.com</w:t>
      </w:r>
    </w:p>
    <w:p>
      <w:pPr>
        <w:spacing w:before="0" w:after="0" w:line="247"/>
        <w:ind w:right="780" w:left="710" w:hanging="59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780" w:left="710" w:hanging="59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780" w:left="710" w:hanging="59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11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Introdução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7"/>
        <w:ind w:right="286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 transtornos mentais são comuns entre pacientes que buscam serviços de atendimento médico ambulatorial. Uma avaliação do grau e do padrão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desses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contexto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muito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importante,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proporcionando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necessária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elas(1).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Estudos realizados pela OMS em 14 países(2), demonstraram claramente que uma proporção substancial (cerca de 24%) de todos os pacientes em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contextos de atenção primária apresentava transtorno mental. Os diagnósticos mais comuns foram depressão, ansiedade e transtornos do uso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substâncias. Estes transtornos estiveram presentes isoladamente ou conjuntamente com um ou mais transtornos físicos. Não foram encontradas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diferenças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países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desenvolvidos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 desenvolvimento.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5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 transtornos de ansiedade e depressão são mais freqüentes nos pacientes com doenças físicas crônicas. A associação entre doenças físicas 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podem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trazer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dificuldades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diagnósticas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adicionais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reconhecimento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desta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associação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pode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trazer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prejuízos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em múltiplas áreas da vida dos pacientes e prescrição inadequada de medicamentos, como os benzodiazepínicos(3). Bridges e Golsberg(4)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descreveram 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clássico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 transtornos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principal,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83%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apresentam com queixas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17% com queixas psicológicas. Os médicos de atendimento primário reconhecem de forma correta os transtornos mentais em apenas 50% 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queixas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físicas.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Evans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col.(5),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 doença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elevada,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muitas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vezes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excedendo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50%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 pacientes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câncer,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Parkinson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esclerose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múltipla.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salientar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exacerbar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consideravelmente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sofrimento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acompanha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 graves, a depressão aumenta a morbimortalidade das mesmas. A depressão em pacientes com doenças físicas também representa grande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financeiro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sociedade,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econômicos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associado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pacientes(6).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 transtornos do humor são duas a três vezes mais freqüentes em indivíduos com doenças físicas do que na população geral(7). De acordo 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Raison e col.(8), diversos fatores afetam esta prevalência. Os mais óbvios incluem: 1) diferenças na depressão entre estados de doença e seus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; 2) diferen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ças na gravidade de doença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; e 3) varia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ções nos critérios usados para definir depressão. Algumas doenças médicas que têm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sido descritas como estando associadas a taxas elevadas de depressão incluem a doença arterial coronariana, acidente vascular cerebral, doenças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neurodegenerativas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auto­imunes(5,9).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Diversos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têm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demonstrado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frequência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humor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aumentam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piora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taxas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prevalência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aumentando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4,8%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9,2%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ambulatoriais,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22%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33%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hospitalizados(10,11).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7"/>
        <w:ind w:right="288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Brasil(12) afirma que no contexto de doença clínica, o médico tem de diferenciar sintomas de depressão maior não só daqueles transtornos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ajustamento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reação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patológica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doença,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daqueles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manifestações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clínica.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dificuldade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sentimento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tristeza,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associado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grave,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porque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somáticos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anorexia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energia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clínica.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1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verdade, dois extremos podem conduzir a erros no raciocínio diagnóstico: por um lado, pacientes deprimidos não são diagnosticados devido à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crença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depressivos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ameaçam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alteram drasticamente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alguém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;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lado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extremo,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óstico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relizado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físicos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unicamente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base(13,14).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5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Botega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Silveira(15),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trazer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combinação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(depressão,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preocupações,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fadiga,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insônia) freqüentemente acompanhados de várias queixas corporais (dores, tontura, zumbido, fraqueza) que podem dificultar o raciocínio clínico. O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médico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pode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movido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preconceitos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relação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detectar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específico.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6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Linden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col.(16)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utilizaram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"Problemas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Psicológicos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Saúde"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(PPGHC),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multicêntrico(2),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coordenado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pela Organização Mundial da Saúde em 15 centros de 14 países, incluindo a cidade do Rio de Janeiro. Neste estudo foi encontrado que os médicos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generalistas prescreveram uma ampla diversidade de medicamentos psicotrópicos, no tratamento de transtornos psicológicos. Os ansiolíticos,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hipnóticos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antidepressivos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classes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comumente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prescritas,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representando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cerca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20%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total.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Antipsicóticos,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analgésicos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ervas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5%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10%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prescrições.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Ainda em relação a este estudo(16), as taxas de prescrição para diferentes diagnósticos de transtornos mentais da CID­10 (1993) variaram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19,3%,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recorrente,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55,0%,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agorafobia.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7,7% dos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diagnosticados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apresentando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receberam antidepressivos, enquanto 34,1% receberam tranqüilizantes. Entre aqueles diagnosticados como apresentando depressão, 31,9% 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25,5%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receberam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antidepressivos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ansiolíticos,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respectivamente,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mostrando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elevada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prescrição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ansiolíticos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deprimidos.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observado que muitas drogas prescritas não tinham eficácia clínica comprovada, como medicamentos à base de ervas e analgésicos (35,6% das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prescrições)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tranqüilizantes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diversos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(41,3%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prescrições),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denotando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importante,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suficiente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adequado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drogas.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285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 estudo foi realizado com pacientes com freqüentaram o Ambulatório de Clínica Médica do Hospital Universitário Severino Sombra (Vassouras ­</w:t>
      </w:r>
      <w:r>
        <w:rPr>
          <w:rFonts w:ascii="Arial" w:hAnsi="Arial" w:cs="Arial" w:eastAsia="Arial"/>
          <w:color w:val="auto"/>
          <w:spacing w:val="-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RJ),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2005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2006.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nosso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freqüência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nestes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object w:dxaOrig="3164" w:dyaOrig="3936">
          <v:rect xmlns:o="urn:schemas-microsoft-com:office:office" xmlns:v="urn:schemas-microsoft-com:vml" id="rectole0000000000" style="width:158.200000pt;height:19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1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Metodologia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2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 a realização da revisão bibliográfica desta pesquisa foi utilizada a base de dados do sistema MEDLINE, aplicando as seguintes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palavras­chaves: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"general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health",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"general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practice",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"outpatient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clinics",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"anxiety",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"depression"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"mental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disorder".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finalidade de ampliar a nossa pesquisa, consultamos, ainda dentro do sistema MEDLINE, artigos correlatos àqueles encontrados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inicialmente.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posse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artigos,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bibliográficas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consultadas.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 entrevistados 103 pacientes, ao acaso, do Ambulatório de Clínica Médica do Hospital Universitário Severino Sombra. Foram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incluídos pacientes dos sexos masculino e feminino, entre 18 e 70 anos, que estavam em atendimento ou acompanhamento 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Ambulatório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Arial" w:hAnsi="Arial" w:cs="Arial" w:eastAsia="Arial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queixa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sintoma.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incluídos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pudessem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próprios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perguntas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formuladas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(pacientes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nível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consciência ou pacientes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não pudessem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falar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" w:hAnsi="Arial" w:cs="Arial" w:eastAsia="Arial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incluídos).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concordância do paciente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 pesquisa,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aplicação do questionário pelos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pesquisadores.</w:t>
      </w:r>
      <w:r>
        <w:rPr>
          <w:rFonts w:ascii="Arial" w:hAnsi="Arial" w:cs="Arial" w:eastAsia="Arial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assinaram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Consentimento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voluntariamente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(consentimento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livre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esclarecido).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Comitê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Ética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Severino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Sombra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obedeceu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éticos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contidos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Helsinki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World</w:t>
      </w:r>
      <w:r>
        <w:rPr>
          <w:rFonts w:ascii="Arial" w:hAnsi="Arial" w:cs="Arial" w:eastAsia="Arial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Medical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Association.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 pacientes que concordaram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 estudo foram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entrevistados através de um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questionário diagnóstico estruturado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(Mini International Neuropsychiatric Interview) (Sheehan e col.(17)), que explora, de forma padronizada, cada um dos critérios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diagnósticos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americana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DSM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IV(18).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características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sociodemográficas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entrevista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padronizada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(questionário).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2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constituída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103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pacientes,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50,5%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(n=52)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masculino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49,5%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(n=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51)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feminino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(Tabela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44,4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(±16,6)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anos.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encontrado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39,8%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(n=41)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apresentavam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psiquiátrico.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esteve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30%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(n=31).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" w:hAnsi="Arial" w:cs="Arial" w:eastAsia="Arial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encontrados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(21,4%,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n=22),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generalizada</w:t>
      </w:r>
      <w:r>
        <w:rPr>
          <w:rFonts w:ascii="Arial" w:hAnsi="Arial" w:cs="Arial" w:eastAsia="Arial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­</w:t>
      </w:r>
      <w:r>
        <w:rPr>
          <w:rFonts w:ascii="Arial" w:hAnsi="Arial" w:cs="Arial" w:eastAsia="Arial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TAG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(25%,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n=26),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agorafobia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(7,8%,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n=8)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Arial" w:hAnsi="Arial" w:cs="Arial" w:eastAsia="Arial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dependência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álcool</w:t>
      </w:r>
      <w:r>
        <w:rPr>
          <w:rFonts w:ascii="Arial" w:hAnsi="Arial" w:cs="Arial" w:eastAsia="Arial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(2,9%,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n=3)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(Tabela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2).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apresentavam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algum diagnóstico psiquiátrico (n=41), 46,3% (n=19) apresentavam pelo menos uma comorbidade, sendo depressão e TAG a mais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comum,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representando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68,4%</w:t>
      </w:r>
      <w:r>
        <w:rPr>
          <w:rFonts w:ascii="Arial" w:hAnsi="Arial" w:cs="Arial" w:eastAsia="Arial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(n=13)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destes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casos.</w:t>
      </w:r>
    </w:p>
    <w:p>
      <w:pPr>
        <w:spacing w:before="0" w:after="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00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object w:dxaOrig="3087" w:dyaOrig="2836">
          <v:rect xmlns:o="urn:schemas-microsoft-com:office:office" xmlns:v="urn:schemas-microsoft-com:vml" id="rectole0000000001" style="width:154.350000pt;height:141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1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Discussão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 encontrada uma elevada morbidade psiquiátrica na amostra estudada. A freqüência de depressão (21,4%) e transtornos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(30,1%)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encontrado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geral(19).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ambulatórios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universitários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especializados em asma, encontramos uma alta prevalência de depressão maior (24%), TAG (20,9%) e transtornos do espectro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pânico/agorafobia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(17,7%)(20).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Nossos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coincidem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anteriores(21)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mostram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psiquiátrica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procuram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primários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0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ambulatorial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tema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necessita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explorado.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questões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discutidas,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duas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parecem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importantes: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muitos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 não solicitam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 e,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segundo,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 que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procuram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tratamento,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maioria não procura serviços de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atendimento 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mental.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Regier(22)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observou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torno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20%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32</w:t>
      </w:r>
      <w:r>
        <w:rPr>
          <w:rFonts w:ascii="Arial" w:hAnsi="Arial" w:cs="Arial" w:eastAsia="Arial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milhões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não obtêm nenhum tipo de tratamento, enquanto 60% procuram tratamento em serviços de atendimento primário à saúde e 20%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procuram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mental.</w:t>
      </w:r>
    </w:p>
    <w:p>
      <w:pPr>
        <w:spacing w:before="4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 que freqüentam centros de atendimento médico freqüentemente descrevem múltiplos sintomas físicos. Katon e col.(23)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revisaram 31 estudos envolvendo 16.900 pacientes com doenças clínicas, como diabetes, doença arterial coronariana, insuficiência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cardíaca congestiva, asma e osteoartrite. Encontraram que pacientes com doenças médicas crônicas e transtornos comórbidos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 e ansiedade relataram mais significativamente queixas somáticas, quando comparados àqueles que apresentam apenas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 médicas. De acordo com Brasil(12), não mais do que a metade, freqüentemente apenas um terço dos casos de pressão é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diagnosticado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clínicos.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Destes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diagnosticados,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10%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30%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recebem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antidepressivo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adequado.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conduzido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OMS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diferentes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países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("Problemas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Psicológicos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Saúde")(16,24)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</w:p>
    <w:p>
      <w:pPr>
        <w:spacing w:before="2" w:after="0" w:line="242"/>
        <w:ind w:right="292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26.422 indivíduos de 14 países encontrou uma a prevalência de depressão maior na prática clínica de 13,7%. Apesar desta alta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prevalência,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54%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reconhecidos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"casos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psiquiátricos"</w:t>
      </w:r>
      <w:r>
        <w:rPr>
          <w:rFonts w:ascii="Arial" w:hAnsi="Arial" w:cs="Arial" w:eastAsia="Arial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generalista,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15% receberam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diagnosticados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corretamente,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43% tiveram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prescrição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medicamento antidepressivo. De acordo com Nett e col.(25), a falta de atenção e estigma relacionados aos transtornos mentais,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generalistas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diagnosticar</w:t>
      </w:r>
      <w:r>
        <w:rPr>
          <w:rFonts w:ascii="Arial" w:hAnsi="Arial" w:cs="Arial" w:eastAsia="Arial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tratar</w:t>
      </w:r>
      <w:r>
        <w:rPr>
          <w:rFonts w:ascii="Arial" w:hAnsi="Arial" w:cs="Arial" w:eastAsia="Arial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Arial" w:hAnsi="Arial" w:cs="Arial" w:eastAsia="Arial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sofrida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estes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contribuir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problema.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extremamente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importante.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Balestrieri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col.(26)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avaliaram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1.156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indivíduos,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65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84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idade,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atendidos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primário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Itália.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Destes,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748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apresentavam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psiquiátrico.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depressivo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esteve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36,5%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casos.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encontrados transtornos de ansiedade (18,2%), transtornos somatoformes (8,1%) e abuso de álcool (1,7%). Um outro achado deste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elevada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crônico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benzodiazepínicos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categorias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psiquiátricos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(cerca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90%</w:t>
      </w:r>
      <w:r>
        <w:rPr>
          <w:rFonts w:ascii="Arial" w:hAnsi="Arial" w:cs="Arial" w:eastAsia="Arial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grupo).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Kroenke e col.(27), também, encontraram elevada prevalência de transtornos de ansiedade em pacientes de centros primários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atendimento.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965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avaliados,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19,5%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apresentavam</w:t>
      </w:r>
      <w:r>
        <w:rPr>
          <w:rFonts w:ascii="Arial" w:hAnsi="Arial" w:cs="Arial" w:eastAsia="Arial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ansiedade: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8,6%</w:t>
      </w:r>
      <w:r>
        <w:rPr>
          <w:rFonts w:ascii="Arial" w:hAnsi="Arial" w:cs="Arial" w:eastAsia="Arial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tinham</w:t>
      </w:r>
      <w:r>
        <w:rPr>
          <w:rFonts w:ascii="Arial" w:hAnsi="Arial" w:cs="Arial" w:eastAsia="Arial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estresse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pós­traumático,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7,6% TAG,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6,8% transtorno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pânico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6,2% transtorno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social.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" w:hAnsi="Arial" w:cs="Arial" w:eastAsia="Arial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associado prejuízo importante no funcionamento e incapacidade, que aumentava quanto maior a comorbidade destes transtornos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ansiedade. Em nosso estudo detectamos que 30% dos pacientes da amostra apresentavam transtornos de ansiedade, o que de fato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aponta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 transtornos de ansiedade e depressão são freqüentes em serviços de atendimento médico ambulatorial. A ansiedade é um 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comuns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consultórios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médicos.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Apresenta­se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reação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certas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Arial" w:hAnsi="Arial" w:cs="Arial" w:eastAsia="Arial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vida,</w:t>
      </w:r>
      <w:r>
        <w:rPr>
          <w:rFonts w:ascii="Arial" w:hAnsi="Arial" w:cs="Arial" w:eastAsia="Arial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próprio adoecer, mas também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sua forma crônica, chamada de ansiedade generalizada(28). Apesar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disso, a ansiedade é, ainda,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subdiagnosticada,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recebendo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médicos(29).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1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amplamente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documentado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problemas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psicológicos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comunidade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são mais tratados por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clínicos gerais do que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psiquiatras(30).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Muitas pesquisas regionais mostram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 drogas psicotrópicas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têm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destaque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manejo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centros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primários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prescrições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psicotrópicas,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incluindo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benzodiazepínicos(31).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2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 acordo com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Zitman e Couvée(32), uma substancial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proporção de usuários crônicos de benzodiazepínicos sofrem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 depressão.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 esses pacientes, BZDs não são considerados um tratamento adequado. O valor terapêutico do uso crônico destas drogas é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questionável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 os BZDs não são reconhecidos como antidepressivos efetivos. Usuários crônicos de BZDs devem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avaliados 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relação à existência de transtornos mentais e, desta forma, reavaliar­se o tratamento. A depressão nestes pacientes em geral é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acompanhada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elevados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estudo 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Ormel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col.(33) ilustra bem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aspecto.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1.994 pacientes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avaliados, apenas 47% dos que apresentavam transtornos de ansiedade ou depressão, tiveram estes transtornos reconhecidos por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gerais.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reconhecidos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apresentaram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episódios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curtos</w:t>
      </w:r>
      <w:r>
        <w:rPr>
          <w:rFonts w:ascii="Arial" w:hAnsi="Arial" w:cs="Arial" w:eastAsia="Arial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(de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ansiedade)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tiveram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probabilidade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intervenções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mental.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92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impacto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extremamente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variável.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aumenta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fardo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doença,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prejudicando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vida.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implicações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amplas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clínica,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Arial" w:hAnsi="Arial" w:cs="Arial" w:eastAsia="Arial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ligada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prognóstico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desfecho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negativo.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2"/>
        <w:ind w:right="287" w:left="11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Pesquisas que forneçam dados que auxiliem o clínico geral no diagnóstico precoce e tratamento de transtornos de ansiedade 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Arial" w:hAnsi="Arial" w:cs="Arial" w:eastAsia="Arial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clínicas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importantes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ponto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pública.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fundamental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 manejo clínico dos transtornos de ansiedade e depressão pelos médicos responsáveis pelo atendimento primário à saúde. 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treinamento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importância.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identificação e tratamento destes transtornos nos pacientes com doenças médicas podem contribuir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 melhoria do seu nível</w:t>
      </w:r>
      <w:r>
        <w:rPr>
          <w:rFonts w:ascii="Arial" w:hAnsi="Arial" w:cs="Arial" w:eastAsia="Arial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vida.</w:t>
      </w: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90" w:after="0" w:line="240"/>
        <w:ind w:right="0" w:left="11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3"/>
          <w:shd w:fill="auto" w:val="clear"/>
        </w:rPr>
        <w:t xml:space="preserve">Bibliografia</w:t>
      </w:r>
    </w:p>
    <w:p>
      <w:pPr>
        <w:numPr>
          <w:ilvl w:val="0"/>
          <w:numId w:val="80"/>
        </w:numPr>
        <w:tabs>
          <w:tab w:val="left" w:pos="310" w:leader="none"/>
        </w:tabs>
        <w:spacing w:before="62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Saúde Mental: Nova Concepção, Nova Esperança. Relatório sobre a saúde no mundo. Organização Pan­Americana de Saúde e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Organização</w:t>
      </w:r>
      <w:r>
        <w:rPr>
          <w:rFonts w:ascii="Verdana" w:hAnsi="Verdana" w:cs="Verdana" w:eastAsia="Verdana"/>
          <w:color w:val="auto"/>
          <w:spacing w:val="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Mundial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2001.</w:t>
      </w:r>
    </w:p>
    <w:p>
      <w:pPr>
        <w:numPr>
          <w:ilvl w:val="0"/>
          <w:numId w:val="80"/>
        </w:numPr>
        <w:tabs>
          <w:tab w:val="left" w:pos="302" w:leader="none"/>
        </w:tabs>
        <w:spacing w:before="2" w:after="0" w:line="242"/>
        <w:ind w:right="288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Sartorius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N,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Ustun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TB,</w:t>
      </w:r>
      <w:r>
        <w:rPr>
          <w:rFonts w:ascii="Verdana" w:hAnsi="Verdana" w:cs="Verdana" w:eastAsia="Verdana"/>
          <w:color w:val="auto"/>
          <w:spacing w:val="2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Costa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Silva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JA,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Goldberg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D,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Lecrubier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Y,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Ormel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J.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study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psychological</w:t>
      </w:r>
      <w:r>
        <w:rPr>
          <w:rFonts w:ascii="Verdana" w:hAnsi="Verdana" w:cs="Verdana" w:eastAsia="Verdana"/>
          <w:color w:val="auto"/>
          <w:spacing w:val="2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problems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primary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care.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Preliminary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report from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World Health Organization Collaborative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Project on "Psychological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Problems in General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Health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Care".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Arch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50: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819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­824.</w:t>
      </w:r>
    </w:p>
    <w:p>
      <w:pPr>
        <w:numPr>
          <w:ilvl w:val="0"/>
          <w:numId w:val="80"/>
        </w:numPr>
        <w:tabs>
          <w:tab w:val="left" w:pos="292" w:leader="none"/>
        </w:tabs>
        <w:spacing w:before="2" w:after="0" w:line="242"/>
        <w:ind w:right="294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Fulop G , Strain JJ, Vita J, Lyons JS, Hammer JS. Impact of psychiatric comorbidity on length of hospital stay for medical/surgical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patients: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preliminary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report.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Am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1987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144(7):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878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­82.</w:t>
      </w:r>
    </w:p>
    <w:p>
      <w:pPr>
        <w:numPr>
          <w:ilvl w:val="0"/>
          <w:numId w:val="80"/>
        </w:numPr>
        <w:tabs>
          <w:tab w:val="left" w:pos="292" w:leader="none"/>
        </w:tabs>
        <w:spacing w:before="1" w:after="0" w:line="242"/>
        <w:ind w:right="291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Bridges KW, Goldberg DP. Somatic presentation of DSM­III psychiatric disorders in primary care. J Psychosomatic Res 1985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 29: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563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­569.</w:t>
      </w:r>
    </w:p>
    <w:p>
      <w:pPr>
        <w:numPr>
          <w:ilvl w:val="0"/>
          <w:numId w:val="80"/>
        </w:numPr>
        <w:tabs>
          <w:tab w:val="left" w:pos="312" w:leader="none"/>
        </w:tabs>
        <w:spacing w:before="2" w:after="0" w:line="242"/>
        <w:ind w:right="294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Evans DL, Staab JP, Petitto JM, Morrison MF, Szuba MP, Ward HE, et al. Depression in the medical setting: biopsychological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interactions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treatment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considerations.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Clin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1999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60(Suppl.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4):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40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­55.</w:t>
      </w:r>
    </w:p>
    <w:p>
      <w:pPr>
        <w:numPr>
          <w:ilvl w:val="0"/>
          <w:numId w:val="80"/>
        </w:numPr>
        <w:tabs>
          <w:tab w:val="left" w:pos="302" w:leader="none"/>
        </w:tabs>
        <w:spacing w:before="1" w:after="0" w:line="242"/>
        <w:ind w:right="293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Simon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GE,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Vonkorff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Barlow</w:t>
      </w:r>
      <w:r>
        <w:rPr>
          <w:rFonts w:ascii="Verdana" w:hAnsi="Verdana" w:cs="Verdana" w:eastAsia="Verdana"/>
          <w:color w:val="auto"/>
          <w:spacing w:val="3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W.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Health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</w:t>
      </w:r>
      <w:r>
        <w:rPr>
          <w:rFonts w:ascii="Verdana" w:hAnsi="Verdana" w:cs="Verdana" w:eastAsia="Verdana"/>
          <w:color w:val="auto"/>
          <w:spacing w:val="2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costs</w:t>
      </w:r>
      <w:r>
        <w:rPr>
          <w:rFonts w:ascii="Verdana" w:hAnsi="Verdana" w:cs="Verdana" w:eastAsia="Verdana"/>
          <w:color w:val="auto"/>
          <w:spacing w:val="2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primary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</w:t>
      </w:r>
      <w:r>
        <w:rPr>
          <w:rFonts w:ascii="Verdana" w:hAnsi="Verdana" w:cs="Verdana" w:eastAsia="Verdana"/>
          <w:color w:val="auto"/>
          <w:spacing w:val="2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patients</w:t>
      </w:r>
      <w:r>
        <w:rPr>
          <w:rFonts w:ascii="Verdana" w:hAnsi="Verdana" w:cs="Verdana" w:eastAsia="Verdana"/>
          <w:color w:val="auto"/>
          <w:spacing w:val="2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recognized</w:t>
      </w:r>
      <w:r>
        <w:rPr>
          <w:rFonts w:ascii="Verdana" w:hAnsi="Verdana" w:cs="Verdana" w:eastAsia="Verdana"/>
          <w:color w:val="auto"/>
          <w:spacing w:val="2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depression.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Arch</w:t>
      </w:r>
      <w:r>
        <w:rPr>
          <w:rFonts w:ascii="Verdana" w:hAnsi="Verdana" w:cs="Verdana" w:eastAsia="Verdana"/>
          <w:color w:val="auto"/>
          <w:spacing w:val="2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</w:t>
      </w:r>
      <w:r>
        <w:rPr>
          <w:rFonts w:ascii="Verdana" w:hAnsi="Verdana" w:cs="Verdana" w:eastAsia="Verdana"/>
          <w:color w:val="auto"/>
          <w:spacing w:val="2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1995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52(10):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850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­856.</w:t>
      </w:r>
    </w:p>
    <w:p>
      <w:pPr>
        <w:numPr>
          <w:ilvl w:val="0"/>
          <w:numId w:val="80"/>
        </w:numPr>
        <w:tabs>
          <w:tab w:val="left" w:pos="292" w:leader="none"/>
        </w:tabs>
        <w:spacing w:before="2" w:after="0" w:line="242"/>
        <w:ind w:right="289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Patten SB. Long­term medical conditions and major depression in a canadian population study at waves 1 and 2. J Affect Disord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2001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63(1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­3):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35­41.</w:t>
      </w:r>
    </w:p>
    <w:p>
      <w:pPr>
        <w:numPr>
          <w:ilvl w:val="0"/>
          <w:numId w:val="80"/>
        </w:numPr>
        <w:tabs>
          <w:tab w:val="left" w:pos="333" w:leader="none"/>
        </w:tabs>
        <w:spacing w:before="1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Raison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CL,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Purselle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DC,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Capuron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Miller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AH.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depressão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físicas.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In: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Licinio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J,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Wong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organizadores.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Biologia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Depressão.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Porto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Alegre: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Artmed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2005.</w:t>
      </w:r>
    </w:p>
    <w:p>
      <w:pPr>
        <w:numPr>
          <w:ilvl w:val="0"/>
          <w:numId w:val="80"/>
        </w:numPr>
        <w:tabs>
          <w:tab w:val="left" w:pos="292" w:leader="none"/>
        </w:tabs>
        <w:spacing w:before="1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Krishnan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KR,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Delong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Kraemer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H,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Carney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R,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Spiegel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D,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Gordon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al..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Comorbidity</w:t>
      </w:r>
      <w:r>
        <w:rPr>
          <w:rFonts w:ascii="Verdana" w:hAnsi="Verdana" w:cs="Verdana" w:eastAsia="Verdana"/>
          <w:color w:val="auto"/>
          <w:spacing w:val="1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depression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other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medical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diseases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elderly.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Biol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2002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52(6):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559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­588.</w:t>
      </w:r>
    </w:p>
    <w:p>
      <w:pPr>
        <w:numPr>
          <w:ilvl w:val="0"/>
          <w:numId w:val="80"/>
        </w:numPr>
        <w:tabs>
          <w:tab w:val="left" w:pos="383" w:leader="none"/>
        </w:tabs>
        <w:spacing w:before="2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Vonammon CS.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 prevalence of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emotional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and cognitive dysfunction in a general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medical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poplations: using the MMSE,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GHQ,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BDI.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Hosp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1983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5(1):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15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­24.</w:t>
      </w:r>
    </w:p>
    <w:p>
      <w:pPr>
        <w:numPr>
          <w:ilvl w:val="0"/>
          <w:numId w:val="80"/>
        </w:numPr>
        <w:tabs>
          <w:tab w:val="left" w:pos="373" w:leader="none"/>
        </w:tabs>
        <w:spacing w:before="1" w:after="0" w:line="240"/>
        <w:ind w:right="0" w:left="372" w:hanging="262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Katon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W,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Sullivan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MD.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Depression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chronic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medical</w:t>
      </w:r>
      <w:r>
        <w:rPr>
          <w:rFonts w:ascii="Verdana" w:hAnsi="Verdana" w:cs="Verdana" w:eastAsia="Verdana"/>
          <w:color w:val="auto"/>
          <w:spacing w:val="1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illness.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Clin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1990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51(Suppl.):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­11.</w:t>
      </w:r>
    </w:p>
    <w:p>
      <w:pPr>
        <w:numPr>
          <w:ilvl w:val="0"/>
          <w:numId w:val="80"/>
        </w:numPr>
        <w:tabs>
          <w:tab w:val="left" w:pos="383" w:leader="none"/>
        </w:tabs>
        <w:spacing w:before="3" w:after="0" w:line="242"/>
        <w:ind w:right="291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Brasil MAA. Depressão e doença clínica. In: Brasil MAA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 Botega NJ; Hetem LA, organizadores. PEC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 Programa de Educação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Continuada.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Rio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Janeiro: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Guanabara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Koogan: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ABP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2006.</w:t>
      </w:r>
    </w:p>
    <w:p>
      <w:pPr>
        <w:numPr>
          <w:ilvl w:val="0"/>
          <w:numId w:val="80"/>
        </w:numPr>
        <w:tabs>
          <w:tab w:val="left" w:pos="373" w:leader="none"/>
        </w:tabs>
        <w:spacing w:before="1" w:after="0" w:line="240"/>
        <w:ind w:right="0" w:left="372" w:hanging="262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Siverstone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PH.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Prevalence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psychiatric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disorders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medical</w:t>
      </w:r>
      <w:r>
        <w:rPr>
          <w:rFonts w:ascii="Verdana" w:hAnsi="Verdana" w:cs="Verdana" w:eastAsia="Verdana"/>
          <w:color w:val="auto"/>
          <w:spacing w:val="1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inpatients.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Nerv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Ment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1996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84: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43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­51.</w:t>
      </w:r>
    </w:p>
    <w:p>
      <w:pPr>
        <w:numPr>
          <w:ilvl w:val="0"/>
          <w:numId w:val="80"/>
        </w:numPr>
        <w:tabs>
          <w:tab w:val="left" w:pos="373" w:leader="none"/>
        </w:tabs>
        <w:spacing w:before="2" w:after="0" w:line="242"/>
        <w:ind w:right="293" w:left="11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Boland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RJ,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Lamdan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RM,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Ramchandani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D,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McCartney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JR.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Overdiagnosis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depression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hospital.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Hosp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1996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18:28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­35.</w:t>
      </w:r>
    </w:p>
    <w:p>
      <w:pPr>
        <w:numPr>
          <w:ilvl w:val="0"/>
          <w:numId w:val="80"/>
        </w:numPr>
        <w:tabs>
          <w:tab w:val="left" w:pos="373" w:leader="none"/>
        </w:tabs>
        <w:spacing w:before="2" w:after="0" w:line="242"/>
        <w:ind w:right="292" w:left="11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Botega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NJ,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Silveira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GM.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practitioners'</w:t>
      </w:r>
      <w:r>
        <w:rPr>
          <w:rFonts w:ascii="Verdana" w:hAnsi="Verdana" w:cs="Verdana" w:eastAsia="Verdana"/>
          <w:color w:val="auto"/>
          <w:spacing w:val="1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attitudes</w:t>
      </w:r>
      <w:r>
        <w:rPr>
          <w:rFonts w:ascii="Verdana" w:hAnsi="Verdana" w:cs="Verdana" w:eastAsia="Verdana"/>
          <w:color w:val="auto"/>
          <w:spacing w:val="2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towards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depression:</w:t>
      </w:r>
      <w:r>
        <w:rPr>
          <w:rFonts w:ascii="Verdana" w:hAnsi="Verdana" w:cs="Verdana" w:eastAsia="Verdana"/>
          <w:color w:val="auto"/>
          <w:spacing w:val="1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study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primary</w:t>
      </w:r>
      <w:r>
        <w:rPr>
          <w:rFonts w:ascii="Verdana" w:hAnsi="Verdana" w:cs="Verdana" w:eastAsia="Verdana"/>
          <w:color w:val="auto"/>
          <w:spacing w:val="2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</w:t>
      </w:r>
      <w:r>
        <w:rPr>
          <w:rFonts w:ascii="Verdana" w:hAnsi="Verdana" w:cs="Verdana" w:eastAsia="Verdana"/>
          <w:color w:val="auto"/>
          <w:spacing w:val="2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setting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Brazil.</w:t>
      </w:r>
      <w:r>
        <w:rPr>
          <w:rFonts w:ascii="Verdana" w:hAnsi="Verdana" w:cs="Verdana" w:eastAsia="Verdana"/>
          <w:color w:val="auto"/>
          <w:spacing w:val="2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1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Soc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1996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42: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230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­237.</w:t>
      </w:r>
    </w:p>
    <w:p>
      <w:pPr>
        <w:numPr>
          <w:ilvl w:val="0"/>
          <w:numId w:val="80"/>
        </w:numPr>
        <w:tabs>
          <w:tab w:val="left" w:pos="383" w:leader="none"/>
        </w:tabs>
        <w:spacing w:before="1" w:after="0" w:line="242"/>
        <w:ind w:right="292" w:left="11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Linden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Lecrubier</w:t>
      </w:r>
      <w:r>
        <w:rPr>
          <w:rFonts w:ascii="Verdana" w:hAnsi="Verdana" w:cs="Verdana" w:eastAsia="Verdana"/>
          <w:color w:val="auto"/>
          <w:spacing w:val="3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Y,</w:t>
      </w:r>
      <w:r>
        <w:rPr>
          <w:rFonts w:ascii="Verdana" w:hAnsi="Verdana" w:cs="Verdana" w:eastAsia="Verdana"/>
          <w:color w:val="auto"/>
          <w:spacing w:val="3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Bellantuono</w:t>
      </w:r>
      <w:r>
        <w:rPr>
          <w:rFonts w:ascii="Verdana" w:hAnsi="Verdana" w:cs="Verdana" w:eastAsia="Verdana"/>
          <w:color w:val="auto"/>
          <w:spacing w:val="2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C,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Benkert</w:t>
      </w:r>
      <w:r>
        <w:rPr>
          <w:rFonts w:ascii="Verdana" w:hAnsi="Verdana" w:cs="Verdana" w:eastAsia="Verdana"/>
          <w:color w:val="auto"/>
          <w:spacing w:val="2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O,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Kisely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3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Simon</w:t>
      </w:r>
      <w:r>
        <w:rPr>
          <w:rFonts w:ascii="Verdana" w:hAnsi="Verdana" w:cs="Verdana" w:eastAsia="Verdana"/>
          <w:color w:val="auto"/>
          <w:spacing w:val="2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G.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prescribing</w:t>
      </w:r>
      <w:r>
        <w:rPr>
          <w:rFonts w:ascii="Verdana" w:hAnsi="Verdana" w:cs="Verdana" w:eastAsia="Verdana"/>
          <w:color w:val="auto"/>
          <w:spacing w:val="2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3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psychotropic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drugs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by</w:t>
      </w:r>
      <w:r>
        <w:rPr>
          <w:rFonts w:ascii="Verdana" w:hAnsi="Verdana" w:cs="Verdana" w:eastAsia="Verdana"/>
          <w:color w:val="auto"/>
          <w:spacing w:val="3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primary</w:t>
      </w:r>
      <w:r>
        <w:rPr>
          <w:rFonts w:ascii="Verdana" w:hAnsi="Verdana" w:cs="Verdana" w:eastAsia="Verdana"/>
          <w:color w:val="auto"/>
          <w:spacing w:val="3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care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physicians: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collaborative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study.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Clin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Psychopharmacol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1999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19(2):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132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­140.</w:t>
      </w:r>
    </w:p>
    <w:p>
      <w:pPr>
        <w:numPr>
          <w:ilvl w:val="0"/>
          <w:numId w:val="80"/>
        </w:numPr>
        <w:tabs>
          <w:tab w:val="left" w:pos="373" w:leader="none"/>
        </w:tabs>
        <w:spacing w:before="2" w:after="0" w:line="240"/>
        <w:ind w:right="0" w:left="372" w:hanging="262"/>
        <w:jc w:val="left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Sheehan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DV,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Lecrubier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Y,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Janavs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J,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Knapp</w:t>
      </w:r>
      <w:r>
        <w:rPr>
          <w:rFonts w:ascii="Verdana" w:hAnsi="Verdana" w:cs="Verdana" w:eastAsia="Verdana"/>
          <w:color w:val="auto"/>
          <w:spacing w:val="1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Weiller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Sheehan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1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Mini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1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Neuropsychiatric</w:t>
      </w:r>
      <w:r>
        <w:rPr>
          <w:rFonts w:ascii="Verdana" w:hAnsi="Verdana" w:cs="Verdana" w:eastAsia="Verdana"/>
          <w:color w:val="auto"/>
          <w:spacing w:val="1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Interview</w:t>
      </w:r>
      <w:r>
        <w:rPr>
          <w:rFonts w:ascii="Verdana" w:hAnsi="Verdana" w:cs="Verdana" w:eastAsia="Verdana"/>
          <w:color w:val="auto"/>
          <w:spacing w:val="1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Version</w:t>
      </w:r>
    </w:p>
    <w:p>
      <w:pPr>
        <w:spacing w:before="2" w:after="0" w:line="240"/>
        <w:ind w:right="0" w:left="11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4.4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(M.I.N.I.).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University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South</w:t>
      </w:r>
      <w:r>
        <w:rPr>
          <w:rFonts w:ascii="Verdana" w:hAnsi="Verdana" w:cs="Verdana" w:eastAsia="Verdana"/>
          <w:color w:val="auto"/>
          <w:spacing w:val="4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Florida,</w:t>
      </w:r>
      <w:r>
        <w:rPr>
          <w:rFonts w:ascii="Verdana" w:hAnsi="Verdana" w:cs="Verdana" w:eastAsia="Verdana"/>
          <w:color w:val="auto"/>
          <w:spacing w:val="10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Tampa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1996.</w:t>
      </w:r>
    </w:p>
    <w:p>
      <w:pPr>
        <w:numPr>
          <w:ilvl w:val="0"/>
          <w:numId w:val="98"/>
        </w:numPr>
        <w:tabs>
          <w:tab w:val="left" w:pos="383" w:leader="none"/>
        </w:tabs>
        <w:spacing w:before="2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American Psychiatric Association. Manual Diagnóstico e Estatístico de Transtornos Mentais. DSM­IV. 4ª ed. Porto Alegre: Artes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Médicas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1994.</w:t>
      </w:r>
    </w:p>
    <w:p>
      <w:pPr>
        <w:numPr>
          <w:ilvl w:val="0"/>
          <w:numId w:val="98"/>
        </w:numPr>
        <w:tabs>
          <w:tab w:val="left" w:pos="403" w:leader="none"/>
        </w:tabs>
        <w:spacing w:before="2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Weissman MM,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Bland RC,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Canino GJ,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Faravelli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Greenwald S,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Hwu HG,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et al.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cross­national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epidemiology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panic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disorder.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Arch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Gen</w:t>
      </w:r>
      <w:r>
        <w:rPr>
          <w:rFonts w:ascii="Verdana" w:hAnsi="Verdana" w:cs="Verdana" w:eastAsia="Verdana"/>
          <w:color w:val="auto"/>
          <w:spacing w:val="2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1997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54: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305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­309.</w:t>
      </w:r>
    </w:p>
    <w:p>
      <w:pPr>
        <w:numPr>
          <w:ilvl w:val="0"/>
          <w:numId w:val="98"/>
        </w:numPr>
        <w:tabs>
          <w:tab w:val="left" w:pos="373" w:leader="none"/>
        </w:tabs>
        <w:spacing w:before="1" w:after="0" w:line="242"/>
        <w:ind w:right="289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Valença AM, Falcão R, Freire RC, Nascimento I, Nascentes R, Zin WA, et al. The relationship between the severity of asthma and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comorbidites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anxiety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3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depressive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disorders.</w:t>
      </w:r>
      <w:r>
        <w:rPr>
          <w:rFonts w:ascii="Verdana" w:hAnsi="Verdana" w:cs="Verdana" w:eastAsia="Verdana"/>
          <w:color w:val="auto"/>
          <w:spacing w:val="8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Rev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Bras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Psiquiatr</w:t>
      </w:r>
      <w:r>
        <w:rPr>
          <w:rFonts w:ascii="Verdana" w:hAnsi="Verdana" w:cs="Verdana" w:eastAsia="Verdana"/>
          <w:color w:val="auto"/>
          <w:spacing w:val="9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2006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28(3):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206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­208.</w:t>
      </w:r>
    </w:p>
    <w:p>
      <w:pPr>
        <w:numPr>
          <w:ilvl w:val="0"/>
          <w:numId w:val="98"/>
        </w:numPr>
        <w:tabs>
          <w:tab w:val="left" w:pos="413" w:leader="none"/>
        </w:tabs>
        <w:spacing w:before="2" w:after="0" w:line="242"/>
        <w:ind w:right="292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Nascimento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Nardi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AE,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Valença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AM,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Lopes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FL,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Mezzasalma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MA,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Nascentes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Psychiatric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disorders</w:t>
      </w:r>
      <w:r>
        <w:rPr>
          <w:rFonts w:ascii="Verdana" w:hAnsi="Verdana" w:cs="Verdana" w:eastAsia="Verdana"/>
          <w:color w:val="auto"/>
          <w:spacing w:val="4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asthmatic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outpatients.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Psychiatry</w:t>
      </w:r>
      <w:r>
        <w:rPr>
          <w:rFonts w:ascii="Verdana" w:hAnsi="Verdana" w:cs="Verdana" w:eastAsia="Verdana"/>
          <w:color w:val="auto"/>
          <w:spacing w:val="7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Res</w:t>
      </w:r>
      <w:r>
        <w:rPr>
          <w:rFonts w:ascii="Verdana" w:hAnsi="Verdana" w:cs="Verdana" w:eastAsia="Verdana"/>
          <w:color w:val="auto"/>
          <w:spacing w:val="6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2002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110(1):</w:t>
      </w:r>
      <w:r>
        <w:rPr>
          <w:rFonts w:ascii="Verdana" w:hAnsi="Verdana" w:cs="Verdana" w:eastAsia="Verdana"/>
          <w:color w:val="auto"/>
          <w:spacing w:val="5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73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­80.</w:t>
      </w:r>
    </w:p>
    <w:p>
      <w:pPr>
        <w:numPr>
          <w:ilvl w:val="0"/>
          <w:numId w:val="98"/>
        </w:numPr>
        <w:tabs>
          <w:tab w:val="left" w:pos="373" w:leader="none"/>
        </w:tabs>
        <w:spacing w:before="1" w:after="0" w:line="242"/>
        <w:ind w:right="291" w:left="11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Regier DA. Specialist/generalist division of responsibility for patients with mental disorders. Arch Gen Psychiatry 1982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; 39: 219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­</w:t>
      </w:r>
      <w:r>
        <w:rPr>
          <w:rFonts w:ascii="Verdana" w:hAnsi="Verdana" w:cs="Verdana" w:eastAsia="Verdana"/>
          <w:color w:val="auto"/>
          <w:spacing w:val="1"/>
          <w:position w:val="0"/>
          <w:sz w:val="1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  <w:t xml:space="preserve">224.</w:t>
      </w:r>
    </w:p>
    <w:p>
      <w:pPr>
        <w:tabs>
          <w:tab w:val="left" w:pos="373" w:leader="none"/>
        </w:tabs>
        <w:spacing w:before="1" w:after="0" w:line="242"/>
        <w:ind w:right="29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0">
    <w:abstractNumId w:val="6"/>
  </w:num>
  <w:num w:numId="9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