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8142E" w14:textId="77777777" w:rsidR="00C0250B" w:rsidRDefault="00EC5B5B">
      <w:pPr>
        <w:spacing w:after="0" w:line="259" w:lineRule="auto"/>
        <w:ind w:right="1080" w:firstLine="0"/>
        <w:jc w:val="center"/>
      </w:pPr>
      <w:r>
        <w:rPr>
          <w:rFonts w:ascii="Times New Roman" w:eastAsia="Times New Roman" w:hAnsi="Times New Roman"/>
        </w:rPr>
        <w:t xml:space="preserve"> </w:t>
      </w:r>
    </w:p>
    <w:p w14:paraId="46EAE8D9" w14:textId="77777777" w:rsidR="00C0250B" w:rsidRDefault="00EC5B5B">
      <w:pPr>
        <w:spacing w:after="0" w:line="347" w:lineRule="auto"/>
        <w:ind w:right="8437" w:firstLine="0"/>
        <w:jc w:val="left"/>
      </w:pPr>
      <w:r>
        <w:rPr>
          <w:rFonts w:ascii="Times New Roman" w:eastAsia="Times New Roman" w:hAnsi="Times New Roman"/>
        </w:rPr>
        <w:t xml:space="preserve"> </w:t>
      </w:r>
      <w:r>
        <w:rPr>
          <w:sz w:val="28"/>
        </w:rPr>
        <w:t xml:space="preserve"> </w:t>
      </w:r>
    </w:p>
    <w:p w14:paraId="3CF3B941" w14:textId="77777777" w:rsidR="00C0250B" w:rsidRDefault="00EC5B5B">
      <w:pPr>
        <w:spacing w:after="0" w:line="362" w:lineRule="auto"/>
        <w:ind w:right="0" w:firstLine="0"/>
        <w:jc w:val="center"/>
      </w:pPr>
      <w:r>
        <w:rPr>
          <w:rFonts w:cs="Arial"/>
          <w:b/>
          <w:sz w:val="32"/>
        </w:rPr>
        <w:t>Análise da qualidade microbiológica de gelados comestíveis comercializados no estádio de futebol em Maceió – AL</w:t>
      </w:r>
      <w:r>
        <w:rPr>
          <w:sz w:val="32"/>
        </w:rPr>
        <w:t xml:space="preserve"> </w:t>
      </w:r>
    </w:p>
    <w:p w14:paraId="6D16C615" w14:textId="77777777" w:rsidR="00C0250B" w:rsidRDefault="00EC5B5B">
      <w:pPr>
        <w:spacing w:after="0" w:line="259" w:lineRule="auto"/>
        <w:ind w:left="4252" w:right="4185" w:firstLine="0"/>
        <w:jc w:val="center"/>
      </w:pPr>
      <w:r>
        <w:rPr>
          <w:sz w:val="28"/>
        </w:rPr>
        <w:t xml:space="preserve"> </w:t>
      </w:r>
      <w:r>
        <w:t xml:space="preserve"> </w:t>
      </w:r>
    </w:p>
    <w:tbl>
      <w:tblPr>
        <w:tblStyle w:val="TableGrid"/>
        <w:tblW w:w="9079" w:type="dxa"/>
        <w:tblInd w:w="-101" w:type="dxa"/>
        <w:tblCellMar>
          <w:top w:w="0" w:type="dxa"/>
          <w:left w:w="0" w:type="dxa"/>
          <w:bottom w:w="62" w:type="dxa"/>
          <w:right w:w="75" w:type="dxa"/>
        </w:tblCellMar>
        <w:tblLook w:val="04A0" w:firstRow="1" w:lastRow="0" w:firstColumn="1" w:lastColumn="0" w:noHBand="0" w:noVBand="1"/>
      </w:tblPr>
      <w:tblGrid>
        <w:gridCol w:w="3868"/>
        <w:gridCol w:w="5211"/>
      </w:tblGrid>
      <w:tr w:rsidR="00C0250B" w14:paraId="22A21881" w14:textId="77777777">
        <w:trPr>
          <w:trHeight w:val="538"/>
        </w:trPr>
        <w:tc>
          <w:tcPr>
            <w:tcW w:w="3868" w:type="dxa"/>
            <w:tcBorders>
              <w:top w:val="single" w:sz="4" w:space="0" w:color="000000"/>
              <w:left w:val="single" w:sz="4" w:space="0" w:color="000000"/>
              <w:bottom w:val="single" w:sz="4" w:space="0" w:color="000000"/>
              <w:right w:val="nil"/>
            </w:tcBorders>
            <w:shd w:val="clear" w:color="auto" w:fill="E7E6E6"/>
            <w:vAlign w:val="bottom"/>
          </w:tcPr>
          <w:p w14:paraId="1DB9FACF" w14:textId="77777777" w:rsidR="00C0250B" w:rsidRDefault="00EC5B5B">
            <w:pPr>
              <w:spacing w:after="0" w:line="259" w:lineRule="auto"/>
              <w:ind w:right="0" w:firstLine="0"/>
              <w:jc w:val="right"/>
            </w:pPr>
            <w:r>
              <w:rPr>
                <w:b/>
                <w:sz w:val="20"/>
              </w:rPr>
              <w:t>EQ</w:t>
            </w:r>
          </w:p>
        </w:tc>
        <w:tc>
          <w:tcPr>
            <w:tcW w:w="5211" w:type="dxa"/>
            <w:tcBorders>
              <w:top w:val="single" w:sz="4" w:space="0" w:color="000000"/>
              <w:left w:val="nil"/>
              <w:bottom w:val="single" w:sz="4" w:space="0" w:color="000000"/>
              <w:right w:val="single" w:sz="4" w:space="0" w:color="000000"/>
            </w:tcBorders>
            <w:shd w:val="clear" w:color="auto" w:fill="E7E6E6"/>
            <w:vAlign w:val="bottom"/>
          </w:tcPr>
          <w:p w14:paraId="02D78F53" w14:textId="77777777" w:rsidR="00C0250B" w:rsidRDefault="00EC5B5B">
            <w:pPr>
              <w:spacing w:after="0" w:line="259" w:lineRule="auto"/>
              <w:ind w:left="-76" w:right="0" w:firstLine="0"/>
              <w:jc w:val="left"/>
            </w:pPr>
            <w:r>
              <w:rPr>
                <w:b/>
                <w:sz w:val="20"/>
              </w:rPr>
              <w:t xml:space="preserve">UIPE EXECUTORA </w:t>
            </w:r>
          </w:p>
        </w:tc>
      </w:tr>
      <w:tr w:rsidR="00C0250B" w14:paraId="2D9EC21D" w14:textId="77777777">
        <w:trPr>
          <w:trHeight w:val="541"/>
        </w:trPr>
        <w:tc>
          <w:tcPr>
            <w:tcW w:w="3868" w:type="dxa"/>
            <w:tcBorders>
              <w:top w:val="single" w:sz="4" w:space="0" w:color="000000"/>
              <w:left w:val="single" w:sz="4" w:space="0" w:color="000000"/>
              <w:bottom w:val="single" w:sz="4" w:space="0" w:color="000000"/>
              <w:right w:val="single" w:sz="4" w:space="0" w:color="000000"/>
            </w:tcBorders>
            <w:vAlign w:val="bottom"/>
          </w:tcPr>
          <w:p w14:paraId="3F92CCEE" w14:textId="77777777" w:rsidR="00C0250B" w:rsidRDefault="00EC5B5B">
            <w:pPr>
              <w:spacing w:after="0" w:line="259" w:lineRule="auto"/>
              <w:ind w:left="106" w:right="0" w:firstLine="0"/>
              <w:jc w:val="left"/>
            </w:pPr>
            <w:r>
              <w:rPr>
                <w:b/>
                <w:sz w:val="20"/>
              </w:rPr>
              <w:t xml:space="preserve">Nome do Orientador </w:t>
            </w:r>
          </w:p>
        </w:tc>
        <w:tc>
          <w:tcPr>
            <w:tcW w:w="5211" w:type="dxa"/>
            <w:tcBorders>
              <w:top w:val="single" w:sz="4" w:space="0" w:color="000000"/>
              <w:left w:val="single" w:sz="4" w:space="0" w:color="000000"/>
              <w:bottom w:val="single" w:sz="4" w:space="0" w:color="000000"/>
              <w:right w:val="single" w:sz="4" w:space="0" w:color="000000"/>
            </w:tcBorders>
            <w:vAlign w:val="bottom"/>
          </w:tcPr>
          <w:p w14:paraId="7DCC9C8D" w14:textId="77777777" w:rsidR="00C0250B" w:rsidRDefault="00EC5B5B">
            <w:pPr>
              <w:spacing w:after="0" w:line="259" w:lineRule="auto"/>
              <w:ind w:left="110" w:right="0" w:firstLine="0"/>
              <w:jc w:val="left"/>
            </w:pPr>
            <w:r>
              <w:rPr>
                <w:b/>
                <w:sz w:val="20"/>
              </w:rPr>
              <w:t xml:space="preserve">Jadna Cilene Moreira Pascoal </w:t>
            </w:r>
          </w:p>
        </w:tc>
      </w:tr>
      <w:tr w:rsidR="00C0250B" w14:paraId="4598181C" w14:textId="77777777">
        <w:trPr>
          <w:trHeight w:val="540"/>
        </w:trPr>
        <w:tc>
          <w:tcPr>
            <w:tcW w:w="3868" w:type="dxa"/>
            <w:tcBorders>
              <w:top w:val="single" w:sz="4" w:space="0" w:color="000000"/>
              <w:left w:val="single" w:sz="4" w:space="0" w:color="000000"/>
              <w:bottom w:val="single" w:sz="4" w:space="0" w:color="000000"/>
              <w:right w:val="single" w:sz="4" w:space="0" w:color="000000"/>
            </w:tcBorders>
            <w:vAlign w:val="bottom"/>
          </w:tcPr>
          <w:p w14:paraId="3E8993CC" w14:textId="77777777" w:rsidR="00C0250B" w:rsidRDefault="00EC5B5B">
            <w:pPr>
              <w:spacing w:after="0" w:line="259" w:lineRule="auto"/>
              <w:ind w:left="106" w:right="0" w:firstLine="0"/>
              <w:jc w:val="left"/>
            </w:pPr>
            <w:r>
              <w:rPr>
                <w:b/>
                <w:sz w:val="20"/>
              </w:rPr>
              <w:t xml:space="preserve">Nome do Coorientador  </w:t>
            </w:r>
          </w:p>
        </w:tc>
        <w:tc>
          <w:tcPr>
            <w:tcW w:w="5211" w:type="dxa"/>
            <w:tcBorders>
              <w:top w:val="single" w:sz="4" w:space="0" w:color="000000"/>
              <w:left w:val="single" w:sz="4" w:space="0" w:color="000000"/>
              <w:bottom w:val="single" w:sz="4" w:space="0" w:color="000000"/>
              <w:right w:val="single" w:sz="4" w:space="0" w:color="000000"/>
            </w:tcBorders>
            <w:vAlign w:val="bottom"/>
          </w:tcPr>
          <w:p w14:paraId="3EF7DAF7" w14:textId="77777777" w:rsidR="00C0250B" w:rsidRDefault="00EC5B5B">
            <w:pPr>
              <w:spacing w:after="0" w:line="259" w:lineRule="auto"/>
              <w:ind w:left="110" w:right="0" w:firstLine="0"/>
              <w:jc w:val="left"/>
            </w:pPr>
            <w:r>
              <w:rPr>
                <w:b/>
                <w:sz w:val="20"/>
              </w:rPr>
              <w:t xml:space="preserve">Waléria Dantas Pereira </w:t>
            </w:r>
          </w:p>
        </w:tc>
      </w:tr>
      <w:tr w:rsidR="00C0250B" w14:paraId="23A150A5" w14:textId="77777777">
        <w:trPr>
          <w:trHeight w:val="540"/>
        </w:trPr>
        <w:tc>
          <w:tcPr>
            <w:tcW w:w="3868" w:type="dxa"/>
            <w:tcBorders>
              <w:top w:val="single" w:sz="4" w:space="0" w:color="000000"/>
              <w:left w:val="single" w:sz="4" w:space="0" w:color="000000"/>
              <w:bottom w:val="single" w:sz="4" w:space="0" w:color="000000"/>
              <w:right w:val="single" w:sz="4" w:space="0" w:color="000000"/>
            </w:tcBorders>
            <w:vAlign w:val="bottom"/>
          </w:tcPr>
          <w:p w14:paraId="76E1D6F7" w14:textId="77777777" w:rsidR="00C0250B" w:rsidRDefault="00EC5B5B">
            <w:pPr>
              <w:spacing w:after="0" w:line="259" w:lineRule="auto"/>
              <w:ind w:left="106" w:right="0" w:firstLine="0"/>
              <w:jc w:val="left"/>
            </w:pPr>
            <w:r>
              <w:rPr>
                <w:b/>
                <w:sz w:val="20"/>
              </w:rPr>
              <w:t xml:space="preserve">Pesquiador principal </w:t>
            </w:r>
          </w:p>
        </w:tc>
        <w:tc>
          <w:tcPr>
            <w:tcW w:w="5211" w:type="dxa"/>
            <w:tcBorders>
              <w:top w:val="single" w:sz="4" w:space="0" w:color="000000"/>
              <w:left w:val="single" w:sz="4" w:space="0" w:color="000000"/>
              <w:bottom w:val="single" w:sz="4" w:space="0" w:color="000000"/>
              <w:right w:val="single" w:sz="4" w:space="0" w:color="000000"/>
            </w:tcBorders>
            <w:vAlign w:val="bottom"/>
          </w:tcPr>
          <w:p w14:paraId="5100B80B" w14:textId="77777777" w:rsidR="00C0250B" w:rsidRDefault="00EC5B5B">
            <w:pPr>
              <w:spacing w:after="0" w:line="259" w:lineRule="auto"/>
              <w:ind w:left="110" w:right="0" w:firstLine="0"/>
              <w:jc w:val="left"/>
            </w:pPr>
            <w:r>
              <w:rPr>
                <w:b/>
                <w:sz w:val="20"/>
              </w:rPr>
              <w:t xml:space="preserve">João Matheus Guerra Neri Costa </w:t>
            </w:r>
          </w:p>
        </w:tc>
      </w:tr>
      <w:tr w:rsidR="00C0250B" w14:paraId="45B70F64" w14:textId="77777777">
        <w:trPr>
          <w:trHeight w:val="540"/>
        </w:trPr>
        <w:tc>
          <w:tcPr>
            <w:tcW w:w="3868" w:type="dxa"/>
            <w:tcBorders>
              <w:top w:val="single" w:sz="4" w:space="0" w:color="000000"/>
              <w:left w:val="single" w:sz="4" w:space="0" w:color="000000"/>
              <w:bottom w:val="single" w:sz="4" w:space="0" w:color="000000"/>
              <w:right w:val="single" w:sz="4" w:space="0" w:color="000000"/>
            </w:tcBorders>
            <w:vAlign w:val="bottom"/>
          </w:tcPr>
          <w:p w14:paraId="7E9F8AD3" w14:textId="77777777" w:rsidR="00C0250B" w:rsidRDefault="00EC5B5B">
            <w:pPr>
              <w:spacing w:after="0" w:line="259" w:lineRule="auto"/>
              <w:ind w:left="106" w:right="0" w:firstLine="0"/>
              <w:jc w:val="left"/>
            </w:pPr>
            <w:r>
              <w:rPr>
                <w:b/>
                <w:sz w:val="20"/>
              </w:rPr>
              <w:t xml:space="preserve">Pesquisadora principal </w:t>
            </w:r>
          </w:p>
        </w:tc>
        <w:tc>
          <w:tcPr>
            <w:tcW w:w="5211" w:type="dxa"/>
            <w:tcBorders>
              <w:top w:val="single" w:sz="4" w:space="0" w:color="000000"/>
              <w:left w:val="single" w:sz="4" w:space="0" w:color="000000"/>
              <w:bottom w:val="single" w:sz="4" w:space="0" w:color="000000"/>
              <w:right w:val="single" w:sz="4" w:space="0" w:color="000000"/>
            </w:tcBorders>
            <w:vAlign w:val="bottom"/>
          </w:tcPr>
          <w:p w14:paraId="499DCC65" w14:textId="77777777" w:rsidR="00C0250B" w:rsidRDefault="00EC5B5B">
            <w:pPr>
              <w:spacing w:after="0" w:line="259" w:lineRule="auto"/>
              <w:ind w:left="110" w:right="0" w:firstLine="0"/>
              <w:jc w:val="left"/>
            </w:pPr>
            <w:r>
              <w:rPr>
                <w:b/>
                <w:sz w:val="20"/>
              </w:rPr>
              <w:t xml:space="preserve">Julia Tereza Rocha da Silva Ávila </w:t>
            </w:r>
          </w:p>
        </w:tc>
      </w:tr>
      <w:tr w:rsidR="00C0250B" w14:paraId="43A4BD85" w14:textId="77777777">
        <w:trPr>
          <w:trHeight w:val="540"/>
        </w:trPr>
        <w:tc>
          <w:tcPr>
            <w:tcW w:w="3868" w:type="dxa"/>
            <w:tcBorders>
              <w:top w:val="single" w:sz="4" w:space="0" w:color="000000"/>
              <w:left w:val="single" w:sz="4" w:space="0" w:color="000000"/>
              <w:bottom w:val="single" w:sz="4" w:space="0" w:color="000000"/>
              <w:right w:val="single" w:sz="4" w:space="0" w:color="000000"/>
            </w:tcBorders>
            <w:vAlign w:val="bottom"/>
          </w:tcPr>
          <w:p w14:paraId="1AD63ADC" w14:textId="77777777" w:rsidR="00C0250B" w:rsidRDefault="00EC5B5B">
            <w:pPr>
              <w:spacing w:after="0" w:line="259" w:lineRule="auto"/>
              <w:ind w:left="106" w:right="0" w:firstLine="0"/>
              <w:jc w:val="left"/>
            </w:pPr>
            <w:r>
              <w:rPr>
                <w:b/>
                <w:sz w:val="20"/>
              </w:rPr>
              <w:t xml:space="preserve">Aluna Voluntária (1)  </w:t>
            </w:r>
          </w:p>
        </w:tc>
        <w:tc>
          <w:tcPr>
            <w:tcW w:w="5211" w:type="dxa"/>
            <w:tcBorders>
              <w:top w:val="single" w:sz="4" w:space="0" w:color="000000"/>
              <w:left w:val="single" w:sz="4" w:space="0" w:color="000000"/>
              <w:bottom w:val="single" w:sz="4" w:space="0" w:color="000000"/>
              <w:right w:val="single" w:sz="4" w:space="0" w:color="000000"/>
            </w:tcBorders>
            <w:vAlign w:val="bottom"/>
          </w:tcPr>
          <w:p w14:paraId="279CC0FF" w14:textId="77777777" w:rsidR="00C0250B" w:rsidRDefault="00EC5B5B">
            <w:pPr>
              <w:spacing w:after="0" w:line="259" w:lineRule="auto"/>
              <w:ind w:left="110" w:right="0" w:firstLine="0"/>
              <w:jc w:val="left"/>
            </w:pPr>
            <w:r>
              <w:rPr>
                <w:b/>
                <w:sz w:val="20"/>
              </w:rPr>
              <w:t xml:space="preserve">Janine Agra Trindade </w:t>
            </w:r>
          </w:p>
        </w:tc>
      </w:tr>
      <w:tr w:rsidR="00C0250B" w14:paraId="35675AAF" w14:textId="77777777">
        <w:trPr>
          <w:trHeight w:val="540"/>
        </w:trPr>
        <w:tc>
          <w:tcPr>
            <w:tcW w:w="3868" w:type="dxa"/>
            <w:tcBorders>
              <w:top w:val="single" w:sz="4" w:space="0" w:color="000000"/>
              <w:left w:val="single" w:sz="4" w:space="0" w:color="000000"/>
              <w:bottom w:val="single" w:sz="4" w:space="0" w:color="000000"/>
              <w:right w:val="single" w:sz="4" w:space="0" w:color="000000"/>
            </w:tcBorders>
            <w:vAlign w:val="bottom"/>
          </w:tcPr>
          <w:p w14:paraId="22076AB7" w14:textId="77777777" w:rsidR="00C0250B" w:rsidRDefault="00EC5B5B">
            <w:pPr>
              <w:spacing w:after="0" w:line="259" w:lineRule="auto"/>
              <w:ind w:left="106" w:right="0" w:firstLine="0"/>
              <w:jc w:val="left"/>
            </w:pPr>
            <w:r>
              <w:rPr>
                <w:b/>
                <w:sz w:val="20"/>
              </w:rPr>
              <w:t xml:space="preserve">Aluna Voluntária (2) </w:t>
            </w:r>
          </w:p>
        </w:tc>
        <w:tc>
          <w:tcPr>
            <w:tcW w:w="5211" w:type="dxa"/>
            <w:tcBorders>
              <w:top w:val="single" w:sz="4" w:space="0" w:color="000000"/>
              <w:left w:val="single" w:sz="4" w:space="0" w:color="000000"/>
              <w:bottom w:val="single" w:sz="4" w:space="0" w:color="000000"/>
              <w:right w:val="single" w:sz="4" w:space="0" w:color="000000"/>
            </w:tcBorders>
            <w:vAlign w:val="bottom"/>
          </w:tcPr>
          <w:p w14:paraId="1195A854" w14:textId="77777777" w:rsidR="00C0250B" w:rsidRDefault="00EC5B5B">
            <w:pPr>
              <w:spacing w:after="0" w:line="259" w:lineRule="auto"/>
              <w:ind w:left="110" w:right="0" w:firstLine="0"/>
              <w:jc w:val="left"/>
            </w:pPr>
            <w:r>
              <w:rPr>
                <w:b/>
                <w:sz w:val="20"/>
              </w:rPr>
              <w:t xml:space="preserve">Karina Vanderley Pacheco </w:t>
            </w:r>
          </w:p>
        </w:tc>
      </w:tr>
    </w:tbl>
    <w:p w14:paraId="590EBFF1" w14:textId="77777777" w:rsidR="00C0250B" w:rsidRDefault="00EC5B5B">
      <w:pPr>
        <w:spacing w:after="0" w:line="259" w:lineRule="auto"/>
        <w:ind w:right="0" w:firstLine="0"/>
        <w:jc w:val="left"/>
      </w:pPr>
      <w:r>
        <w:t xml:space="preserve"> </w:t>
      </w:r>
    </w:p>
    <w:p w14:paraId="25E66E9F" w14:textId="77777777" w:rsidR="00C0250B" w:rsidRDefault="00EC5B5B">
      <w:pPr>
        <w:spacing w:after="0" w:line="259" w:lineRule="auto"/>
        <w:ind w:right="0" w:firstLine="0"/>
        <w:jc w:val="left"/>
      </w:pPr>
      <w:r>
        <w:t xml:space="preserve"> </w:t>
      </w:r>
    </w:p>
    <w:p w14:paraId="142E9D16" w14:textId="77777777" w:rsidR="00C0250B" w:rsidRDefault="00EC5B5B">
      <w:pPr>
        <w:spacing w:after="0" w:line="259" w:lineRule="auto"/>
        <w:ind w:right="0" w:firstLine="0"/>
        <w:jc w:val="left"/>
      </w:pPr>
      <w:r>
        <w:t xml:space="preserve"> </w:t>
      </w:r>
    </w:p>
    <w:p w14:paraId="5B4D07DE" w14:textId="77777777" w:rsidR="00C0250B" w:rsidRDefault="00EC5B5B">
      <w:pPr>
        <w:spacing w:after="0" w:line="259" w:lineRule="auto"/>
        <w:ind w:right="0" w:firstLine="0"/>
        <w:jc w:val="left"/>
      </w:pPr>
      <w:r>
        <w:t xml:space="preserve"> </w:t>
      </w:r>
    </w:p>
    <w:p w14:paraId="3533B64D" w14:textId="77777777" w:rsidR="00C0250B" w:rsidRDefault="00EC5B5B">
      <w:pPr>
        <w:spacing w:after="23" w:line="259" w:lineRule="auto"/>
        <w:ind w:right="0" w:firstLine="0"/>
        <w:jc w:val="left"/>
      </w:pPr>
      <w:r>
        <w:rPr>
          <w:rFonts w:cs="Arial"/>
          <w:b/>
        </w:rPr>
        <w:t xml:space="preserve"> </w:t>
      </w:r>
    </w:p>
    <w:p w14:paraId="1BE57BF8" w14:textId="77777777" w:rsidR="00C0250B" w:rsidRDefault="00EC5B5B">
      <w:pPr>
        <w:spacing w:after="17" w:line="259" w:lineRule="auto"/>
        <w:ind w:right="0" w:firstLine="0"/>
        <w:jc w:val="left"/>
      </w:pPr>
      <w:r>
        <w:rPr>
          <w:rFonts w:cs="Arial"/>
          <w:b/>
        </w:rPr>
        <w:t xml:space="preserve"> </w:t>
      </w:r>
    </w:p>
    <w:p w14:paraId="4DD1A452" w14:textId="77777777" w:rsidR="00C0250B" w:rsidRDefault="00EC5B5B">
      <w:pPr>
        <w:spacing w:after="22" w:line="259" w:lineRule="auto"/>
        <w:ind w:right="0" w:firstLine="0"/>
        <w:jc w:val="left"/>
      </w:pPr>
      <w:r>
        <w:rPr>
          <w:rFonts w:cs="Arial"/>
          <w:b/>
        </w:rPr>
        <w:t xml:space="preserve"> </w:t>
      </w:r>
    </w:p>
    <w:p w14:paraId="7E99C5B6" w14:textId="77777777" w:rsidR="00C0250B" w:rsidRDefault="00EC5B5B">
      <w:pPr>
        <w:spacing w:after="17" w:line="259" w:lineRule="auto"/>
        <w:ind w:right="0" w:firstLine="0"/>
        <w:jc w:val="left"/>
      </w:pPr>
      <w:r>
        <w:rPr>
          <w:rFonts w:cs="Arial"/>
          <w:b/>
        </w:rPr>
        <w:t xml:space="preserve"> </w:t>
      </w:r>
    </w:p>
    <w:p w14:paraId="6C42D4D8" w14:textId="77777777" w:rsidR="00C0250B" w:rsidRDefault="00EC5B5B">
      <w:pPr>
        <w:spacing w:after="22" w:line="259" w:lineRule="auto"/>
        <w:ind w:right="0" w:firstLine="0"/>
        <w:jc w:val="left"/>
      </w:pPr>
      <w:r>
        <w:rPr>
          <w:rFonts w:cs="Arial"/>
          <w:b/>
        </w:rPr>
        <w:t xml:space="preserve"> </w:t>
      </w:r>
    </w:p>
    <w:p w14:paraId="5AEC5ABA" w14:textId="77777777" w:rsidR="00C0250B" w:rsidRDefault="00EC5B5B">
      <w:pPr>
        <w:spacing w:after="17" w:line="259" w:lineRule="auto"/>
        <w:ind w:right="0" w:firstLine="0"/>
        <w:jc w:val="left"/>
      </w:pPr>
      <w:r>
        <w:rPr>
          <w:rFonts w:cs="Arial"/>
          <w:b/>
        </w:rPr>
        <w:t xml:space="preserve"> </w:t>
      </w:r>
    </w:p>
    <w:p w14:paraId="38617FF1" w14:textId="77777777" w:rsidR="00C0250B" w:rsidRDefault="00EC5B5B">
      <w:pPr>
        <w:spacing w:after="22" w:line="259" w:lineRule="auto"/>
        <w:ind w:right="0" w:firstLine="0"/>
        <w:jc w:val="left"/>
      </w:pPr>
      <w:r>
        <w:rPr>
          <w:rFonts w:cs="Arial"/>
          <w:b/>
        </w:rPr>
        <w:t xml:space="preserve"> </w:t>
      </w:r>
    </w:p>
    <w:p w14:paraId="0F760962" w14:textId="77777777" w:rsidR="00C0250B" w:rsidRDefault="00EC5B5B">
      <w:pPr>
        <w:spacing w:after="17" w:line="259" w:lineRule="auto"/>
        <w:ind w:right="0" w:firstLine="0"/>
        <w:jc w:val="left"/>
      </w:pPr>
      <w:r>
        <w:rPr>
          <w:rFonts w:cs="Arial"/>
          <w:b/>
        </w:rPr>
        <w:t xml:space="preserve"> </w:t>
      </w:r>
    </w:p>
    <w:p w14:paraId="3E52BD5B" w14:textId="77777777" w:rsidR="00C0250B" w:rsidRDefault="00EC5B5B">
      <w:pPr>
        <w:spacing w:after="22" w:line="259" w:lineRule="auto"/>
        <w:ind w:right="0" w:firstLine="0"/>
        <w:jc w:val="left"/>
      </w:pPr>
      <w:r>
        <w:rPr>
          <w:rFonts w:cs="Arial"/>
          <w:b/>
        </w:rPr>
        <w:t xml:space="preserve"> </w:t>
      </w:r>
    </w:p>
    <w:p w14:paraId="07373436" w14:textId="77777777" w:rsidR="00C0250B" w:rsidRDefault="00EC5B5B">
      <w:pPr>
        <w:spacing w:after="17" w:line="259" w:lineRule="auto"/>
        <w:ind w:right="0" w:firstLine="0"/>
        <w:jc w:val="left"/>
      </w:pPr>
      <w:r>
        <w:rPr>
          <w:rFonts w:cs="Arial"/>
          <w:b/>
        </w:rPr>
        <w:t xml:space="preserve"> </w:t>
      </w:r>
    </w:p>
    <w:p w14:paraId="6BDAC186" w14:textId="77777777" w:rsidR="00C0250B" w:rsidRDefault="00EC5B5B">
      <w:pPr>
        <w:spacing w:after="22" w:line="259" w:lineRule="auto"/>
        <w:ind w:right="0" w:firstLine="0"/>
        <w:jc w:val="left"/>
      </w:pPr>
      <w:r>
        <w:rPr>
          <w:rFonts w:cs="Arial"/>
          <w:b/>
        </w:rPr>
        <w:t xml:space="preserve"> </w:t>
      </w:r>
    </w:p>
    <w:p w14:paraId="423F1D94" w14:textId="77777777" w:rsidR="00C0250B" w:rsidRDefault="00EC5B5B">
      <w:pPr>
        <w:spacing w:after="17" w:line="259" w:lineRule="auto"/>
        <w:ind w:right="0" w:firstLine="0"/>
        <w:jc w:val="left"/>
      </w:pPr>
      <w:r>
        <w:rPr>
          <w:rFonts w:cs="Arial"/>
          <w:b/>
        </w:rPr>
        <w:t xml:space="preserve"> </w:t>
      </w:r>
    </w:p>
    <w:p w14:paraId="0A5E7FD3" w14:textId="77777777" w:rsidR="00C0250B" w:rsidRDefault="00EC5B5B">
      <w:pPr>
        <w:spacing w:after="17" w:line="259" w:lineRule="auto"/>
        <w:ind w:right="0" w:firstLine="0"/>
        <w:jc w:val="left"/>
      </w:pPr>
      <w:r>
        <w:rPr>
          <w:rFonts w:cs="Arial"/>
          <w:b/>
        </w:rPr>
        <w:t xml:space="preserve"> </w:t>
      </w:r>
    </w:p>
    <w:p w14:paraId="665A78F3" w14:textId="77777777" w:rsidR="00C0250B" w:rsidRDefault="00EC5B5B">
      <w:pPr>
        <w:spacing w:after="22" w:line="259" w:lineRule="auto"/>
        <w:ind w:right="0" w:firstLine="0"/>
        <w:jc w:val="left"/>
      </w:pPr>
      <w:r>
        <w:rPr>
          <w:rFonts w:cs="Arial"/>
          <w:b/>
        </w:rPr>
        <w:t xml:space="preserve"> </w:t>
      </w:r>
    </w:p>
    <w:p w14:paraId="37DEDE11" w14:textId="77777777" w:rsidR="00C0250B" w:rsidRDefault="00EC5B5B">
      <w:pPr>
        <w:spacing w:after="17" w:line="259" w:lineRule="auto"/>
        <w:ind w:right="0" w:firstLine="0"/>
        <w:jc w:val="left"/>
      </w:pPr>
      <w:r>
        <w:rPr>
          <w:rFonts w:cs="Arial"/>
          <w:b/>
        </w:rPr>
        <w:t xml:space="preserve"> </w:t>
      </w:r>
    </w:p>
    <w:p w14:paraId="7BF9F934" w14:textId="77777777" w:rsidR="00C0250B" w:rsidRDefault="00EC5B5B">
      <w:pPr>
        <w:spacing w:after="22" w:line="259" w:lineRule="auto"/>
        <w:ind w:right="0" w:firstLine="0"/>
        <w:jc w:val="left"/>
      </w:pPr>
      <w:r>
        <w:rPr>
          <w:rFonts w:cs="Arial"/>
          <w:b/>
        </w:rPr>
        <w:t xml:space="preserve"> </w:t>
      </w:r>
    </w:p>
    <w:p w14:paraId="3FDA4796" w14:textId="77777777" w:rsidR="00C0250B" w:rsidRDefault="00EC5B5B">
      <w:pPr>
        <w:spacing w:after="17" w:line="259" w:lineRule="auto"/>
        <w:ind w:right="0" w:firstLine="0"/>
        <w:jc w:val="left"/>
      </w:pPr>
      <w:r>
        <w:rPr>
          <w:rFonts w:cs="Arial"/>
          <w:b/>
        </w:rPr>
        <w:t xml:space="preserve"> </w:t>
      </w:r>
    </w:p>
    <w:p w14:paraId="33F91D89" w14:textId="77777777" w:rsidR="00C0250B" w:rsidRDefault="00EC5B5B">
      <w:pPr>
        <w:spacing w:after="22" w:line="259" w:lineRule="auto"/>
        <w:ind w:right="0" w:firstLine="0"/>
        <w:jc w:val="left"/>
      </w:pPr>
      <w:r>
        <w:rPr>
          <w:rFonts w:cs="Arial"/>
          <w:b/>
        </w:rPr>
        <w:t xml:space="preserve"> </w:t>
      </w:r>
    </w:p>
    <w:p w14:paraId="76EED4A7" w14:textId="77777777" w:rsidR="00C0250B" w:rsidRDefault="00EC5B5B">
      <w:pPr>
        <w:spacing w:after="17" w:line="259" w:lineRule="auto"/>
        <w:ind w:right="0" w:firstLine="0"/>
        <w:jc w:val="left"/>
      </w:pPr>
      <w:r>
        <w:rPr>
          <w:rFonts w:cs="Arial"/>
          <w:b/>
        </w:rPr>
        <w:t xml:space="preserve"> </w:t>
      </w:r>
    </w:p>
    <w:p w14:paraId="4360FA3C" w14:textId="77777777" w:rsidR="00C0250B" w:rsidRDefault="00EC5B5B">
      <w:pPr>
        <w:spacing w:after="22" w:line="259" w:lineRule="auto"/>
        <w:ind w:right="0" w:firstLine="0"/>
        <w:jc w:val="left"/>
      </w:pPr>
      <w:r>
        <w:rPr>
          <w:rFonts w:cs="Arial"/>
          <w:b/>
        </w:rPr>
        <w:t xml:space="preserve"> </w:t>
      </w:r>
    </w:p>
    <w:p w14:paraId="7A6CBB77" w14:textId="77777777" w:rsidR="00C0250B" w:rsidRDefault="00EC5B5B">
      <w:pPr>
        <w:spacing w:after="17" w:line="259" w:lineRule="auto"/>
        <w:ind w:right="0" w:firstLine="0"/>
        <w:jc w:val="left"/>
      </w:pPr>
      <w:r>
        <w:rPr>
          <w:rFonts w:cs="Arial"/>
          <w:b/>
        </w:rPr>
        <w:t xml:space="preserve"> </w:t>
      </w:r>
    </w:p>
    <w:p w14:paraId="3860C51C" w14:textId="77777777" w:rsidR="00C0250B" w:rsidRDefault="00EC5B5B">
      <w:pPr>
        <w:spacing w:after="22" w:line="259" w:lineRule="auto"/>
        <w:ind w:right="0" w:firstLine="0"/>
        <w:jc w:val="left"/>
      </w:pPr>
      <w:r>
        <w:rPr>
          <w:rFonts w:cs="Arial"/>
          <w:b/>
        </w:rPr>
        <w:t xml:space="preserve"> </w:t>
      </w:r>
    </w:p>
    <w:p w14:paraId="737686D4" w14:textId="77777777" w:rsidR="00C0250B" w:rsidRDefault="00EC5B5B">
      <w:pPr>
        <w:spacing w:after="0" w:line="259" w:lineRule="auto"/>
        <w:ind w:right="0" w:firstLine="0"/>
        <w:jc w:val="left"/>
      </w:pPr>
      <w:r>
        <w:t xml:space="preserve"> </w:t>
      </w:r>
    </w:p>
    <w:p w14:paraId="251F740B" w14:textId="77777777" w:rsidR="00C0250B" w:rsidRDefault="00EC5B5B">
      <w:pPr>
        <w:pStyle w:val="Ttulo1"/>
        <w:pBdr>
          <w:top w:val="single" w:sz="4" w:space="0" w:color="000000"/>
          <w:left w:val="single" w:sz="4" w:space="0" w:color="000000"/>
          <w:bottom w:val="single" w:sz="4" w:space="0" w:color="000000"/>
          <w:right w:val="single" w:sz="4" w:space="0" w:color="000000"/>
        </w:pBdr>
        <w:spacing w:after="68"/>
        <w:ind w:right="280"/>
      </w:pPr>
      <w:r>
        <w:rPr>
          <w:sz w:val="28"/>
        </w:rPr>
        <w:t xml:space="preserve">       </w:t>
      </w:r>
      <w:r>
        <w:t>RESUMO</w:t>
      </w:r>
      <w:r>
        <w:rPr>
          <w:b w:val="0"/>
          <w:vertAlign w:val="subscript"/>
        </w:rPr>
        <w:t xml:space="preserve"> </w:t>
      </w:r>
    </w:p>
    <w:p w14:paraId="42B39B98" w14:textId="77777777" w:rsidR="00C0250B" w:rsidRDefault="00EC5B5B">
      <w:pPr>
        <w:spacing w:after="112" w:line="259" w:lineRule="auto"/>
        <w:ind w:right="0" w:firstLine="0"/>
        <w:jc w:val="left"/>
      </w:pPr>
      <w:r>
        <w:t xml:space="preserve"> </w:t>
      </w:r>
    </w:p>
    <w:p w14:paraId="7F64E8A3" w14:textId="77777777" w:rsidR="00C0250B" w:rsidRDefault="00EC5B5B">
      <w:pPr>
        <w:ind w:left="-15" w:right="-3" w:firstLine="0"/>
      </w:pPr>
      <w:r>
        <w:t xml:space="preserve">        </w:t>
      </w:r>
      <w:r>
        <w:t xml:space="preserve">O presente estudo teve como objetivo avaliar a qualidade microbiológica de gelados comestíveis comercializados por ambulantes em um estádio de futebol em Maceió-AL, com ênfase na detecção de </w:t>
      </w:r>
      <w:r>
        <w:rPr>
          <w:rFonts w:cs="Arial"/>
          <w:i/>
        </w:rPr>
        <w:t>Salmonella</w:t>
      </w:r>
      <w:r>
        <w:t xml:space="preserve"> e</w:t>
      </w:r>
      <w:r>
        <w:rPr>
          <w:rFonts w:ascii="Times New Roman" w:eastAsia="Times New Roman" w:hAnsi="Times New Roman"/>
        </w:rPr>
        <w:t xml:space="preserve"> </w:t>
      </w:r>
      <w:r>
        <w:rPr>
          <w:rFonts w:cs="Arial"/>
          <w:i/>
        </w:rPr>
        <w:t>Enterobacteriaceae</w:t>
      </w:r>
      <w:r>
        <w:t>. A pesquisa, de caráter exploratório e descritivo, envolveu a coleta de 20 amostras de gelados comestíveis de diferentes sabores. Essas amostras foram analisadas para verificar a presença de patógenos e a conformidade com os padrões higiênico-sanitários estabelecidos. A análise microbioló</w:t>
      </w:r>
      <w:r>
        <w:t xml:space="preserve">gica revelou uma alta taxa de contaminação por </w:t>
      </w:r>
      <w:r>
        <w:rPr>
          <w:rFonts w:cs="Arial"/>
          <w:i/>
        </w:rPr>
        <w:t>Salmonella</w:t>
      </w:r>
      <w:r>
        <w:t xml:space="preserve"> em 85% das amostras, com uma distribuição variada entre os sabores. Especificamente, todas as amostras dos sabores Maçã com Coco, Morango e Laranja estavam contaminadas com </w:t>
      </w:r>
      <w:r>
        <w:rPr>
          <w:rFonts w:cs="Arial"/>
          <w:i/>
        </w:rPr>
        <w:t>Salmonella</w:t>
      </w:r>
      <w:r>
        <w:t xml:space="preserve">. Em contraste, o sabor Uva apresentou uma taxa de contaminação menor, com 40% das amostras positivas para o patógeno. Além disso, as análises indicaram uma quantidade significativa de </w:t>
      </w:r>
      <w:r>
        <w:rPr>
          <w:rFonts w:cs="Arial"/>
          <w:i/>
        </w:rPr>
        <w:t xml:space="preserve">Enterobacteriaceae </w:t>
      </w:r>
      <w:r>
        <w:t>em 40% as amostras testadas. Esses resultados destacam sérias preoc</w:t>
      </w:r>
      <w:r>
        <w:t xml:space="preserve">upações com a segurança alimentar dos gelados comestíveis vendidos em estádios. A alta taxa de contaminação por </w:t>
      </w:r>
      <w:r>
        <w:rPr>
          <w:rFonts w:cs="Arial"/>
          <w:i/>
        </w:rPr>
        <w:t>Salmonella</w:t>
      </w:r>
      <w:r>
        <w:t xml:space="preserve"> sugere deficiências nos processos de produção, manipulação e armazenamento dos gelados. O fato de todos os sabores, exceto o Uva, apresentarem contaminação total, aponta para a necessidade urgente de revisão e aprimoramento das práticas de higiene e controle de qualidade. A contaminação por enterobactérias também reforça a importância de um controle mais rigoroso na fabricação e comerci</w:t>
      </w:r>
      <w:r>
        <w:t>alização desses produtos. A ausência de pasteurização e o armazenamento inadequado dos gelados podem ser fatores contribuintes para a proliferação desses patógenos. Além disso, práticas inadequadas de higiene pessoal e limpeza de equipamentos podem estar favorecendo a contaminação cruzada. Desse modo, é crucial que os vendedores e produtores adotem medidas rigorosas para garantir a segurança alimentar, como a manutenção de temperaturas adequadas e a higienização correta dos utensílios e superfícies de traba</w:t>
      </w:r>
      <w:r>
        <w:t xml:space="preserve">lho. Em conclusão, os gelados comestíveis comercializados no estádio apresentam riscos significativos à saúde dos consumidores, com uma alta prevalência de </w:t>
      </w:r>
      <w:r>
        <w:rPr>
          <w:rFonts w:cs="Arial"/>
          <w:i/>
        </w:rPr>
        <w:t>Salmonella</w:t>
      </w:r>
      <w:r>
        <w:t xml:space="preserve"> e </w:t>
      </w:r>
      <w:r>
        <w:rPr>
          <w:rFonts w:cs="Arial"/>
          <w:i/>
        </w:rPr>
        <w:t>Enterobacteriacea</w:t>
      </w:r>
      <w:r>
        <w:t xml:space="preserve">. Recomenda-se uma revisão aprofundada das práticas de produção e manipulação para assegurar a conformidade com os padrões regulatórios, com o intuito de assegurar a saúde dos consumidores. </w:t>
      </w:r>
    </w:p>
    <w:p w14:paraId="5D3DADEC" w14:textId="77777777" w:rsidR="00C0250B" w:rsidRDefault="00EC5B5B">
      <w:pPr>
        <w:spacing w:after="0" w:line="259" w:lineRule="auto"/>
        <w:ind w:right="0" w:firstLine="0"/>
        <w:jc w:val="left"/>
      </w:pPr>
      <w:r>
        <w:t xml:space="preserve"> </w:t>
      </w:r>
    </w:p>
    <w:p w14:paraId="2246288D" w14:textId="77777777" w:rsidR="00C0250B" w:rsidRDefault="00EC5B5B">
      <w:pPr>
        <w:ind w:left="-15" w:right="-3" w:firstLine="0"/>
      </w:pPr>
      <w:r>
        <w:rPr>
          <w:rFonts w:cs="Arial"/>
          <w:b/>
        </w:rPr>
        <w:t>Palavras-chave</w:t>
      </w:r>
      <w:r>
        <w:t xml:space="preserve">: </w:t>
      </w:r>
      <w:r>
        <w:rPr>
          <w:rFonts w:cs="Arial"/>
          <w:i/>
        </w:rPr>
        <w:t>Salmonella</w:t>
      </w:r>
      <w:r>
        <w:t xml:space="preserve"> e </w:t>
      </w:r>
      <w:r>
        <w:rPr>
          <w:rFonts w:cs="Arial"/>
          <w:i/>
        </w:rPr>
        <w:t>Enterobacteriacea</w:t>
      </w:r>
      <w:r>
        <w:t xml:space="preserve"> Gelados Comestíveis. Segurança Alimentar. Análise Microbiológica. Contaminação. </w:t>
      </w:r>
    </w:p>
    <w:p w14:paraId="788E7FB0" w14:textId="77777777" w:rsidR="00C0250B" w:rsidRDefault="00EC5B5B">
      <w:pPr>
        <w:spacing w:after="118" w:line="259" w:lineRule="auto"/>
        <w:ind w:right="0" w:firstLine="0"/>
        <w:jc w:val="left"/>
      </w:pPr>
      <w:r>
        <w:rPr>
          <w:rFonts w:cs="Arial"/>
          <w:b/>
        </w:rPr>
        <w:t xml:space="preserve"> </w:t>
      </w:r>
    </w:p>
    <w:p w14:paraId="0DC5744F" w14:textId="77777777" w:rsidR="00C0250B" w:rsidRDefault="00EC5B5B">
      <w:pPr>
        <w:spacing w:after="117" w:line="259" w:lineRule="auto"/>
        <w:ind w:right="0" w:firstLine="0"/>
        <w:jc w:val="left"/>
      </w:pPr>
      <w:r>
        <w:rPr>
          <w:rFonts w:cs="Arial"/>
          <w:b/>
        </w:rPr>
        <w:t xml:space="preserve"> </w:t>
      </w:r>
    </w:p>
    <w:p w14:paraId="6B0BA76E" w14:textId="77777777" w:rsidR="00C0250B" w:rsidRDefault="00EC5B5B">
      <w:pPr>
        <w:spacing w:after="117" w:line="259" w:lineRule="auto"/>
        <w:ind w:right="0" w:firstLine="0"/>
        <w:jc w:val="left"/>
      </w:pPr>
      <w:r>
        <w:rPr>
          <w:rFonts w:cs="Arial"/>
          <w:b/>
        </w:rPr>
        <w:t xml:space="preserve"> </w:t>
      </w:r>
    </w:p>
    <w:p w14:paraId="392311A9" w14:textId="77777777" w:rsidR="00C0250B" w:rsidRDefault="00EC5B5B">
      <w:pPr>
        <w:spacing w:after="117" w:line="259" w:lineRule="auto"/>
        <w:ind w:right="0" w:firstLine="0"/>
        <w:jc w:val="left"/>
      </w:pPr>
      <w:r>
        <w:rPr>
          <w:rFonts w:cs="Arial"/>
          <w:b/>
        </w:rPr>
        <w:t xml:space="preserve"> </w:t>
      </w:r>
    </w:p>
    <w:p w14:paraId="11694D0D" w14:textId="77777777" w:rsidR="00C0250B" w:rsidRDefault="00EC5B5B">
      <w:pPr>
        <w:spacing w:after="112" w:line="259" w:lineRule="auto"/>
        <w:ind w:right="0" w:firstLine="0"/>
        <w:jc w:val="left"/>
      </w:pPr>
      <w:r>
        <w:t xml:space="preserve"> </w:t>
      </w:r>
    </w:p>
    <w:p w14:paraId="0FBD983C" w14:textId="77777777" w:rsidR="00C0250B" w:rsidRDefault="00EC5B5B">
      <w:pPr>
        <w:spacing w:after="117" w:line="259" w:lineRule="auto"/>
        <w:ind w:right="0" w:firstLine="0"/>
        <w:jc w:val="left"/>
      </w:pPr>
      <w:r>
        <w:t xml:space="preserve"> </w:t>
      </w:r>
    </w:p>
    <w:p w14:paraId="7785E539" w14:textId="77777777" w:rsidR="00C0250B" w:rsidRDefault="00EC5B5B">
      <w:pPr>
        <w:spacing w:after="117" w:line="259" w:lineRule="auto"/>
        <w:ind w:right="0" w:firstLine="0"/>
        <w:jc w:val="left"/>
      </w:pPr>
      <w:r>
        <w:t xml:space="preserve"> </w:t>
      </w:r>
    </w:p>
    <w:p w14:paraId="66B7BB15" w14:textId="77777777" w:rsidR="00C0250B" w:rsidRDefault="00EC5B5B">
      <w:pPr>
        <w:spacing w:after="117" w:line="259" w:lineRule="auto"/>
        <w:ind w:right="0" w:firstLine="0"/>
        <w:jc w:val="left"/>
      </w:pPr>
      <w:r>
        <w:t xml:space="preserve"> </w:t>
      </w:r>
    </w:p>
    <w:p w14:paraId="31910CBD" w14:textId="77777777" w:rsidR="00C0250B" w:rsidRDefault="00EC5B5B">
      <w:pPr>
        <w:spacing w:after="0" w:line="259" w:lineRule="auto"/>
        <w:ind w:right="0" w:firstLine="0"/>
        <w:jc w:val="left"/>
      </w:pPr>
      <w:r>
        <w:t xml:space="preserve"> </w:t>
      </w:r>
    </w:p>
    <w:p w14:paraId="24A28F05" w14:textId="77777777" w:rsidR="00C0250B" w:rsidRDefault="00EC5B5B">
      <w:pPr>
        <w:pStyle w:val="Ttulo1"/>
      </w:pPr>
      <w:r>
        <w:t>INTRODUÇÃO</w:t>
      </w:r>
      <w:r>
        <w:rPr>
          <w:b w:val="0"/>
          <w:vertAlign w:val="subscript"/>
        </w:rPr>
        <w:t xml:space="preserve"> </w:t>
      </w:r>
    </w:p>
    <w:p w14:paraId="0B557CED" w14:textId="77777777" w:rsidR="00C0250B" w:rsidRDefault="00EC5B5B">
      <w:pPr>
        <w:spacing w:after="0" w:line="259" w:lineRule="auto"/>
        <w:ind w:right="0" w:firstLine="0"/>
        <w:jc w:val="left"/>
      </w:pPr>
      <w:r>
        <w:t xml:space="preserve"> </w:t>
      </w:r>
    </w:p>
    <w:p w14:paraId="69A635DC" w14:textId="77777777" w:rsidR="00C0250B" w:rsidRDefault="00EC5B5B">
      <w:pPr>
        <w:spacing w:after="0" w:line="259" w:lineRule="auto"/>
        <w:ind w:right="0" w:firstLine="0"/>
        <w:jc w:val="left"/>
      </w:pPr>
      <w:r>
        <w:t xml:space="preserve"> </w:t>
      </w:r>
    </w:p>
    <w:p w14:paraId="286D27BE" w14:textId="77777777" w:rsidR="00C0250B" w:rsidRDefault="00EC5B5B">
      <w:pPr>
        <w:ind w:left="-15" w:right="-3"/>
      </w:pPr>
      <w:r>
        <w:t>O futebol é o esporte mais popular do Brasil e por conta da intensa paixão e devoção, milhares de torcedores ao redor do país vão aos estádios como forma de prestigiar e demonstrar seus sentimentos pelos clubes. À vista disso, outra tradição que ajudou a popularizar a ida aos estádios são os alimentos comercializados neles, pois as bebidas e as comidas licenciadas pela Federação Internacional de Futebol (FIFA) têm grande influência sobre como os fãs desfrutam dos jogos com mais confortabilidade (FAGUNDES et</w:t>
      </w:r>
      <w:r>
        <w:t xml:space="preserve"> al., 2015).</w:t>
      </w:r>
      <w:r>
        <w:rPr>
          <w:rFonts w:ascii="Times New Roman" w:eastAsia="Times New Roman" w:hAnsi="Times New Roman"/>
        </w:rPr>
        <w:t xml:space="preserve"> </w:t>
      </w:r>
    </w:p>
    <w:p w14:paraId="7E9A704C" w14:textId="77777777" w:rsidR="00C0250B" w:rsidRDefault="00EC5B5B">
      <w:pPr>
        <w:ind w:left="-15" w:right="-3"/>
      </w:pPr>
      <w:r>
        <w:t>Diante disso, um dos alimentos que possui um grande comércio nos estádios são os gelados comestíveis, que são definidos pela Agência Nacional de Vigilância Sanitária (ANVISA) como produtos alimentícios que passaram pelo processo de congelamento. Eles podem ser produzidos a partir de misturas entre açúcares, água e substâncias diversificadas, mas também ao emulsificar proteínas e gorduras, adicionando ou não outros componentes (BRASIL, 2005).</w:t>
      </w:r>
      <w:r>
        <w:rPr>
          <w:rFonts w:ascii="Times New Roman" w:eastAsia="Times New Roman" w:hAnsi="Times New Roman"/>
        </w:rPr>
        <w:t xml:space="preserve"> </w:t>
      </w:r>
      <w:r>
        <w:t>No estádio onde a pesquisa será realizada, o gelado comestível vendido é popularmente chamado de “geladinho de garrafinha”, porém, a depender da localidade, esse produto é conhecido por diferentes nomes, como dindim, sacolé, geladinho, gelinho, chup-chup, dentre outros (BARROS et al., 2018). Apesar de serem saborosos e bem atrativos, eles podem causar vários problemas à saúde das pessoas, visto que o produto não é pasteurizado em sua fase final. Desse modo, os consumidores se tornam suscetíveis a terem Doe</w:t>
      </w:r>
      <w:r>
        <w:t>nças transmitidas por alimentos (DTAs), pois o processo de higienização supracitado é responsável por eliminar bactérias patogênicas, as quais podem causar toxinfecções alimentares (SOUZA e SILVA, 2010).</w:t>
      </w:r>
      <w:r>
        <w:rPr>
          <w:rFonts w:ascii="Times New Roman" w:eastAsia="Times New Roman" w:hAnsi="Times New Roman"/>
        </w:rPr>
        <w:t xml:space="preserve"> </w:t>
      </w:r>
    </w:p>
    <w:p w14:paraId="05D3105E" w14:textId="77777777" w:rsidR="00C0250B" w:rsidRDefault="00EC5B5B">
      <w:pPr>
        <w:ind w:left="-15" w:right="-3"/>
      </w:pPr>
      <w:r>
        <w:t>Por conseguinte, a ausência de condições ideais na manipulação e fabricação da mercadoria, torna viável a ocorrência de contaminações dos produtos por microrganismos patogênicos durante o seu manuseio. Essa situação reflete também em uma possível contaminação por bactérias e fungos no espaço de tempo entre o recebimento do dinheiro e a entrega do produto (SOUZA; GONÇALVES; DIAS, 2017). Ademais, conforme a Resolução RDC nº 379, de 26 de abril de 1999, os ambulantes que não possuírem alguma refrigeração própr</w:t>
      </w:r>
      <w:r>
        <w:t>ia, devem conservar o gelado comestível a uma temperatura máxima de -5ºC (BRASIL, 1999). No entanto, muitos vendedores não dispõem de materiais e métodos suficientemente adequados para que haja uma conservação apropriada desses produtos.</w:t>
      </w:r>
      <w:r>
        <w:rPr>
          <w:rFonts w:ascii="Times New Roman" w:eastAsia="Times New Roman" w:hAnsi="Times New Roman"/>
        </w:rPr>
        <w:t xml:space="preserve"> </w:t>
      </w:r>
    </w:p>
    <w:p w14:paraId="0D27AA43" w14:textId="77777777" w:rsidR="00C0250B" w:rsidRDefault="00EC5B5B">
      <w:pPr>
        <w:ind w:left="-15" w:right="-3"/>
      </w:pPr>
      <w:r>
        <w:t xml:space="preserve">Diante do exposto, as pessoas ficam bastante vulneráveis a possuírem intoxicações alimentares causadas pelo consumo de enterotoxinas geradas por bactérias, as quais têm um impacto significativamente negativo na saúde (SANT´ANA; AZEREDO, 2005). Nesse sentido, como as crianças são o públicoalvo das vendas dos gelados comestíveis e possuem um sistema imune mais frágil que os adultos, elas estão mais suscetíveis a terem sintomas severos decorrentes da contaminação por esses alimentos (WARKE, et al., 2000). Com </w:t>
      </w:r>
      <w:r>
        <w:t xml:space="preserve">isso, os comerciantes sempre devem seguir, rigorosamente, os padrões de higienização estabelecidos, a fim de garantir que o produto tenha uma boa qualidade e que não gere danos à saúde dos consumidores. </w:t>
      </w:r>
      <w:r>
        <w:rPr>
          <w:rFonts w:ascii="Times New Roman" w:eastAsia="Times New Roman" w:hAnsi="Times New Roman"/>
        </w:rPr>
        <w:t xml:space="preserve"> </w:t>
      </w:r>
    </w:p>
    <w:p w14:paraId="45BB8416" w14:textId="77777777" w:rsidR="00C0250B" w:rsidRDefault="00EC5B5B">
      <w:pPr>
        <w:ind w:left="-15" w:right="-3"/>
      </w:pPr>
      <w:r>
        <w:t xml:space="preserve">Nesse sentido, como o alimento que será estudado é acessível a um grande público e possui as crianças como sua principal clientela, torna-se imprescindível analisar a sua qualidade microbiológica, com o propósito de preservar a segurança alimentar dos consumidores. </w:t>
      </w:r>
      <w:r>
        <w:rPr>
          <w:rFonts w:ascii="Times New Roman" w:eastAsia="Times New Roman" w:hAnsi="Times New Roman"/>
        </w:rPr>
        <w:t xml:space="preserve"> </w:t>
      </w:r>
    </w:p>
    <w:p w14:paraId="45C71F3A" w14:textId="77777777" w:rsidR="00C0250B" w:rsidRDefault="00EC5B5B">
      <w:pPr>
        <w:ind w:left="-15" w:right="-3"/>
      </w:pPr>
      <w:r>
        <w:t>No primeiro momento, o objetivo geral deste estudo é verificar a qualidade microbiológica dos gelados comestíveis disponíveis no mercado da cidade de Maceió - AL. Para alcançar esse objetivo, foram estabelecidos objetivos específicos que orientam a análise detalhada das amostras coletadas.</w:t>
      </w:r>
      <w:r>
        <w:rPr>
          <w:rFonts w:ascii="Times New Roman" w:eastAsia="Times New Roman" w:hAnsi="Times New Roman"/>
        </w:rPr>
        <w:t xml:space="preserve"> </w:t>
      </w:r>
    </w:p>
    <w:p w14:paraId="0305C8BE" w14:textId="77777777" w:rsidR="00C0250B" w:rsidRDefault="00EC5B5B">
      <w:pPr>
        <w:ind w:left="-15" w:right="-3"/>
      </w:pPr>
      <w:r>
        <w:t xml:space="preserve">Primeiramente, pretende-se analisar a presença de </w:t>
      </w:r>
      <w:r>
        <w:rPr>
          <w:rFonts w:cs="Arial"/>
          <w:i/>
        </w:rPr>
        <w:t xml:space="preserve">Enterobacteriaceae </w:t>
      </w:r>
      <w:r>
        <w:t xml:space="preserve">e </w:t>
      </w:r>
      <w:r>
        <w:rPr>
          <w:rFonts w:cs="Arial"/>
          <w:i/>
        </w:rPr>
        <w:t xml:space="preserve">Salmonella </w:t>
      </w:r>
      <w:r>
        <w:t xml:space="preserve">nos gelados comestíveis, focando na identificação de possíveis riscos microbiológicos associados a esses produtos. Esse aspecto é crucial para garantir a segurança alimentar e proteger os consumidores contra doenças transmitidas por alimentos. </w:t>
      </w:r>
      <w:r>
        <w:rPr>
          <w:rFonts w:ascii="Times New Roman" w:eastAsia="Times New Roman" w:hAnsi="Times New Roman"/>
        </w:rPr>
        <w:t xml:space="preserve"> </w:t>
      </w:r>
    </w:p>
    <w:p w14:paraId="0FF2DE3E" w14:textId="77777777" w:rsidR="00C0250B" w:rsidRDefault="00EC5B5B">
      <w:pPr>
        <w:ind w:left="-15" w:right="-3"/>
      </w:pPr>
      <w:r>
        <w:t>Além disso, outro objetivo é comparar as taxas de contaminação microbiológica entre diferentes sabores de gelados comestíveis. Essa análise permite identificar se há variações significativas de contaminação entre os sabores, o que é fundamental para direcionar estratégias de controle de qualidade mais eficazes e direcionadas.</w:t>
      </w:r>
      <w:r>
        <w:rPr>
          <w:rFonts w:ascii="Times New Roman" w:eastAsia="Times New Roman" w:hAnsi="Times New Roman"/>
        </w:rPr>
        <w:t xml:space="preserve"> </w:t>
      </w:r>
    </w:p>
    <w:p w14:paraId="7344B35C" w14:textId="77777777" w:rsidR="00C0250B" w:rsidRDefault="00EC5B5B">
      <w:pPr>
        <w:ind w:left="-15" w:right="-3"/>
      </w:pPr>
      <w:r>
        <w:t>Por fim, o último objetivo é avaliar a conformidade das amostras de gelados comestíveis com os critérios microbiológicos estabelecidos pela legislação vigente. Esse ponto visa garantir que os produtos analisados estejam em conformidade com os padrões regulatórios de segurança alimentar, promovendo assim a proteção da saúde dos consumidores e incentivando a melhoria contínua dos processos de produção e comercialização.</w:t>
      </w:r>
      <w:r>
        <w:rPr>
          <w:rFonts w:ascii="Times New Roman" w:eastAsia="Times New Roman" w:hAnsi="Times New Roman"/>
        </w:rPr>
        <w:t xml:space="preserve"> </w:t>
      </w:r>
    </w:p>
    <w:p w14:paraId="2DA1C22A" w14:textId="77777777" w:rsidR="00C0250B" w:rsidRDefault="00EC5B5B">
      <w:pPr>
        <w:spacing w:after="0" w:line="259" w:lineRule="auto"/>
        <w:ind w:right="0" w:firstLine="0"/>
        <w:jc w:val="left"/>
      </w:pPr>
      <w:r>
        <w:t xml:space="preserve"> </w:t>
      </w:r>
    </w:p>
    <w:p w14:paraId="31A294C2" w14:textId="77777777" w:rsidR="00C0250B" w:rsidRDefault="00EC5B5B">
      <w:pPr>
        <w:spacing w:after="0" w:line="259" w:lineRule="auto"/>
        <w:ind w:right="0" w:firstLine="0"/>
        <w:jc w:val="left"/>
      </w:pPr>
      <w:r>
        <w:t xml:space="preserve"> </w:t>
      </w:r>
    </w:p>
    <w:p w14:paraId="4531A59A" w14:textId="77777777" w:rsidR="00C0250B" w:rsidRDefault="00EC5B5B">
      <w:pPr>
        <w:spacing w:after="0" w:line="259" w:lineRule="auto"/>
        <w:ind w:right="0" w:firstLine="0"/>
        <w:jc w:val="left"/>
      </w:pPr>
      <w:r>
        <w:t xml:space="preserve"> </w:t>
      </w:r>
    </w:p>
    <w:p w14:paraId="1CAAD798" w14:textId="77777777" w:rsidR="00C0250B" w:rsidRDefault="00EC5B5B">
      <w:pPr>
        <w:spacing w:after="0" w:line="259" w:lineRule="auto"/>
        <w:ind w:right="0" w:firstLine="0"/>
        <w:jc w:val="left"/>
      </w:pPr>
      <w:r>
        <w:t xml:space="preserve"> </w:t>
      </w:r>
    </w:p>
    <w:p w14:paraId="611DA31B" w14:textId="77777777" w:rsidR="00C0250B" w:rsidRDefault="00EC5B5B">
      <w:pPr>
        <w:spacing w:after="0" w:line="259" w:lineRule="auto"/>
        <w:ind w:right="0" w:firstLine="0"/>
        <w:jc w:val="left"/>
      </w:pPr>
      <w:r>
        <w:t xml:space="preserve"> </w:t>
      </w:r>
    </w:p>
    <w:p w14:paraId="49072830" w14:textId="77777777" w:rsidR="00C0250B" w:rsidRDefault="00EC5B5B">
      <w:pPr>
        <w:spacing w:after="0" w:line="259" w:lineRule="auto"/>
        <w:ind w:right="0" w:firstLine="0"/>
        <w:jc w:val="left"/>
      </w:pPr>
      <w:r>
        <w:t xml:space="preserve"> </w:t>
      </w:r>
    </w:p>
    <w:p w14:paraId="329D8A10" w14:textId="77777777" w:rsidR="00C0250B" w:rsidRDefault="00EC5B5B">
      <w:pPr>
        <w:spacing w:after="0" w:line="259" w:lineRule="auto"/>
        <w:ind w:right="0" w:firstLine="0"/>
        <w:jc w:val="left"/>
      </w:pPr>
      <w:r>
        <w:t xml:space="preserve"> </w:t>
      </w:r>
    </w:p>
    <w:p w14:paraId="60C64C5F" w14:textId="77777777" w:rsidR="00C0250B" w:rsidRDefault="00EC5B5B">
      <w:pPr>
        <w:spacing w:after="0" w:line="259" w:lineRule="auto"/>
        <w:ind w:right="0" w:firstLine="0"/>
        <w:jc w:val="left"/>
      </w:pPr>
      <w:r>
        <w:t xml:space="preserve"> </w:t>
      </w:r>
    </w:p>
    <w:p w14:paraId="326CBA12" w14:textId="77777777" w:rsidR="00C0250B" w:rsidRDefault="00EC5B5B">
      <w:pPr>
        <w:spacing w:after="0" w:line="259" w:lineRule="auto"/>
        <w:ind w:right="0" w:firstLine="0"/>
        <w:jc w:val="left"/>
      </w:pPr>
      <w:r>
        <w:t xml:space="preserve"> </w:t>
      </w:r>
    </w:p>
    <w:p w14:paraId="102B0B0D" w14:textId="77777777" w:rsidR="00C0250B" w:rsidRDefault="00EC5B5B">
      <w:pPr>
        <w:spacing w:after="0" w:line="259" w:lineRule="auto"/>
        <w:ind w:right="0" w:firstLine="0"/>
        <w:jc w:val="left"/>
      </w:pPr>
      <w:r>
        <w:t xml:space="preserve"> </w:t>
      </w:r>
    </w:p>
    <w:p w14:paraId="5E53A246" w14:textId="77777777" w:rsidR="00C0250B" w:rsidRDefault="00EC5B5B">
      <w:pPr>
        <w:spacing w:after="0" w:line="259" w:lineRule="auto"/>
        <w:ind w:right="0" w:firstLine="0"/>
        <w:jc w:val="left"/>
      </w:pPr>
      <w:r>
        <w:t xml:space="preserve"> </w:t>
      </w:r>
    </w:p>
    <w:p w14:paraId="49854C3E" w14:textId="77777777" w:rsidR="00C0250B" w:rsidRDefault="00EC5B5B">
      <w:pPr>
        <w:spacing w:after="0" w:line="259" w:lineRule="auto"/>
        <w:ind w:right="0" w:firstLine="0"/>
        <w:jc w:val="left"/>
      </w:pPr>
      <w:r>
        <w:t xml:space="preserve"> </w:t>
      </w:r>
    </w:p>
    <w:p w14:paraId="19CAC72F" w14:textId="77777777" w:rsidR="00C0250B" w:rsidRDefault="00EC5B5B">
      <w:pPr>
        <w:spacing w:after="0" w:line="259" w:lineRule="auto"/>
        <w:ind w:right="0" w:firstLine="0"/>
        <w:jc w:val="left"/>
      </w:pPr>
      <w:r>
        <w:t xml:space="preserve"> </w:t>
      </w:r>
    </w:p>
    <w:p w14:paraId="134815B1" w14:textId="77777777" w:rsidR="00C0250B" w:rsidRDefault="00EC5B5B">
      <w:pPr>
        <w:spacing w:after="0" w:line="259" w:lineRule="auto"/>
        <w:ind w:right="0" w:firstLine="0"/>
        <w:jc w:val="left"/>
      </w:pPr>
      <w:r>
        <w:t xml:space="preserve"> </w:t>
      </w:r>
    </w:p>
    <w:p w14:paraId="4F74E2F1" w14:textId="77777777" w:rsidR="00C0250B" w:rsidRDefault="00EC5B5B">
      <w:pPr>
        <w:spacing w:after="0" w:line="259" w:lineRule="auto"/>
        <w:ind w:right="0" w:firstLine="0"/>
        <w:jc w:val="left"/>
      </w:pPr>
      <w:r>
        <w:t xml:space="preserve"> </w:t>
      </w:r>
    </w:p>
    <w:p w14:paraId="523327DE" w14:textId="77777777" w:rsidR="00C0250B" w:rsidRDefault="00EC5B5B">
      <w:pPr>
        <w:spacing w:after="0" w:line="259" w:lineRule="auto"/>
        <w:ind w:right="0" w:firstLine="0"/>
        <w:jc w:val="left"/>
      </w:pPr>
      <w:r>
        <w:t xml:space="preserve"> </w:t>
      </w:r>
    </w:p>
    <w:p w14:paraId="0F8D5435" w14:textId="77777777" w:rsidR="00C0250B" w:rsidRDefault="00EC5B5B">
      <w:pPr>
        <w:spacing w:after="0" w:line="259" w:lineRule="auto"/>
        <w:ind w:right="0" w:firstLine="0"/>
        <w:jc w:val="left"/>
      </w:pPr>
      <w:r>
        <w:t xml:space="preserve"> </w:t>
      </w:r>
    </w:p>
    <w:p w14:paraId="3BE41F97" w14:textId="77777777" w:rsidR="00C0250B" w:rsidRDefault="00EC5B5B">
      <w:pPr>
        <w:spacing w:after="0" w:line="259" w:lineRule="auto"/>
        <w:ind w:right="0" w:firstLine="0"/>
        <w:jc w:val="left"/>
      </w:pPr>
      <w:r>
        <w:t xml:space="preserve"> </w:t>
      </w:r>
    </w:p>
    <w:p w14:paraId="399CAF62" w14:textId="77777777" w:rsidR="00C0250B" w:rsidRDefault="00EC5B5B">
      <w:pPr>
        <w:spacing w:after="0" w:line="259" w:lineRule="auto"/>
        <w:ind w:right="0" w:firstLine="0"/>
        <w:jc w:val="left"/>
      </w:pPr>
      <w:r>
        <w:t xml:space="preserve"> </w:t>
      </w:r>
    </w:p>
    <w:p w14:paraId="4B012009" w14:textId="77777777" w:rsidR="00C0250B" w:rsidRDefault="00EC5B5B">
      <w:pPr>
        <w:spacing w:after="0" w:line="259" w:lineRule="auto"/>
        <w:ind w:right="0" w:firstLine="0"/>
        <w:jc w:val="left"/>
      </w:pPr>
      <w:r>
        <w:t xml:space="preserve"> </w:t>
      </w:r>
    </w:p>
    <w:p w14:paraId="0536E685" w14:textId="77777777" w:rsidR="00C0250B" w:rsidRDefault="00EC5B5B">
      <w:pPr>
        <w:spacing w:after="0" w:line="259" w:lineRule="auto"/>
        <w:ind w:right="0" w:firstLine="0"/>
        <w:jc w:val="left"/>
      </w:pPr>
      <w:r>
        <w:t xml:space="preserve"> </w:t>
      </w:r>
    </w:p>
    <w:p w14:paraId="2636295A" w14:textId="77777777" w:rsidR="00C0250B" w:rsidRDefault="00EC5B5B">
      <w:pPr>
        <w:spacing w:after="0" w:line="259" w:lineRule="auto"/>
        <w:ind w:right="0" w:firstLine="0"/>
        <w:jc w:val="left"/>
      </w:pPr>
      <w:r>
        <w:t xml:space="preserve"> </w:t>
      </w:r>
    </w:p>
    <w:p w14:paraId="06DD1B8B" w14:textId="77777777" w:rsidR="00C0250B" w:rsidRDefault="00EC5B5B">
      <w:pPr>
        <w:spacing w:after="0" w:line="259" w:lineRule="auto"/>
        <w:ind w:right="0" w:firstLine="0"/>
        <w:jc w:val="left"/>
      </w:pPr>
      <w:r>
        <w:t xml:space="preserve"> </w:t>
      </w:r>
    </w:p>
    <w:p w14:paraId="6B765FA9" w14:textId="77777777" w:rsidR="00C0250B" w:rsidRDefault="00EC5B5B">
      <w:pPr>
        <w:spacing w:after="0" w:line="259" w:lineRule="auto"/>
        <w:ind w:right="0" w:firstLine="0"/>
        <w:jc w:val="left"/>
      </w:pPr>
      <w:r>
        <w:t xml:space="preserve"> </w:t>
      </w:r>
    </w:p>
    <w:p w14:paraId="3740D121" w14:textId="77777777" w:rsidR="00C0250B" w:rsidRDefault="00EC5B5B">
      <w:pPr>
        <w:spacing w:after="0" w:line="259" w:lineRule="auto"/>
        <w:ind w:right="0" w:firstLine="0"/>
        <w:jc w:val="left"/>
      </w:pPr>
      <w:r>
        <w:t xml:space="preserve"> </w:t>
      </w:r>
    </w:p>
    <w:p w14:paraId="4CA3A6B2" w14:textId="77777777" w:rsidR="00C0250B" w:rsidRDefault="00EC5B5B">
      <w:pPr>
        <w:spacing w:after="0" w:line="259" w:lineRule="auto"/>
        <w:ind w:right="0" w:firstLine="0"/>
        <w:jc w:val="left"/>
      </w:pPr>
      <w:r>
        <w:t xml:space="preserve"> </w:t>
      </w:r>
    </w:p>
    <w:p w14:paraId="3D3ECDFC" w14:textId="77777777" w:rsidR="00C0250B" w:rsidRDefault="00EC5B5B">
      <w:pPr>
        <w:spacing w:after="0" w:line="259" w:lineRule="auto"/>
        <w:ind w:right="0" w:firstLine="0"/>
        <w:jc w:val="left"/>
      </w:pPr>
      <w:r>
        <w:t xml:space="preserve"> </w:t>
      </w:r>
    </w:p>
    <w:p w14:paraId="2D7115CA" w14:textId="77777777" w:rsidR="00C0250B" w:rsidRDefault="00EC5B5B">
      <w:pPr>
        <w:spacing w:after="0" w:line="259" w:lineRule="auto"/>
        <w:ind w:right="0" w:firstLine="0"/>
        <w:jc w:val="left"/>
      </w:pPr>
      <w:r>
        <w:t xml:space="preserve"> </w:t>
      </w:r>
    </w:p>
    <w:p w14:paraId="665DA6AB" w14:textId="77777777" w:rsidR="00C0250B" w:rsidRDefault="00EC5B5B">
      <w:pPr>
        <w:spacing w:after="0" w:line="259" w:lineRule="auto"/>
        <w:ind w:right="0" w:firstLine="0"/>
        <w:jc w:val="left"/>
      </w:pPr>
      <w:r>
        <w:t xml:space="preserve"> </w:t>
      </w:r>
    </w:p>
    <w:p w14:paraId="31CFE87B" w14:textId="77777777" w:rsidR="00C0250B" w:rsidRDefault="00EC5B5B">
      <w:pPr>
        <w:spacing w:after="0" w:line="259" w:lineRule="auto"/>
        <w:ind w:right="0" w:firstLine="0"/>
        <w:jc w:val="left"/>
      </w:pPr>
      <w:r>
        <w:t xml:space="preserve"> </w:t>
      </w:r>
    </w:p>
    <w:p w14:paraId="101681EA" w14:textId="77777777" w:rsidR="00C0250B" w:rsidRDefault="00EC5B5B">
      <w:pPr>
        <w:spacing w:after="0" w:line="259" w:lineRule="auto"/>
        <w:ind w:right="0" w:firstLine="0"/>
        <w:jc w:val="left"/>
      </w:pPr>
      <w:r>
        <w:t xml:space="preserve"> </w:t>
      </w:r>
    </w:p>
    <w:p w14:paraId="4A82AF92" w14:textId="77777777" w:rsidR="00C0250B" w:rsidRDefault="00EC5B5B">
      <w:pPr>
        <w:spacing w:after="0" w:line="259" w:lineRule="auto"/>
        <w:ind w:right="0" w:firstLine="0"/>
        <w:jc w:val="left"/>
      </w:pPr>
      <w:r>
        <w:t xml:space="preserve"> </w:t>
      </w:r>
    </w:p>
    <w:p w14:paraId="12964B69" w14:textId="77777777" w:rsidR="00C0250B" w:rsidRDefault="00EC5B5B">
      <w:pPr>
        <w:pStyle w:val="Ttulo1"/>
        <w:spacing w:after="32"/>
      </w:pPr>
      <w:r>
        <w:t>MATERIAL E MÉTODO</w:t>
      </w:r>
      <w:r>
        <w:rPr>
          <w:b w:val="0"/>
          <w:vertAlign w:val="subscript"/>
        </w:rPr>
        <w:t xml:space="preserve"> </w:t>
      </w:r>
    </w:p>
    <w:p w14:paraId="2AD7A6AE" w14:textId="77777777" w:rsidR="00C0250B" w:rsidRDefault="00EC5B5B">
      <w:pPr>
        <w:spacing w:after="61" w:line="259" w:lineRule="auto"/>
        <w:ind w:right="0" w:firstLine="0"/>
        <w:jc w:val="left"/>
      </w:pPr>
      <w:r>
        <w:rPr>
          <w:sz w:val="16"/>
        </w:rPr>
        <w:t xml:space="preserve"> </w:t>
      </w:r>
    </w:p>
    <w:p w14:paraId="2E222925" w14:textId="77777777" w:rsidR="00C0250B" w:rsidRDefault="00EC5B5B">
      <w:pPr>
        <w:ind w:left="-15" w:right="-3"/>
      </w:pPr>
      <w:r>
        <w:t xml:space="preserve">A presente pesquisa foi desenvolvida como um estudo transversal de perfil exploratório e descritivo, que consistiu na análise microbiológica de gelados comestíveis comercializados em um estádio de futebol na cidade de Maceió, Alagoas. Primeiramente, aderiu-se como método de inclusão as amostras que apresentarem embalagens intactas, sem lactose e na forma padrão dos gelados de garrafinhas. Consequentemente, todas as amostras as quais não se enquadraram no perfil inclusivo citado foram excluídas. </w:t>
      </w:r>
      <w:r>
        <w:rPr>
          <w:rFonts w:ascii="Times New Roman" w:eastAsia="Times New Roman" w:hAnsi="Times New Roman"/>
        </w:rPr>
        <w:t xml:space="preserve"> </w:t>
      </w:r>
    </w:p>
    <w:p w14:paraId="6F91324D" w14:textId="77777777" w:rsidR="00C0250B" w:rsidRDefault="00EC5B5B">
      <w:pPr>
        <w:ind w:left="-15" w:right="-3"/>
      </w:pPr>
      <w:r>
        <w:t>Assim, durante um período de 5 semanas, foram coletadas um total de 20 amostras de gelados comestíveis. Cada semana, foram coletadas 4 amostras dos seguintes sabores: maçã com coco, morango, laranja e uva. Esse método permitiu uma análise abrangente da qualidade microbiológica desses produtos ao longo do tempo, abordando diferentes sabores regularmente para compreender possíveis variações na contaminação microbiológica. Após a coleta, as amostras foram armazenadas em caixas isotérmicas com gelo e transporta</w:t>
      </w:r>
      <w:r>
        <w:t>das imediatamente até o laboratório do Centro Universitário Cesmac para análise.</w:t>
      </w:r>
      <w:r>
        <w:rPr>
          <w:rFonts w:ascii="Times New Roman" w:eastAsia="Times New Roman" w:hAnsi="Times New Roman"/>
        </w:rPr>
        <w:t xml:space="preserve"> </w:t>
      </w:r>
    </w:p>
    <w:p w14:paraId="3043A737" w14:textId="77777777" w:rsidR="00C0250B" w:rsidRDefault="00EC5B5B">
      <w:pPr>
        <w:ind w:left="-15" w:right="-3"/>
      </w:pPr>
      <w:r>
        <w:t xml:space="preserve">Como os gelados comestíveis comercializados no estádio onde foi realizada a coleta não possuírem a adição de leite, a averiguação do padrão microbiológico estabelecido pela Anvisa engloba a verificação da presença de </w:t>
      </w:r>
      <w:r>
        <w:rPr>
          <w:rFonts w:cs="Arial"/>
          <w:i/>
        </w:rPr>
        <w:t>Enterobacteriaceae</w:t>
      </w:r>
      <w:r>
        <w:t xml:space="preserve"> e </w:t>
      </w:r>
      <w:r>
        <w:rPr>
          <w:rFonts w:cs="Arial"/>
          <w:i/>
        </w:rPr>
        <w:t xml:space="preserve">Salmonella </w:t>
      </w:r>
      <w:r>
        <w:t>(BRASIL, 2022).</w:t>
      </w:r>
      <w:r>
        <w:rPr>
          <w:rFonts w:ascii="Times New Roman" w:eastAsia="Times New Roman" w:hAnsi="Times New Roman"/>
        </w:rPr>
        <w:t xml:space="preserve"> </w:t>
      </w:r>
    </w:p>
    <w:p w14:paraId="2E72AA65" w14:textId="77777777" w:rsidR="00C0250B" w:rsidRDefault="00EC5B5B">
      <w:pPr>
        <w:ind w:left="-15" w:right="-3" w:firstLine="0"/>
      </w:pPr>
      <w:r>
        <w:rPr>
          <w:color w:val="FF0000"/>
        </w:rPr>
        <w:t xml:space="preserve">          </w:t>
      </w:r>
      <w:r>
        <w:t>Posto isto, as análises microbiológicas de Enterobactérias foram realizadas em placas Petrifilm. A priori, o preparo da análise constituiu na pesagem de 25 gramas das amostras e, posteriormente na transferência para frascos contendo 225 mL de água peptonada estéril 0,1% (diluição</w:t>
      </w:r>
      <w:r>
        <w:rPr>
          <w:sz w:val="21"/>
        </w:rPr>
        <w:t xml:space="preserve"> 10</w:t>
      </w:r>
      <w:r>
        <w:rPr>
          <w:sz w:val="14"/>
          <w:vertAlign w:val="superscript"/>
        </w:rPr>
        <w:t>-1</w:t>
      </w:r>
      <w:r>
        <w:t>). Após esse processo, a solução foi agitada e homogeneizada até se encontrar totalmente diluída. Inoculou-se 1 mL dessa amostra, respeitando a especificidade das placas e obedecendo o tempo ideal do respectivo microrganismo in</w:t>
      </w:r>
      <w:r>
        <w:t xml:space="preserve">dicador. Dessa forma, todas as análises seguiram as especificidades e orientações dos fabricantes das placas de Petrifilm™ (3M DO BRASIL LTDA, 2021). </w:t>
      </w:r>
      <w:r>
        <w:rPr>
          <w:rFonts w:ascii="Times New Roman" w:eastAsia="Times New Roman" w:hAnsi="Times New Roman"/>
        </w:rPr>
        <w:t xml:space="preserve"> </w:t>
      </w:r>
    </w:p>
    <w:p w14:paraId="7FFFAE1E" w14:textId="77777777" w:rsidR="00C0250B" w:rsidRDefault="00EC5B5B">
      <w:pPr>
        <w:ind w:left="-15" w:right="-3"/>
      </w:pPr>
      <w:r>
        <w:t xml:space="preserve">A presença de </w:t>
      </w:r>
      <w:r>
        <w:rPr>
          <w:rFonts w:cs="Arial"/>
          <w:i/>
        </w:rPr>
        <w:t>Enterobacteriaceae</w:t>
      </w:r>
      <w:r>
        <w:t xml:space="preserve"> nas análises é identificada pela formação de colônias vermelhas que são rodeadas por zonas amarelas. Além disso, o filme superior retém o gás formado por algumas bactérias. Após a incubação, as placas foram submetidas aos contadores de colônias. Então, mediante o logaritmo decimal do número de unidades formadoras de colônias por grama de amostra (UFC/g), foi possível contabilizar as colônias existentes. Os dados coletados foram anexados em planilhas para, então, serem analisados de forma </w:t>
      </w:r>
      <w:r>
        <w:t>quantitativa e descritiva.</w:t>
      </w:r>
      <w:r>
        <w:rPr>
          <w:rFonts w:ascii="Times New Roman" w:eastAsia="Times New Roman" w:hAnsi="Times New Roman"/>
        </w:rPr>
        <w:t xml:space="preserve"> </w:t>
      </w:r>
    </w:p>
    <w:p w14:paraId="0EC7B567" w14:textId="77777777" w:rsidR="00C0250B" w:rsidRDefault="00EC5B5B">
      <w:pPr>
        <w:ind w:left="-15" w:right="-3"/>
      </w:pPr>
      <w:r>
        <w:t xml:space="preserve">Outrossim, para a detecção de </w:t>
      </w:r>
      <w:r>
        <w:rPr>
          <w:rFonts w:cs="Arial"/>
          <w:i/>
        </w:rPr>
        <w:t>Salmonella</w:t>
      </w:r>
      <w:r>
        <w:t xml:space="preserve"> foi realizado o processo com enriquecimento, que consiste em adicionar 25g da amostra em 225mL de Caldo Lactosado. A mistura foi incubada a 35°C/24h em enriquecimento não seletivo. Do caldo não seletivo, foi retirado com pipeta automática 0,1mL e 1 mL para tubos contendo 10mL de Caldo Rappaport-Vassiliadis (RV) e 10mL de Caldo Selenito Cistina (SC) respectivamente; o primeiro sendo levado para incubação a 41,5°C/24h, e o segundo a 37°C/24h. Depois do enriquecimento, inoculações por esgotamento fo</w:t>
      </w:r>
      <w:r>
        <w:t>ram realizadas em placas duplicadas que contenham Ágar Sulfito Bismuto (BS), Ágar Xilose-Lisina-Desoxicolato (XLD) e Ágar Hektoen Enteric (HE) para serem incubadas em estufa a 35-37°C/24h.</w:t>
      </w:r>
      <w:r>
        <w:rPr>
          <w:rFonts w:ascii="Times New Roman" w:eastAsia="Times New Roman" w:hAnsi="Times New Roman"/>
        </w:rPr>
        <w:t xml:space="preserve"> </w:t>
      </w:r>
    </w:p>
    <w:p w14:paraId="1E86F7AD" w14:textId="77777777" w:rsidR="00C0250B" w:rsidRDefault="00EC5B5B">
      <w:pPr>
        <w:ind w:left="-15" w:right="-3"/>
      </w:pPr>
      <w:r>
        <w:t>Após esse processo de incubação, foi observado se houve o desenvolvimento de colônias típicas em cada tipo de Ágar onde a cultura tenha sido inoculada. No Ágar XLD as colônias de típicas são cor de rosa escuro, com ou sem centro preto e uma zona avermelhada levemente transparente ao redor; Cepas fortemente produtoras de H</w:t>
      </w:r>
      <w:r>
        <w:rPr>
          <w:sz w:val="9"/>
        </w:rPr>
        <w:t>2</w:t>
      </w:r>
      <w:r>
        <w:t>S podem produzir colônias com centro preto grande e brilhante, ou mesmo inteiramente pretas; enquanto em Ágar HE podem surgir colônias verde-azuladas, com ou sem centro preto. E no fundo de cada placa deverá ser realizada a marcação de cinco colônias típicas para a confirmação e em caso de haver menos de cinco, deverá marcar todas.</w:t>
      </w:r>
      <w:r>
        <w:rPr>
          <w:rFonts w:ascii="Times New Roman" w:eastAsia="Times New Roman" w:hAnsi="Times New Roman"/>
        </w:rPr>
        <w:t xml:space="preserve"> </w:t>
      </w:r>
    </w:p>
    <w:p w14:paraId="3AD877B9" w14:textId="77777777" w:rsidR="00C0250B" w:rsidRDefault="00EC5B5B">
      <w:pPr>
        <w:ind w:left="-15" w:right="-3"/>
      </w:pPr>
      <w:r>
        <w:t>No caso da positividade para o crescimento de colônias típicas, ocorreu uma seleção das colônias marcadas para submissão à confirmação. Para isso, foram realizadas estrias de esgotamento na cultura de cada colônia selecionada em uma placa de Ágar Nutriente (NA), para purificação e sucessivamente, elas deverão ser levadas para incubação das suas placas invertidas a 37°C/24h. Ao fim desta incubação, ocorreu a seleção de uma colônia bem isolada de cada placa de NA para a realização dos testes de confirmação em</w:t>
      </w:r>
      <w:r>
        <w:t xml:space="preserve"> teste de crescimento em Ágar Tríplice Açúcar Ferro (TSI) e Ágar Lisina Ferro (LIA), utilizando uma agulha de inoculação para inocular cada cultura em um tubo inclinado de TSI e outro de LIA, por picada e estrias na rampa. Por fim, os tubos foram incubados a uma temperatura de 37°C/24h, com as tampas afrouxadas, a fim de mantê-los com condições aeróbicas adequadas e prevenir a produção de H</w:t>
      </w:r>
      <w:r>
        <w:rPr>
          <w:sz w:val="9"/>
        </w:rPr>
        <w:t>2</w:t>
      </w:r>
      <w:r>
        <w:t>S em excesso (SILVA et al., 2007).</w:t>
      </w:r>
      <w:r>
        <w:rPr>
          <w:rFonts w:ascii="Times New Roman" w:eastAsia="Times New Roman" w:hAnsi="Times New Roman"/>
        </w:rPr>
        <w:t xml:space="preserve"> </w:t>
      </w:r>
    </w:p>
    <w:p w14:paraId="1D75BFD0" w14:textId="77777777" w:rsidR="00C0250B" w:rsidRDefault="00EC5B5B">
      <w:pPr>
        <w:spacing w:after="0" w:line="259" w:lineRule="auto"/>
        <w:ind w:right="0" w:firstLine="0"/>
        <w:jc w:val="left"/>
      </w:pPr>
      <w:r>
        <w:t xml:space="preserve"> </w:t>
      </w:r>
    </w:p>
    <w:p w14:paraId="494C4C9A" w14:textId="77777777" w:rsidR="00C0250B" w:rsidRDefault="00EC5B5B">
      <w:pPr>
        <w:spacing w:after="0" w:line="259" w:lineRule="auto"/>
        <w:ind w:right="0" w:firstLine="0"/>
        <w:jc w:val="left"/>
      </w:pPr>
      <w:r>
        <w:t xml:space="preserve"> </w:t>
      </w:r>
    </w:p>
    <w:p w14:paraId="0F239913" w14:textId="77777777" w:rsidR="00C0250B" w:rsidRDefault="00EC5B5B">
      <w:pPr>
        <w:spacing w:after="0" w:line="259" w:lineRule="auto"/>
        <w:ind w:right="0" w:firstLine="0"/>
        <w:jc w:val="left"/>
      </w:pPr>
      <w:r>
        <w:t xml:space="preserve"> </w:t>
      </w:r>
    </w:p>
    <w:p w14:paraId="63B41B4F" w14:textId="77777777" w:rsidR="00C0250B" w:rsidRDefault="00EC5B5B">
      <w:pPr>
        <w:spacing w:after="0" w:line="259" w:lineRule="auto"/>
        <w:ind w:right="0" w:firstLine="0"/>
        <w:jc w:val="left"/>
      </w:pPr>
      <w:r>
        <w:t xml:space="preserve"> </w:t>
      </w:r>
    </w:p>
    <w:p w14:paraId="0F888264" w14:textId="77777777" w:rsidR="00C0250B" w:rsidRDefault="00EC5B5B">
      <w:pPr>
        <w:spacing w:after="0" w:line="259" w:lineRule="auto"/>
        <w:ind w:right="0" w:firstLine="0"/>
        <w:jc w:val="left"/>
      </w:pPr>
      <w:r>
        <w:t xml:space="preserve"> </w:t>
      </w:r>
    </w:p>
    <w:p w14:paraId="02FEDDE5" w14:textId="77777777" w:rsidR="00C0250B" w:rsidRDefault="00EC5B5B">
      <w:pPr>
        <w:spacing w:after="0" w:line="259" w:lineRule="auto"/>
        <w:ind w:right="0" w:firstLine="0"/>
        <w:jc w:val="left"/>
      </w:pPr>
      <w:r>
        <w:t xml:space="preserve"> </w:t>
      </w:r>
    </w:p>
    <w:p w14:paraId="06934A13" w14:textId="77777777" w:rsidR="00C0250B" w:rsidRDefault="00EC5B5B">
      <w:pPr>
        <w:spacing w:after="0" w:line="259" w:lineRule="auto"/>
        <w:ind w:right="0" w:firstLine="0"/>
        <w:jc w:val="left"/>
      </w:pPr>
      <w:r>
        <w:t xml:space="preserve"> </w:t>
      </w:r>
    </w:p>
    <w:p w14:paraId="5B8D7100" w14:textId="77777777" w:rsidR="00C0250B" w:rsidRDefault="00EC5B5B">
      <w:pPr>
        <w:spacing w:after="0" w:line="259" w:lineRule="auto"/>
        <w:ind w:right="0" w:firstLine="0"/>
        <w:jc w:val="left"/>
      </w:pPr>
      <w:r>
        <w:t xml:space="preserve"> </w:t>
      </w:r>
    </w:p>
    <w:p w14:paraId="5C350361" w14:textId="77777777" w:rsidR="00C0250B" w:rsidRDefault="00EC5B5B">
      <w:pPr>
        <w:spacing w:after="0" w:line="259" w:lineRule="auto"/>
        <w:ind w:right="0" w:firstLine="0"/>
        <w:jc w:val="left"/>
      </w:pPr>
      <w:r>
        <w:t xml:space="preserve"> </w:t>
      </w:r>
    </w:p>
    <w:p w14:paraId="78CF987F" w14:textId="77777777" w:rsidR="00C0250B" w:rsidRDefault="00EC5B5B">
      <w:pPr>
        <w:spacing w:after="0" w:line="259" w:lineRule="auto"/>
        <w:ind w:right="0" w:firstLine="0"/>
        <w:jc w:val="left"/>
      </w:pPr>
      <w:r>
        <w:t xml:space="preserve"> </w:t>
      </w:r>
    </w:p>
    <w:p w14:paraId="4F1A2E6E" w14:textId="77777777" w:rsidR="00C0250B" w:rsidRDefault="00EC5B5B">
      <w:pPr>
        <w:spacing w:after="0" w:line="259" w:lineRule="auto"/>
        <w:ind w:right="0" w:firstLine="0"/>
        <w:jc w:val="left"/>
      </w:pPr>
      <w:r>
        <w:t xml:space="preserve"> </w:t>
      </w:r>
    </w:p>
    <w:p w14:paraId="3A741A30" w14:textId="77777777" w:rsidR="00C0250B" w:rsidRDefault="00EC5B5B">
      <w:pPr>
        <w:spacing w:after="0" w:line="259" w:lineRule="auto"/>
        <w:ind w:right="0" w:firstLine="0"/>
        <w:jc w:val="left"/>
      </w:pPr>
      <w:r>
        <w:t xml:space="preserve"> </w:t>
      </w:r>
    </w:p>
    <w:p w14:paraId="131D7051" w14:textId="77777777" w:rsidR="00C0250B" w:rsidRDefault="00EC5B5B">
      <w:pPr>
        <w:spacing w:after="0" w:line="259" w:lineRule="auto"/>
        <w:ind w:right="0" w:firstLine="0"/>
        <w:jc w:val="left"/>
      </w:pPr>
      <w:r>
        <w:t xml:space="preserve"> </w:t>
      </w:r>
    </w:p>
    <w:p w14:paraId="6B6A94D6" w14:textId="77777777" w:rsidR="00C0250B" w:rsidRDefault="00EC5B5B">
      <w:pPr>
        <w:spacing w:after="0" w:line="259" w:lineRule="auto"/>
        <w:ind w:right="0" w:firstLine="0"/>
        <w:jc w:val="left"/>
      </w:pPr>
      <w:r>
        <w:t xml:space="preserve"> </w:t>
      </w:r>
    </w:p>
    <w:p w14:paraId="72DCC588" w14:textId="77777777" w:rsidR="00C0250B" w:rsidRDefault="00EC5B5B">
      <w:pPr>
        <w:spacing w:after="0" w:line="259" w:lineRule="auto"/>
        <w:ind w:right="0" w:firstLine="0"/>
        <w:jc w:val="left"/>
      </w:pPr>
      <w:r>
        <w:t xml:space="preserve"> </w:t>
      </w:r>
    </w:p>
    <w:p w14:paraId="1A92F2E9" w14:textId="77777777" w:rsidR="00C0250B" w:rsidRDefault="00EC5B5B">
      <w:pPr>
        <w:spacing w:after="0" w:line="259" w:lineRule="auto"/>
        <w:ind w:right="0" w:firstLine="0"/>
        <w:jc w:val="left"/>
      </w:pPr>
      <w:r>
        <w:t xml:space="preserve"> </w:t>
      </w:r>
    </w:p>
    <w:p w14:paraId="127D9BE8" w14:textId="77777777" w:rsidR="00C0250B" w:rsidRDefault="00EC5B5B">
      <w:pPr>
        <w:spacing w:after="0" w:line="259" w:lineRule="auto"/>
        <w:ind w:right="0" w:firstLine="0"/>
        <w:jc w:val="left"/>
      </w:pPr>
      <w:r>
        <w:t xml:space="preserve"> </w:t>
      </w:r>
    </w:p>
    <w:p w14:paraId="77D2BCCA" w14:textId="77777777" w:rsidR="00C0250B" w:rsidRDefault="00EC5B5B">
      <w:pPr>
        <w:spacing w:after="0" w:line="259" w:lineRule="auto"/>
        <w:ind w:right="0" w:firstLine="0"/>
        <w:jc w:val="left"/>
      </w:pPr>
      <w:r>
        <w:t xml:space="preserve"> </w:t>
      </w:r>
    </w:p>
    <w:p w14:paraId="6AA18359" w14:textId="77777777" w:rsidR="00C0250B" w:rsidRDefault="00EC5B5B">
      <w:pPr>
        <w:spacing w:after="0" w:line="259" w:lineRule="auto"/>
        <w:ind w:right="0" w:firstLine="0"/>
        <w:jc w:val="left"/>
      </w:pPr>
      <w:r>
        <w:t xml:space="preserve"> </w:t>
      </w:r>
    </w:p>
    <w:p w14:paraId="5138D1CF" w14:textId="77777777" w:rsidR="00C0250B" w:rsidRDefault="00EC5B5B">
      <w:pPr>
        <w:spacing w:after="0" w:line="259" w:lineRule="auto"/>
        <w:ind w:right="0" w:firstLine="0"/>
        <w:jc w:val="left"/>
      </w:pPr>
      <w:r>
        <w:t xml:space="preserve"> </w:t>
      </w:r>
    </w:p>
    <w:p w14:paraId="0BD5E24C" w14:textId="77777777" w:rsidR="00C0250B" w:rsidRDefault="00EC5B5B">
      <w:pPr>
        <w:spacing w:after="0" w:line="259" w:lineRule="auto"/>
        <w:ind w:right="0" w:firstLine="0"/>
        <w:jc w:val="left"/>
      </w:pPr>
      <w:r>
        <w:t xml:space="preserve"> </w:t>
      </w:r>
    </w:p>
    <w:p w14:paraId="275726E6" w14:textId="77777777" w:rsidR="00C0250B" w:rsidRDefault="00EC5B5B">
      <w:pPr>
        <w:spacing w:after="0" w:line="259" w:lineRule="auto"/>
        <w:ind w:right="0" w:firstLine="0"/>
        <w:jc w:val="left"/>
      </w:pPr>
      <w:r>
        <w:t xml:space="preserve"> </w:t>
      </w:r>
    </w:p>
    <w:p w14:paraId="557BFC40" w14:textId="77777777" w:rsidR="00C0250B" w:rsidRDefault="00EC5B5B">
      <w:pPr>
        <w:spacing w:after="0" w:line="259" w:lineRule="auto"/>
        <w:ind w:right="0" w:firstLine="0"/>
        <w:jc w:val="left"/>
      </w:pPr>
      <w:r>
        <w:t xml:space="preserve"> </w:t>
      </w:r>
    </w:p>
    <w:p w14:paraId="10891405" w14:textId="77777777" w:rsidR="00C0250B" w:rsidRDefault="00EC5B5B">
      <w:pPr>
        <w:spacing w:after="0" w:line="259" w:lineRule="auto"/>
        <w:ind w:right="0" w:firstLine="0"/>
        <w:jc w:val="left"/>
      </w:pPr>
      <w:r>
        <w:t xml:space="preserve"> </w:t>
      </w:r>
    </w:p>
    <w:p w14:paraId="75D1C573" w14:textId="77777777" w:rsidR="00C0250B" w:rsidRDefault="00EC5B5B">
      <w:pPr>
        <w:spacing w:after="0" w:line="259" w:lineRule="auto"/>
        <w:ind w:right="0" w:firstLine="0"/>
        <w:jc w:val="left"/>
      </w:pPr>
      <w:r>
        <w:t xml:space="preserve"> </w:t>
      </w:r>
    </w:p>
    <w:p w14:paraId="0B90D17B" w14:textId="77777777" w:rsidR="00C0250B" w:rsidRDefault="00EC5B5B">
      <w:pPr>
        <w:spacing w:after="0" w:line="259" w:lineRule="auto"/>
        <w:ind w:right="0" w:firstLine="0"/>
        <w:jc w:val="left"/>
      </w:pPr>
      <w:r>
        <w:t xml:space="preserve"> </w:t>
      </w:r>
    </w:p>
    <w:p w14:paraId="4DC1032C" w14:textId="77777777" w:rsidR="00C0250B" w:rsidRDefault="00EC5B5B">
      <w:pPr>
        <w:spacing w:after="0" w:line="259" w:lineRule="auto"/>
        <w:ind w:right="0" w:firstLine="0"/>
        <w:jc w:val="left"/>
      </w:pPr>
      <w:r>
        <w:t xml:space="preserve"> </w:t>
      </w:r>
    </w:p>
    <w:p w14:paraId="00A37E43" w14:textId="77777777" w:rsidR="00C0250B" w:rsidRDefault="00EC5B5B">
      <w:pPr>
        <w:spacing w:after="0" w:line="259" w:lineRule="auto"/>
        <w:ind w:right="0" w:firstLine="0"/>
        <w:jc w:val="left"/>
      </w:pPr>
      <w:r>
        <w:t xml:space="preserve"> </w:t>
      </w:r>
    </w:p>
    <w:p w14:paraId="1B2F8A90" w14:textId="77777777" w:rsidR="00C0250B" w:rsidRDefault="00EC5B5B">
      <w:pPr>
        <w:spacing w:after="0" w:line="259" w:lineRule="auto"/>
        <w:ind w:right="0" w:firstLine="0"/>
        <w:jc w:val="left"/>
      </w:pPr>
      <w:r>
        <w:t xml:space="preserve"> </w:t>
      </w:r>
    </w:p>
    <w:p w14:paraId="09E36EF7" w14:textId="77777777" w:rsidR="00C0250B" w:rsidRDefault="00EC5B5B">
      <w:pPr>
        <w:spacing w:after="0" w:line="259" w:lineRule="auto"/>
        <w:ind w:right="0" w:firstLine="0"/>
        <w:jc w:val="left"/>
      </w:pPr>
      <w:r>
        <w:t xml:space="preserve"> </w:t>
      </w:r>
    </w:p>
    <w:p w14:paraId="75249EA1" w14:textId="77777777" w:rsidR="00C0250B" w:rsidRDefault="00EC5B5B">
      <w:pPr>
        <w:spacing w:after="0" w:line="259" w:lineRule="auto"/>
        <w:ind w:right="0" w:firstLine="0"/>
        <w:jc w:val="left"/>
      </w:pPr>
      <w:r>
        <w:t xml:space="preserve"> </w:t>
      </w:r>
    </w:p>
    <w:p w14:paraId="18E68515" w14:textId="77777777" w:rsidR="00C0250B" w:rsidRDefault="00EC5B5B">
      <w:pPr>
        <w:spacing w:after="0" w:line="259" w:lineRule="auto"/>
        <w:ind w:right="0" w:firstLine="0"/>
        <w:jc w:val="left"/>
      </w:pPr>
      <w:r>
        <w:t xml:space="preserve"> </w:t>
      </w:r>
    </w:p>
    <w:p w14:paraId="5E8C38CA" w14:textId="77777777" w:rsidR="00C0250B" w:rsidRDefault="00EC5B5B">
      <w:pPr>
        <w:spacing w:after="0" w:line="259" w:lineRule="auto"/>
        <w:ind w:right="0" w:firstLine="0"/>
        <w:jc w:val="left"/>
      </w:pPr>
      <w:r>
        <w:t xml:space="preserve"> </w:t>
      </w:r>
    </w:p>
    <w:p w14:paraId="446B8622" w14:textId="77777777" w:rsidR="00C0250B" w:rsidRDefault="00EC5B5B">
      <w:pPr>
        <w:pStyle w:val="Ttulo1"/>
        <w:ind w:right="276"/>
      </w:pPr>
      <w:r>
        <w:t>RESULTADOS E DISCUSSÃO</w:t>
      </w:r>
      <w:r>
        <w:rPr>
          <w:b w:val="0"/>
          <w:vertAlign w:val="subscript"/>
        </w:rPr>
        <w:t xml:space="preserve"> </w:t>
      </w:r>
    </w:p>
    <w:p w14:paraId="6C059DA4" w14:textId="77777777" w:rsidR="00C0250B" w:rsidRDefault="00EC5B5B">
      <w:pPr>
        <w:spacing w:after="0" w:line="259" w:lineRule="auto"/>
        <w:ind w:right="0" w:firstLine="0"/>
        <w:jc w:val="left"/>
      </w:pPr>
      <w:r>
        <w:t xml:space="preserve">    </w:t>
      </w:r>
    </w:p>
    <w:p w14:paraId="2E7D8DDF" w14:textId="77777777" w:rsidR="00C0250B" w:rsidRDefault="00EC5B5B">
      <w:pPr>
        <w:spacing w:after="0" w:line="259" w:lineRule="auto"/>
        <w:ind w:left="721" w:right="0" w:firstLine="0"/>
        <w:jc w:val="left"/>
      </w:pPr>
      <w:r>
        <w:t xml:space="preserve"> </w:t>
      </w:r>
    </w:p>
    <w:p w14:paraId="21B87011" w14:textId="77777777" w:rsidR="00C0250B" w:rsidRDefault="00EC5B5B">
      <w:pPr>
        <w:spacing w:after="0" w:line="259" w:lineRule="auto"/>
        <w:ind w:left="2127" w:right="0" w:hanging="1736"/>
        <w:jc w:val="left"/>
      </w:pPr>
      <w:r>
        <w:rPr>
          <w:rFonts w:cs="Arial"/>
          <w:b/>
          <w:sz w:val="20"/>
        </w:rPr>
        <w:t xml:space="preserve">            Tabela 1 -  Quantidade de</w:t>
      </w:r>
      <w:r>
        <w:rPr>
          <w:rFonts w:cs="Arial"/>
          <w:b/>
          <w:i/>
          <w:sz w:val="20"/>
        </w:rPr>
        <w:t xml:space="preserve"> Enterobacteriace</w:t>
      </w:r>
      <w:r>
        <w:rPr>
          <w:rFonts w:cs="Arial"/>
          <w:b/>
          <w:sz w:val="20"/>
        </w:rPr>
        <w:t xml:space="preserve"> e Presença de </w:t>
      </w:r>
      <w:r>
        <w:rPr>
          <w:rFonts w:cs="Arial"/>
          <w:b/>
          <w:i/>
          <w:sz w:val="20"/>
        </w:rPr>
        <w:t>Salmonella</w:t>
      </w:r>
      <w:r>
        <w:rPr>
          <w:rFonts w:cs="Arial"/>
          <w:b/>
          <w:sz w:val="20"/>
        </w:rPr>
        <w:t xml:space="preserve"> </w:t>
      </w:r>
      <w:r>
        <w:rPr>
          <w:rFonts w:cs="Arial"/>
          <w:b/>
          <w:sz w:val="20"/>
        </w:rPr>
        <w:t>nos                gelados comestíveis</w:t>
      </w:r>
      <w:r>
        <w:rPr>
          <w:sz w:val="20"/>
        </w:rPr>
        <w:t xml:space="preserve"> </w:t>
      </w:r>
    </w:p>
    <w:tbl>
      <w:tblPr>
        <w:tblStyle w:val="TableGrid"/>
        <w:tblW w:w="9079" w:type="dxa"/>
        <w:tblInd w:w="-85" w:type="dxa"/>
        <w:tblCellMar>
          <w:top w:w="0" w:type="dxa"/>
          <w:left w:w="0" w:type="dxa"/>
          <w:bottom w:w="0" w:type="dxa"/>
          <w:right w:w="0" w:type="dxa"/>
        </w:tblCellMar>
        <w:tblLook w:val="04A0" w:firstRow="1" w:lastRow="0" w:firstColumn="1" w:lastColumn="0" w:noHBand="0" w:noVBand="1"/>
      </w:tblPr>
      <w:tblGrid>
        <w:gridCol w:w="1045"/>
        <w:gridCol w:w="1046"/>
        <w:gridCol w:w="1801"/>
        <w:gridCol w:w="3526"/>
        <w:gridCol w:w="1661"/>
      </w:tblGrid>
      <w:tr w:rsidR="00C0250B" w14:paraId="70A47C83" w14:textId="77777777">
        <w:trPr>
          <w:trHeight w:val="310"/>
        </w:trPr>
        <w:tc>
          <w:tcPr>
            <w:tcW w:w="1046" w:type="dxa"/>
            <w:vMerge w:val="restart"/>
            <w:tcBorders>
              <w:top w:val="nil"/>
              <w:left w:val="nil"/>
              <w:bottom w:val="nil"/>
              <w:right w:val="nil"/>
            </w:tcBorders>
          </w:tcPr>
          <w:p w14:paraId="3BAFFDAA" w14:textId="77777777" w:rsidR="00C0250B" w:rsidRDefault="00EC5B5B">
            <w:pPr>
              <w:spacing w:after="82" w:line="259" w:lineRule="auto"/>
              <w:ind w:left="85" w:right="0" w:firstLine="0"/>
              <w:jc w:val="left"/>
            </w:pPr>
            <w:r>
              <w:rPr>
                <w:sz w:val="20"/>
              </w:rPr>
              <w:t xml:space="preserve"> </w:t>
            </w:r>
          </w:p>
          <w:p w14:paraId="69A33327"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single" w:sz="4" w:space="0" w:color="000000"/>
              <w:left w:val="nil"/>
              <w:bottom w:val="single" w:sz="4" w:space="0" w:color="000000"/>
              <w:right w:val="nil"/>
            </w:tcBorders>
          </w:tcPr>
          <w:p w14:paraId="34EE5B8D" w14:textId="77777777" w:rsidR="00C0250B" w:rsidRDefault="00EC5B5B">
            <w:pPr>
              <w:spacing w:after="0" w:line="259" w:lineRule="auto"/>
              <w:ind w:right="0" w:firstLine="0"/>
              <w:jc w:val="left"/>
            </w:pPr>
            <w:r>
              <w:rPr>
                <w:rFonts w:ascii="Calibri" w:eastAsia="Calibri" w:hAnsi="Calibri" w:cs="Calibri"/>
                <w:b/>
                <w:sz w:val="22"/>
              </w:rPr>
              <w:t>Amostra</w:t>
            </w:r>
            <w:r>
              <w:rPr>
                <w:rFonts w:ascii="Calibri" w:eastAsia="Calibri" w:hAnsi="Calibri" w:cs="Calibri"/>
                <w:sz w:val="22"/>
              </w:rPr>
              <w:t xml:space="preserve"> </w:t>
            </w:r>
          </w:p>
        </w:tc>
        <w:tc>
          <w:tcPr>
            <w:tcW w:w="1801" w:type="dxa"/>
            <w:tcBorders>
              <w:top w:val="single" w:sz="4" w:space="0" w:color="000000"/>
              <w:left w:val="nil"/>
              <w:bottom w:val="single" w:sz="4" w:space="0" w:color="000000"/>
              <w:right w:val="nil"/>
            </w:tcBorders>
          </w:tcPr>
          <w:p w14:paraId="373AF7C8" w14:textId="77777777" w:rsidR="00C0250B" w:rsidRDefault="00EC5B5B">
            <w:pPr>
              <w:tabs>
                <w:tab w:val="center" w:pos="594"/>
                <w:tab w:val="center" w:pos="1751"/>
              </w:tabs>
              <w:spacing w:after="0" w:line="259" w:lineRule="auto"/>
              <w:ind w:right="0" w:firstLine="0"/>
              <w:jc w:val="left"/>
            </w:pPr>
            <w:r>
              <w:rPr>
                <w:rFonts w:ascii="Calibri" w:eastAsia="Calibri" w:hAnsi="Calibri" w:cs="Calibri"/>
                <w:sz w:val="22"/>
              </w:rPr>
              <w:tab/>
            </w:r>
            <w:r>
              <w:rPr>
                <w:rFonts w:ascii="Calibri" w:eastAsia="Calibri" w:hAnsi="Calibri" w:cs="Calibri"/>
                <w:b/>
                <w:sz w:val="22"/>
              </w:rPr>
              <w:t>Sabor</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 xml:space="preserve"> </w:t>
            </w:r>
          </w:p>
        </w:tc>
        <w:tc>
          <w:tcPr>
            <w:tcW w:w="3526" w:type="dxa"/>
            <w:tcBorders>
              <w:top w:val="single" w:sz="4" w:space="0" w:color="000000"/>
              <w:left w:val="nil"/>
              <w:bottom w:val="single" w:sz="4" w:space="0" w:color="000000"/>
              <w:right w:val="nil"/>
            </w:tcBorders>
          </w:tcPr>
          <w:p w14:paraId="6C40790A" w14:textId="77777777" w:rsidR="00C0250B" w:rsidRDefault="00EC5B5B">
            <w:pPr>
              <w:tabs>
                <w:tab w:val="center" w:pos="3476"/>
              </w:tabs>
              <w:spacing w:after="0" w:line="259" w:lineRule="auto"/>
              <w:ind w:right="0" w:firstLine="0"/>
              <w:jc w:val="left"/>
            </w:pPr>
            <w:r>
              <w:rPr>
                <w:rFonts w:ascii="Calibri" w:eastAsia="Calibri" w:hAnsi="Calibri" w:cs="Calibri"/>
                <w:b/>
                <w:sz w:val="22"/>
              </w:rPr>
              <w:t>Enterobacteriacea (UFC/g)</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b/>
                <w:sz w:val="22"/>
              </w:rPr>
              <w:t xml:space="preserve"> </w:t>
            </w:r>
          </w:p>
        </w:tc>
        <w:tc>
          <w:tcPr>
            <w:tcW w:w="1661" w:type="dxa"/>
            <w:tcBorders>
              <w:top w:val="single" w:sz="4" w:space="0" w:color="000000"/>
              <w:left w:val="nil"/>
              <w:bottom w:val="single" w:sz="4" w:space="0" w:color="000000"/>
              <w:right w:val="nil"/>
            </w:tcBorders>
          </w:tcPr>
          <w:p w14:paraId="0070561E" w14:textId="77777777" w:rsidR="00C0250B" w:rsidRDefault="00EC5B5B">
            <w:pPr>
              <w:spacing w:after="0" w:line="259" w:lineRule="auto"/>
              <w:ind w:right="0" w:firstLine="0"/>
              <w:jc w:val="left"/>
            </w:pPr>
            <w:r>
              <w:rPr>
                <w:rFonts w:ascii="Calibri" w:eastAsia="Calibri" w:hAnsi="Calibri" w:cs="Calibri"/>
                <w:b/>
                <w:sz w:val="22"/>
              </w:rPr>
              <w:t>Salmonella</w:t>
            </w:r>
            <w:r>
              <w:rPr>
                <w:rFonts w:ascii="Calibri" w:eastAsia="Calibri" w:hAnsi="Calibri" w:cs="Calibri"/>
                <w:sz w:val="22"/>
              </w:rPr>
              <w:t xml:space="preserve"> </w:t>
            </w:r>
          </w:p>
        </w:tc>
      </w:tr>
      <w:tr w:rsidR="00C0250B" w14:paraId="0C3F79AD" w14:textId="77777777">
        <w:trPr>
          <w:trHeight w:val="327"/>
        </w:trPr>
        <w:tc>
          <w:tcPr>
            <w:tcW w:w="0" w:type="auto"/>
            <w:vMerge/>
            <w:tcBorders>
              <w:top w:val="nil"/>
              <w:left w:val="nil"/>
              <w:bottom w:val="nil"/>
              <w:right w:val="nil"/>
            </w:tcBorders>
          </w:tcPr>
          <w:p w14:paraId="71498F98" w14:textId="77777777" w:rsidR="00C0250B" w:rsidRDefault="00C0250B">
            <w:pPr>
              <w:spacing w:after="160" w:line="259" w:lineRule="auto"/>
              <w:ind w:right="0" w:firstLine="0"/>
              <w:jc w:val="left"/>
            </w:pPr>
          </w:p>
        </w:tc>
        <w:tc>
          <w:tcPr>
            <w:tcW w:w="1046" w:type="dxa"/>
            <w:tcBorders>
              <w:top w:val="single" w:sz="4" w:space="0" w:color="000000"/>
              <w:left w:val="nil"/>
              <w:bottom w:val="nil"/>
              <w:right w:val="nil"/>
            </w:tcBorders>
          </w:tcPr>
          <w:p w14:paraId="2E16B614" w14:textId="77777777" w:rsidR="00C0250B" w:rsidRDefault="00EC5B5B">
            <w:pPr>
              <w:spacing w:after="0" w:line="259" w:lineRule="auto"/>
              <w:ind w:left="356" w:right="0" w:firstLine="0"/>
              <w:jc w:val="left"/>
            </w:pPr>
            <w:r>
              <w:rPr>
                <w:rFonts w:ascii="Calibri" w:eastAsia="Calibri" w:hAnsi="Calibri" w:cs="Calibri"/>
                <w:sz w:val="22"/>
              </w:rPr>
              <w:t xml:space="preserve">1 </w:t>
            </w:r>
          </w:p>
        </w:tc>
        <w:tc>
          <w:tcPr>
            <w:tcW w:w="1801" w:type="dxa"/>
            <w:tcBorders>
              <w:top w:val="single" w:sz="4" w:space="0" w:color="000000"/>
              <w:left w:val="nil"/>
              <w:bottom w:val="nil"/>
              <w:right w:val="nil"/>
            </w:tcBorders>
          </w:tcPr>
          <w:p w14:paraId="3853DA7C" w14:textId="77777777" w:rsidR="00C0250B" w:rsidRDefault="00EC5B5B">
            <w:pPr>
              <w:spacing w:after="0" w:line="259" w:lineRule="auto"/>
              <w:ind w:left="265" w:right="0" w:firstLine="0"/>
              <w:jc w:val="left"/>
            </w:pPr>
            <w:r>
              <w:rPr>
                <w:rFonts w:ascii="Calibri" w:eastAsia="Calibri" w:hAnsi="Calibri" w:cs="Calibri"/>
                <w:sz w:val="22"/>
              </w:rPr>
              <w:t xml:space="preserve">Laranja </w:t>
            </w:r>
          </w:p>
        </w:tc>
        <w:tc>
          <w:tcPr>
            <w:tcW w:w="3526" w:type="dxa"/>
            <w:tcBorders>
              <w:top w:val="single" w:sz="4" w:space="0" w:color="000000"/>
              <w:left w:val="nil"/>
              <w:bottom w:val="nil"/>
              <w:right w:val="nil"/>
            </w:tcBorders>
          </w:tcPr>
          <w:p w14:paraId="03F189E3" w14:textId="77777777" w:rsidR="00C0250B" w:rsidRDefault="00EC5B5B">
            <w:pPr>
              <w:spacing w:after="0" w:line="259" w:lineRule="auto"/>
              <w:ind w:left="830" w:right="0" w:firstLine="0"/>
              <w:jc w:val="left"/>
            </w:pPr>
            <w:r>
              <w:rPr>
                <w:rFonts w:ascii="Calibri" w:eastAsia="Calibri" w:hAnsi="Calibri" w:cs="Calibri"/>
                <w:sz w:val="22"/>
              </w:rPr>
              <w:t xml:space="preserve">0 UFC/g </w:t>
            </w:r>
          </w:p>
        </w:tc>
        <w:tc>
          <w:tcPr>
            <w:tcW w:w="1661" w:type="dxa"/>
            <w:tcBorders>
              <w:top w:val="single" w:sz="4" w:space="0" w:color="000000"/>
              <w:left w:val="nil"/>
              <w:bottom w:val="nil"/>
              <w:right w:val="nil"/>
            </w:tcBorders>
          </w:tcPr>
          <w:p w14:paraId="64437DD6"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6B8A5124" w14:textId="77777777">
        <w:trPr>
          <w:trHeight w:val="300"/>
        </w:trPr>
        <w:tc>
          <w:tcPr>
            <w:tcW w:w="1046" w:type="dxa"/>
            <w:tcBorders>
              <w:top w:val="nil"/>
              <w:left w:val="nil"/>
              <w:bottom w:val="nil"/>
              <w:right w:val="nil"/>
            </w:tcBorders>
          </w:tcPr>
          <w:p w14:paraId="7A2B89C8"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7351B6BD" w14:textId="77777777" w:rsidR="00C0250B" w:rsidRDefault="00EC5B5B">
            <w:pPr>
              <w:spacing w:after="0" w:line="259" w:lineRule="auto"/>
              <w:ind w:left="356" w:right="0" w:firstLine="0"/>
              <w:jc w:val="left"/>
            </w:pPr>
            <w:r>
              <w:rPr>
                <w:rFonts w:ascii="Calibri" w:eastAsia="Calibri" w:hAnsi="Calibri" w:cs="Calibri"/>
                <w:sz w:val="22"/>
              </w:rPr>
              <w:t xml:space="preserve">2 </w:t>
            </w:r>
          </w:p>
        </w:tc>
        <w:tc>
          <w:tcPr>
            <w:tcW w:w="1801" w:type="dxa"/>
            <w:tcBorders>
              <w:top w:val="nil"/>
              <w:left w:val="nil"/>
              <w:bottom w:val="nil"/>
              <w:right w:val="nil"/>
            </w:tcBorders>
          </w:tcPr>
          <w:p w14:paraId="20DC5EE2" w14:textId="77777777" w:rsidR="00C0250B" w:rsidRDefault="00EC5B5B">
            <w:pPr>
              <w:spacing w:after="0" w:line="259" w:lineRule="auto"/>
              <w:ind w:left="265" w:right="0" w:firstLine="0"/>
              <w:jc w:val="left"/>
            </w:pPr>
            <w:r>
              <w:rPr>
                <w:rFonts w:ascii="Calibri" w:eastAsia="Calibri" w:hAnsi="Calibri" w:cs="Calibri"/>
                <w:sz w:val="22"/>
              </w:rPr>
              <w:t xml:space="preserve">Laranja </w:t>
            </w:r>
          </w:p>
        </w:tc>
        <w:tc>
          <w:tcPr>
            <w:tcW w:w="3526" w:type="dxa"/>
            <w:tcBorders>
              <w:top w:val="nil"/>
              <w:left w:val="nil"/>
              <w:bottom w:val="nil"/>
              <w:right w:val="nil"/>
            </w:tcBorders>
          </w:tcPr>
          <w:p w14:paraId="4130BF12" w14:textId="77777777" w:rsidR="00C0250B" w:rsidRDefault="00EC5B5B">
            <w:pPr>
              <w:spacing w:after="0" w:line="259" w:lineRule="auto"/>
              <w:ind w:left="830" w:right="0" w:firstLine="0"/>
              <w:jc w:val="left"/>
            </w:pPr>
            <w:r>
              <w:rPr>
                <w:rFonts w:ascii="Calibri" w:eastAsia="Calibri" w:hAnsi="Calibri" w:cs="Calibri"/>
                <w:sz w:val="22"/>
              </w:rPr>
              <w:t xml:space="preserve">0 UFC/g </w:t>
            </w:r>
          </w:p>
        </w:tc>
        <w:tc>
          <w:tcPr>
            <w:tcW w:w="1661" w:type="dxa"/>
            <w:tcBorders>
              <w:top w:val="nil"/>
              <w:left w:val="nil"/>
              <w:bottom w:val="nil"/>
              <w:right w:val="nil"/>
            </w:tcBorders>
          </w:tcPr>
          <w:p w14:paraId="061EED82"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4B50DC4A" w14:textId="77777777">
        <w:trPr>
          <w:trHeight w:val="300"/>
        </w:trPr>
        <w:tc>
          <w:tcPr>
            <w:tcW w:w="1046" w:type="dxa"/>
            <w:tcBorders>
              <w:top w:val="nil"/>
              <w:left w:val="nil"/>
              <w:bottom w:val="nil"/>
              <w:right w:val="nil"/>
            </w:tcBorders>
          </w:tcPr>
          <w:p w14:paraId="3457C5C5"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264ADB6D" w14:textId="77777777" w:rsidR="00C0250B" w:rsidRDefault="00EC5B5B">
            <w:pPr>
              <w:spacing w:after="0" w:line="259" w:lineRule="auto"/>
              <w:ind w:left="356" w:right="0" w:firstLine="0"/>
              <w:jc w:val="left"/>
            </w:pPr>
            <w:r>
              <w:rPr>
                <w:rFonts w:ascii="Calibri" w:eastAsia="Calibri" w:hAnsi="Calibri" w:cs="Calibri"/>
                <w:sz w:val="22"/>
              </w:rPr>
              <w:t xml:space="preserve">3 </w:t>
            </w:r>
          </w:p>
        </w:tc>
        <w:tc>
          <w:tcPr>
            <w:tcW w:w="1801" w:type="dxa"/>
            <w:tcBorders>
              <w:top w:val="nil"/>
              <w:left w:val="nil"/>
              <w:bottom w:val="nil"/>
              <w:right w:val="nil"/>
            </w:tcBorders>
          </w:tcPr>
          <w:p w14:paraId="20D0BBAB" w14:textId="77777777" w:rsidR="00C0250B" w:rsidRDefault="00EC5B5B">
            <w:pPr>
              <w:spacing w:after="0" w:line="259" w:lineRule="auto"/>
              <w:ind w:left="265" w:right="0" w:firstLine="0"/>
              <w:jc w:val="left"/>
            </w:pPr>
            <w:r>
              <w:rPr>
                <w:rFonts w:ascii="Calibri" w:eastAsia="Calibri" w:hAnsi="Calibri" w:cs="Calibri"/>
                <w:sz w:val="22"/>
              </w:rPr>
              <w:t xml:space="preserve">Laranja </w:t>
            </w:r>
          </w:p>
        </w:tc>
        <w:tc>
          <w:tcPr>
            <w:tcW w:w="3526" w:type="dxa"/>
            <w:tcBorders>
              <w:top w:val="nil"/>
              <w:left w:val="nil"/>
              <w:bottom w:val="nil"/>
              <w:right w:val="nil"/>
            </w:tcBorders>
          </w:tcPr>
          <w:p w14:paraId="02BC4526" w14:textId="77777777" w:rsidR="00C0250B" w:rsidRDefault="00EC5B5B">
            <w:pPr>
              <w:spacing w:after="0" w:line="259" w:lineRule="auto"/>
              <w:ind w:left="830" w:right="0" w:firstLine="0"/>
              <w:jc w:val="left"/>
            </w:pPr>
            <w:r>
              <w:rPr>
                <w:rFonts w:ascii="Calibri" w:eastAsia="Calibri" w:hAnsi="Calibri" w:cs="Calibri"/>
                <w:sz w:val="22"/>
              </w:rPr>
              <w:t xml:space="preserve">0 UFC/g </w:t>
            </w:r>
          </w:p>
        </w:tc>
        <w:tc>
          <w:tcPr>
            <w:tcW w:w="1661" w:type="dxa"/>
            <w:tcBorders>
              <w:top w:val="nil"/>
              <w:left w:val="nil"/>
              <w:bottom w:val="nil"/>
              <w:right w:val="nil"/>
            </w:tcBorders>
          </w:tcPr>
          <w:p w14:paraId="0BB574DC"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5E88D0D0" w14:textId="77777777">
        <w:trPr>
          <w:trHeight w:val="300"/>
        </w:trPr>
        <w:tc>
          <w:tcPr>
            <w:tcW w:w="1046" w:type="dxa"/>
            <w:tcBorders>
              <w:top w:val="nil"/>
              <w:left w:val="nil"/>
              <w:bottom w:val="nil"/>
              <w:right w:val="nil"/>
            </w:tcBorders>
          </w:tcPr>
          <w:p w14:paraId="781FCE79"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7740F370" w14:textId="77777777" w:rsidR="00C0250B" w:rsidRDefault="00EC5B5B">
            <w:pPr>
              <w:spacing w:after="0" w:line="259" w:lineRule="auto"/>
              <w:ind w:left="356" w:right="0" w:firstLine="0"/>
              <w:jc w:val="left"/>
            </w:pPr>
            <w:r>
              <w:rPr>
                <w:rFonts w:ascii="Calibri" w:eastAsia="Calibri" w:hAnsi="Calibri" w:cs="Calibri"/>
                <w:sz w:val="22"/>
              </w:rPr>
              <w:t xml:space="preserve">4 </w:t>
            </w:r>
          </w:p>
        </w:tc>
        <w:tc>
          <w:tcPr>
            <w:tcW w:w="1801" w:type="dxa"/>
            <w:tcBorders>
              <w:top w:val="nil"/>
              <w:left w:val="nil"/>
              <w:bottom w:val="nil"/>
              <w:right w:val="nil"/>
            </w:tcBorders>
          </w:tcPr>
          <w:p w14:paraId="11C7F6B8" w14:textId="77777777" w:rsidR="00C0250B" w:rsidRDefault="00EC5B5B">
            <w:pPr>
              <w:spacing w:after="0" w:line="259" w:lineRule="auto"/>
              <w:ind w:left="265" w:right="0" w:firstLine="0"/>
              <w:jc w:val="left"/>
            </w:pPr>
            <w:r>
              <w:rPr>
                <w:rFonts w:ascii="Calibri" w:eastAsia="Calibri" w:hAnsi="Calibri" w:cs="Calibri"/>
                <w:sz w:val="22"/>
              </w:rPr>
              <w:t xml:space="preserve">Laranja </w:t>
            </w:r>
          </w:p>
        </w:tc>
        <w:tc>
          <w:tcPr>
            <w:tcW w:w="3526" w:type="dxa"/>
            <w:tcBorders>
              <w:top w:val="nil"/>
              <w:left w:val="nil"/>
              <w:bottom w:val="nil"/>
              <w:right w:val="nil"/>
            </w:tcBorders>
          </w:tcPr>
          <w:p w14:paraId="3F509B07" w14:textId="77777777" w:rsidR="00C0250B" w:rsidRDefault="00EC5B5B">
            <w:pPr>
              <w:spacing w:after="0" w:line="259" w:lineRule="auto"/>
              <w:ind w:left="830" w:right="0" w:firstLine="0"/>
              <w:jc w:val="left"/>
            </w:pPr>
            <w:r>
              <w:rPr>
                <w:rFonts w:ascii="Calibri" w:eastAsia="Calibri" w:hAnsi="Calibri" w:cs="Calibri"/>
                <w:sz w:val="22"/>
              </w:rPr>
              <w:t xml:space="preserve">0 UFC/g </w:t>
            </w:r>
          </w:p>
        </w:tc>
        <w:tc>
          <w:tcPr>
            <w:tcW w:w="1661" w:type="dxa"/>
            <w:tcBorders>
              <w:top w:val="nil"/>
              <w:left w:val="nil"/>
              <w:bottom w:val="nil"/>
              <w:right w:val="nil"/>
            </w:tcBorders>
          </w:tcPr>
          <w:p w14:paraId="12583F80"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51D65258" w14:textId="77777777">
        <w:trPr>
          <w:trHeight w:val="450"/>
        </w:trPr>
        <w:tc>
          <w:tcPr>
            <w:tcW w:w="1046" w:type="dxa"/>
            <w:tcBorders>
              <w:top w:val="nil"/>
              <w:left w:val="nil"/>
              <w:bottom w:val="nil"/>
              <w:right w:val="nil"/>
            </w:tcBorders>
            <w:vAlign w:val="bottom"/>
          </w:tcPr>
          <w:p w14:paraId="41BFA80F" w14:textId="77777777" w:rsidR="00C0250B" w:rsidRDefault="00EC5B5B">
            <w:pPr>
              <w:spacing w:after="10" w:line="259" w:lineRule="auto"/>
              <w:ind w:left="85" w:right="0" w:firstLine="0"/>
              <w:jc w:val="left"/>
            </w:pPr>
            <w:r>
              <w:rPr>
                <w:rFonts w:ascii="Calibri" w:eastAsia="Calibri" w:hAnsi="Calibri" w:cs="Calibri"/>
                <w:sz w:val="22"/>
              </w:rPr>
              <w:t xml:space="preserve"> </w:t>
            </w:r>
          </w:p>
          <w:p w14:paraId="709F21E3"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vAlign w:val="bottom"/>
          </w:tcPr>
          <w:p w14:paraId="23E3E486" w14:textId="77777777" w:rsidR="00C0250B" w:rsidRDefault="00EC5B5B">
            <w:pPr>
              <w:spacing w:after="5" w:line="259" w:lineRule="auto"/>
              <w:ind w:left="356" w:right="0" w:firstLine="0"/>
              <w:jc w:val="left"/>
            </w:pPr>
            <w:r>
              <w:rPr>
                <w:rFonts w:ascii="Calibri" w:eastAsia="Calibri" w:hAnsi="Calibri" w:cs="Calibri"/>
                <w:sz w:val="22"/>
              </w:rPr>
              <w:t xml:space="preserve">5 </w:t>
            </w:r>
          </w:p>
          <w:p w14:paraId="78C2A119" w14:textId="77777777" w:rsidR="00C0250B" w:rsidRDefault="00EC5B5B">
            <w:pPr>
              <w:spacing w:after="0" w:line="259" w:lineRule="auto"/>
              <w:ind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1801" w:type="dxa"/>
            <w:tcBorders>
              <w:top w:val="nil"/>
              <w:left w:val="nil"/>
              <w:bottom w:val="nil"/>
              <w:right w:val="nil"/>
            </w:tcBorders>
            <w:vAlign w:val="bottom"/>
          </w:tcPr>
          <w:p w14:paraId="5DAB33AB" w14:textId="77777777" w:rsidR="00C0250B" w:rsidRDefault="00EC5B5B">
            <w:pPr>
              <w:spacing w:after="5" w:line="259" w:lineRule="auto"/>
              <w:ind w:left="265" w:right="0" w:firstLine="0"/>
              <w:jc w:val="left"/>
            </w:pPr>
            <w:r>
              <w:rPr>
                <w:rFonts w:ascii="Calibri" w:eastAsia="Calibri" w:hAnsi="Calibri" w:cs="Calibri"/>
                <w:sz w:val="22"/>
              </w:rPr>
              <w:t xml:space="preserve">Laranja </w:t>
            </w:r>
          </w:p>
          <w:p w14:paraId="0BE9FD11" w14:textId="77777777" w:rsidR="00C0250B" w:rsidRDefault="00EC5B5B">
            <w:pPr>
              <w:spacing w:after="0" w:line="259" w:lineRule="auto"/>
              <w:ind w:left="1415" w:right="0" w:firstLine="0"/>
              <w:jc w:val="left"/>
            </w:pPr>
            <w:r>
              <w:rPr>
                <w:rFonts w:ascii="Times New Roman" w:eastAsia="Times New Roman" w:hAnsi="Times New Roman" w:cs="Times New Roman"/>
                <w:sz w:val="20"/>
              </w:rPr>
              <w:t xml:space="preserve"> </w:t>
            </w:r>
          </w:p>
        </w:tc>
        <w:tc>
          <w:tcPr>
            <w:tcW w:w="3526" w:type="dxa"/>
            <w:tcBorders>
              <w:top w:val="nil"/>
              <w:left w:val="nil"/>
              <w:bottom w:val="nil"/>
              <w:right w:val="nil"/>
            </w:tcBorders>
            <w:vAlign w:val="bottom"/>
          </w:tcPr>
          <w:p w14:paraId="2A9E35C4" w14:textId="77777777" w:rsidR="00C0250B" w:rsidRDefault="00EC5B5B">
            <w:pPr>
              <w:spacing w:after="5" w:line="259" w:lineRule="auto"/>
              <w:ind w:left="830" w:right="0" w:firstLine="0"/>
              <w:jc w:val="left"/>
            </w:pPr>
            <w:r>
              <w:rPr>
                <w:rFonts w:ascii="Calibri" w:eastAsia="Calibri" w:hAnsi="Calibri" w:cs="Calibri"/>
                <w:sz w:val="22"/>
              </w:rPr>
              <w:t xml:space="preserve">0 UFC/g </w:t>
            </w:r>
          </w:p>
          <w:p w14:paraId="128169B6" w14:textId="77777777" w:rsidR="00C0250B" w:rsidRDefault="00EC5B5B">
            <w:pPr>
              <w:spacing w:after="0" w:line="259" w:lineRule="auto"/>
              <w:ind w:left="2896" w:right="0" w:firstLine="0"/>
              <w:jc w:val="left"/>
            </w:pPr>
            <w:r>
              <w:rPr>
                <w:rFonts w:ascii="Times New Roman" w:eastAsia="Times New Roman" w:hAnsi="Times New Roman" w:cs="Times New Roman"/>
                <w:sz w:val="20"/>
              </w:rPr>
              <w:t xml:space="preserve"> </w:t>
            </w:r>
          </w:p>
        </w:tc>
        <w:tc>
          <w:tcPr>
            <w:tcW w:w="1661" w:type="dxa"/>
            <w:tcBorders>
              <w:top w:val="nil"/>
              <w:left w:val="nil"/>
              <w:bottom w:val="nil"/>
              <w:right w:val="nil"/>
            </w:tcBorders>
          </w:tcPr>
          <w:p w14:paraId="09C125DD"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54291D6A" w14:textId="77777777">
        <w:trPr>
          <w:trHeight w:val="450"/>
        </w:trPr>
        <w:tc>
          <w:tcPr>
            <w:tcW w:w="1046" w:type="dxa"/>
            <w:tcBorders>
              <w:top w:val="nil"/>
              <w:left w:val="nil"/>
              <w:bottom w:val="nil"/>
              <w:right w:val="nil"/>
            </w:tcBorders>
          </w:tcPr>
          <w:p w14:paraId="2621E99D" w14:textId="77777777" w:rsidR="00C0250B" w:rsidRDefault="00EC5B5B">
            <w:pPr>
              <w:spacing w:after="0" w:line="259" w:lineRule="auto"/>
              <w:ind w:left="85" w:right="0" w:firstLine="0"/>
              <w:jc w:val="left"/>
            </w:pPr>
            <w:r>
              <w:rPr>
                <w:rFonts w:ascii="Times New Roman" w:eastAsia="Times New Roman" w:hAnsi="Times New Roman" w:cs="Times New Roman"/>
                <w:sz w:val="20"/>
              </w:rPr>
              <w:t xml:space="preserve"> </w:t>
            </w:r>
          </w:p>
        </w:tc>
        <w:tc>
          <w:tcPr>
            <w:tcW w:w="1046" w:type="dxa"/>
            <w:tcBorders>
              <w:top w:val="nil"/>
              <w:left w:val="nil"/>
              <w:bottom w:val="nil"/>
              <w:right w:val="nil"/>
            </w:tcBorders>
            <w:vAlign w:val="bottom"/>
          </w:tcPr>
          <w:p w14:paraId="7E0BF83C" w14:textId="77777777" w:rsidR="00C0250B" w:rsidRDefault="00EC5B5B">
            <w:pPr>
              <w:tabs>
                <w:tab w:val="center" w:pos="411"/>
                <w:tab w:val="center" w:pos="961"/>
              </w:tabs>
              <w:spacing w:after="0" w:line="259" w:lineRule="auto"/>
              <w:ind w:right="0" w:firstLine="0"/>
              <w:jc w:val="left"/>
            </w:pPr>
            <w:r>
              <w:rPr>
                <w:rFonts w:ascii="Calibri" w:eastAsia="Calibri" w:hAnsi="Calibri" w:cs="Calibri"/>
                <w:sz w:val="22"/>
              </w:rPr>
              <w:tab/>
              <w:t xml:space="preserve">1 </w:t>
            </w:r>
            <w:r>
              <w:rPr>
                <w:rFonts w:ascii="Calibri" w:eastAsia="Calibri" w:hAnsi="Calibri" w:cs="Calibri"/>
                <w:sz w:val="22"/>
              </w:rPr>
              <w:tab/>
              <w:t xml:space="preserve">  </w:t>
            </w:r>
          </w:p>
        </w:tc>
        <w:tc>
          <w:tcPr>
            <w:tcW w:w="1801" w:type="dxa"/>
            <w:tcBorders>
              <w:top w:val="nil"/>
              <w:left w:val="nil"/>
              <w:bottom w:val="nil"/>
              <w:right w:val="nil"/>
            </w:tcBorders>
            <w:vAlign w:val="bottom"/>
          </w:tcPr>
          <w:p w14:paraId="2C3F0B96" w14:textId="77777777" w:rsidR="00C0250B" w:rsidRDefault="00EC5B5B">
            <w:pPr>
              <w:spacing w:after="0" w:line="259" w:lineRule="auto"/>
              <w:ind w:left="15" w:right="0" w:firstLine="0"/>
              <w:jc w:val="left"/>
            </w:pPr>
            <w:r>
              <w:rPr>
                <w:rFonts w:ascii="Calibri" w:eastAsia="Calibri" w:hAnsi="Calibri" w:cs="Calibri"/>
                <w:sz w:val="22"/>
              </w:rPr>
              <w:t xml:space="preserve">Maçã c/coco </w:t>
            </w:r>
          </w:p>
        </w:tc>
        <w:tc>
          <w:tcPr>
            <w:tcW w:w="3526" w:type="dxa"/>
            <w:tcBorders>
              <w:top w:val="nil"/>
              <w:left w:val="nil"/>
              <w:bottom w:val="nil"/>
              <w:right w:val="nil"/>
            </w:tcBorders>
            <w:vAlign w:val="bottom"/>
          </w:tcPr>
          <w:p w14:paraId="09AC41A7" w14:textId="77777777" w:rsidR="00C0250B" w:rsidRDefault="00EC5B5B">
            <w:pPr>
              <w:spacing w:after="0" w:line="259" w:lineRule="auto"/>
              <w:ind w:left="945" w:right="0" w:firstLine="0"/>
              <w:jc w:val="left"/>
            </w:pPr>
            <w:r>
              <w:rPr>
                <w:rFonts w:ascii="Calibri" w:eastAsia="Calibri" w:hAnsi="Calibri" w:cs="Calibri"/>
                <w:sz w:val="22"/>
              </w:rPr>
              <w:t xml:space="preserve">TNTC </w:t>
            </w:r>
          </w:p>
        </w:tc>
        <w:tc>
          <w:tcPr>
            <w:tcW w:w="1661" w:type="dxa"/>
            <w:tcBorders>
              <w:top w:val="nil"/>
              <w:left w:val="nil"/>
              <w:bottom w:val="nil"/>
              <w:right w:val="nil"/>
            </w:tcBorders>
            <w:vAlign w:val="bottom"/>
          </w:tcPr>
          <w:p w14:paraId="305F5413"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37A40C98" w14:textId="77777777">
        <w:trPr>
          <w:trHeight w:val="300"/>
        </w:trPr>
        <w:tc>
          <w:tcPr>
            <w:tcW w:w="1046" w:type="dxa"/>
            <w:tcBorders>
              <w:top w:val="nil"/>
              <w:left w:val="nil"/>
              <w:bottom w:val="nil"/>
              <w:right w:val="nil"/>
            </w:tcBorders>
          </w:tcPr>
          <w:p w14:paraId="485A5468"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4C64FF02" w14:textId="77777777" w:rsidR="00C0250B" w:rsidRDefault="00EC5B5B">
            <w:pPr>
              <w:spacing w:after="0" w:line="259" w:lineRule="auto"/>
              <w:ind w:left="356" w:right="0" w:firstLine="0"/>
              <w:jc w:val="left"/>
            </w:pPr>
            <w:r>
              <w:rPr>
                <w:rFonts w:ascii="Calibri" w:eastAsia="Calibri" w:hAnsi="Calibri" w:cs="Calibri"/>
                <w:sz w:val="22"/>
              </w:rPr>
              <w:t xml:space="preserve">2 </w:t>
            </w:r>
          </w:p>
        </w:tc>
        <w:tc>
          <w:tcPr>
            <w:tcW w:w="1801" w:type="dxa"/>
            <w:tcBorders>
              <w:top w:val="nil"/>
              <w:left w:val="nil"/>
              <w:bottom w:val="nil"/>
              <w:right w:val="nil"/>
            </w:tcBorders>
          </w:tcPr>
          <w:p w14:paraId="5997D8C6" w14:textId="77777777" w:rsidR="00C0250B" w:rsidRDefault="00EC5B5B">
            <w:pPr>
              <w:spacing w:after="0" w:line="259" w:lineRule="auto"/>
              <w:ind w:right="0" w:firstLine="0"/>
              <w:jc w:val="left"/>
            </w:pPr>
            <w:r>
              <w:rPr>
                <w:rFonts w:ascii="Calibri" w:eastAsia="Calibri" w:hAnsi="Calibri" w:cs="Calibri"/>
                <w:sz w:val="22"/>
              </w:rPr>
              <w:t xml:space="preserve">Maçã c/ coco </w:t>
            </w:r>
          </w:p>
        </w:tc>
        <w:tc>
          <w:tcPr>
            <w:tcW w:w="3526" w:type="dxa"/>
            <w:tcBorders>
              <w:top w:val="nil"/>
              <w:left w:val="nil"/>
              <w:bottom w:val="nil"/>
              <w:right w:val="nil"/>
            </w:tcBorders>
          </w:tcPr>
          <w:p w14:paraId="31641718" w14:textId="77777777" w:rsidR="00C0250B" w:rsidRDefault="00EC5B5B">
            <w:pPr>
              <w:spacing w:after="0" w:line="259" w:lineRule="auto"/>
              <w:ind w:left="775" w:right="0" w:firstLine="0"/>
              <w:jc w:val="left"/>
            </w:pPr>
            <w:r>
              <w:rPr>
                <w:rFonts w:ascii="Calibri" w:eastAsia="Calibri" w:hAnsi="Calibri" w:cs="Calibri"/>
                <w:sz w:val="22"/>
              </w:rPr>
              <w:t xml:space="preserve">12 UFC/g </w:t>
            </w:r>
          </w:p>
        </w:tc>
        <w:tc>
          <w:tcPr>
            <w:tcW w:w="1661" w:type="dxa"/>
            <w:tcBorders>
              <w:top w:val="nil"/>
              <w:left w:val="nil"/>
              <w:bottom w:val="nil"/>
              <w:right w:val="nil"/>
            </w:tcBorders>
          </w:tcPr>
          <w:p w14:paraId="67D6D486"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1CE93923" w14:textId="77777777">
        <w:trPr>
          <w:trHeight w:val="300"/>
        </w:trPr>
        <w:tc>
          <w:tcPr>
            <w:tcW w:w="1046" w:type="dxa"/>
            <w:tcBorders>
              <w:top w:val="nil"/>
              <w:left w:val="nil"/>
              <w:bottom w:val="nil"/>
              <w:right w:val="nil"/>
            </w:tcBorders>
          </w:tcPr>
          <w:p w14:paraId="2B83FCFC"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018D1A41" w14:textId="77777777" w:rsidR="00C0250B" w:rsidRDefault="00EC5B5B">
            <w:pPr>
              <w:spacing w:after="0" w:line="259" w:lineRule="auto"/>
              <w:ind w:left="356" w:right="0" w:firstLine="0"/>
              <w:jc w:val="left"/>
            </w:pPr>
            <w:r>
              <w:rPr>
                <w:rFonts w:ascii="Calibri" w:eastAsia="Calibri" w:hAnsi="Calibri" w:cs="Calibri"/>
                <w:sz w:val="22"/>
              </w:rPr>
              <w:t xml:space="preserve">3 </w:t>
            </w:r>
          </w:p>
        </w:tc>
        <w:tc>
          <w:tcPr>
            <w:tcW w:w="1801" w:type="dxa"/>
            <w:tcBorders>
              <w:top w:val="nil"/>
              <w:left w:val="nil"/>
              <w:bottom w:val="nil"/>
              <w:right w:val="nil"/>
            </w:tcBorders>
          </w:tcPr>
          <w:p w14:paraId="1D34E6C3" w14:textId="77777777" w:rsidR="00C0250B" w:rsidRDefault="00EC5B5B">
            <w:pPr>
              <w:spacing w:after="0" w:line="259" w:lineRule="auto"/>
              <w:ind w:right="0" w:firstLine="0"/>
              <w:jc w:val="left"/>
            </w:pPr>
            <w:r>
              <w:rPr>
                <w:rFonts w:ascii="Calibri" w:eastAsia="Calibri" w:hAnsi="Calibri" w:cs="Calibri"/>
                <w:sz w:val="22"/>
              </w:rPr>
              <w:t xml:space="preserve">Maçã c/ coco </w:t>
            </w:r>
          </w:p>
        </w:tc>
        <w:tc>
          <w:tcPr>
            <w:tcW w:w="3526" w:type="dxa"/>
            <w:tcBorders>
              <w:top w:val="nil"/>
              <w:left w:val="nil"/>
              <w:bottom w:val="nil"/>
              <w:right w:val="nil"/>
            </w:tcBorders>
          </w:tcPr>
          <w:p w14:paraId="118594B2" w14:textId="77777777" w:rsidR="00C0250B" w:rsidRDefault="00EC5B5B">
            <w:pPr>
              <w:spacing w:after="0" w:line="259" w:lineRule="auto"/>
              <w:ind w:left="775" w:right="0" w:firstLine="0"/>
              <w:jc w:val="left"/>
            </w:pPr>
            <w:r>
              <w:rPr>
                <w:rFonts w:ascii="Calibri" w:eastAsia="Calibri" w:hAnsi="Calibri" w:cs="Calibri"/>
                <w:sz w:val="22"/>
              </w:rPr>
              <w:t xml:space="preserve">94 UFC/g </w:t>
            </w:r>
          </w:p>
        </w:tc>
        <w:tc>
          <w:tcPr>
            <w:tcW w:w="1661" w:type="dxa"/>
            <w:tcBorders>
              <w:top w:val="nil"/>
              <w:left w:val="nil"/>
              <w:bottom w:val="nil"/>
              <w:right w:val="nil"/>
            </w:tcBorders>
          </w:tcPr>
          <w:p w14:paraId="4CA62513"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4D2F535A" w14:textId="77777777">
        <w:trPr>
          <w:trHeight w:val="300"/>
        </w:trPr>
        <w:tc>
          <w:tcPr>
            <w:tcW w:w="1046" w:type="dxa"/>
            <w:tcBorders>
              <w:top w:val="nil"/>
              <w:left w:val="nil"/>
              <w:bottom w:val="nil"/>
              <w:right w:val="nil"/>
            </w:tcBorders>
          </w:tcPr>
          <w:p w14:paraId="3A41ACD0"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048F6AC7" w14:textId="77777777" w:rsidR="00C0250B" w:rsidRDefault="00EC5B5B">
            <w:pPr>
              <w:spacing w:after="0" w:line="259" w:lineRule="auto"/>
              <w:ind w:left="356" w:right="0" w:firstLine="0"/>
              <w:jc w:val="left"/>
            </w:pPr>
            <w:r>
              <w:rPr>
                <w:rFonts w:ascii="Calibri" w:eastAsia="Calibri" w:hAnsi="Calibri" w:cs="Calibri"/>
                <w:sz w:val="22"/>
              </w:rPr>
              <w:t xml:space="preserve">4 </w:t>
            </w:r>
          </w:p>
        </w:tc>
        <w:tc>
          <w:tcPr>
            <w:tcW w:w="1801" w:type="dxa"/>
            <w:tcBorders>
              <w:top w:val="nil"/>
              <w:left w:val="nil"/>
              <w:bottom w:val="nil"/>
              <w:right w:val="nil"/>
            </w:tcBorders>
          </w:tcPr>
          <w:p w14:paraId="0D000526" w14:textId="77777777" w:rsidR="00C0250B" w:rsidRDefault="00EC5B5B">
            <w:pPr>
              <w:spacing w:after="0" w:line="259" w:lineRule="auto"/>
              <w:ind w:right="0" w:firstLine="0"/>
              <w:jc w:val="left"/>
            </w:pPr>
            <w:r>
              <w:rPr>
                <w:rFonts w:ascii="Calibri" w:eastAsia="Calibri" w:hAnsi="Calibri" w:cs="Calibri"/>
                <w:sz w:val="22"/>
              </w:rPr>
              <w:t xml:space="preserve">Maçã c/ coco </w:t>
            </w:r>
          </w:p>
        </w:tc>
        <w:tc>
          <w:tcPr>
            <w:tcW w:w="3526" w:type="dxa"/>
            <w:tcBorders>
              <w:top w:val="nil"/>
              <w:left w:val="nil"/>
              <w:bottom w:val="nil"/>
              <w:right w:val="nil"/>
            </w:tcBorders>
          </w:tcPr>
          <w:p w14:paraId="54D246C4" w14:textId="77777777" w:rsidR="00C0250B" w:rsidRDefault="00EC5B5B">
            <w:pPr>
              <w:spacing w:after="0" w:line="259" w:lineRule="auto"/>
              <w:ind w:left="945" w:right="0" w:firstLine="0"/>
              <w:jc w:val="left"/>
            </w:pPr>
            <w:r>
              <w:rPr>
                <w:rFonts w:ascii="Calibri" w:eastAsia="Calibri" w:hAnsi="Calibri" w:cs="Calibri"/>
                <w:sz w:val="22"/>
              </w:rPr>
              <w:t xml:space="preserve">TNTC </w:t>
            </w:r>
          </w:p>
        </w:tc>
        <w:tc>
          <w:tcPr>
            <w:tcW w:w="1661" w:type="dxa"/>
            <w:tcBorders>
              <w:top w:val="nil"/>
              <w:left w:val="nil"/>
              <w:bottom w:val="nil"/>
              <w:right w:val="nil"/>
            </w:tcBorders>
          </w:tcPr>
          <w:p w14:paraId="21F19D61"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785CDF03" w14:textId="77777777">
        <w:trPr>
          <w:trHeight w:val="450"/>
        </w:trPr>
        <w:tc>
          <w:tcPr>
            <w:tcW w:w="1046" w:type="dxa"/>
            <w:tcBorders>
              <w:top w:val="nil"/>
              <w:left w:val="nil"/>
              <w:bottom w:val="nil"/>
              <w:right w:val="nil"/>
            </w:tcBorders>
            <w:vAlign w:val="bottom"/>
          </w:tcPr>
          <w:p w14:paraId="2B9D779E" w14:textId="77777777" w:rsidR="00C0250B" w:rsidRDefault="00EC5B5B">
            <w:pPr>
              <w:spacing w:after="10" w:line="259" w:lineRule="auto"/>
              <w:ind w:left="85" w:right="0" w:firstLine="0"/>
              <w:jc w:val="left"/>
            </w:pPr>
            <w:r>
              <w:rPr>
                <w:rFonts w:ascii="Calibri" w:eastAsia="Calibri" w:hAnsi="Calibri" w:cs="Calibri"/>
                <w:sz w:val="22"/>
              </w:rPr>
              <w:t xml:space="preserve"> </w:t>
            </w:r>
          </w:p>
          <w:p w14:paraId="5302ACA8"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vAlign w:val="bottom"/>
          </w:tcPr>
          <w:p w14:paraId="28A69514" w14:textId="77777777" w:rsidR="00C0250B" w:rsidRDefault="00EC5B5B">
            <w:pPr>
              <w:spacing w:after="5" w:line="259" w:lineRule="auto"/>
              <w:ind w:left="356" w:right="0" w:firstLine="0"/>
              <w:jc w:val="left"/>
            </w:pPr>
            <w:r>
              <w:rPr>
                <w:rFonts w:ascii="Calibri" w:eastAsia="Calibri" w:hAnsi="Calibri" w:cs="Calibri"/>
                <w:sz w:val="22"/>
              </w:rPr>
              <w:t xml:space="preserve">5 </w:t>
            </w:r>
          </w:p>
          <w:p w14:paraId="19B1F743" w14:textId="77777777" w:rsidR="00C0250B" w:rsidRDefault="00EC5B5B">
            <w:pPr>
              <w:spacing w:after="0" w:line="259" w:lineRule="auto"/>
              <w:ind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1801" w:type="dxa"/>
            <w:tcBorders>
              <w:top w:val="nil"/>
              <w:left w:val="nil"/>
              <w:bottom w:val="nil"/>
              <w:right w:val="nil"/>
            </w:tcBorders>
            <w:vAlign w:val="bottom"/>
          </w:tcPr>
          <w:p w14:paraId="5B677465" w14:textId="77777777" w:rsidR="00C0250B" w:rsidRDefault="00EC5B5B">
            <w:pPr>
              <w:spacing w:after="5" w:line="259" w:lineRule="auto"/>
              <w:ind w:right="0" w:firstLine="0"/>
              <w:jc w:val="left"/>
            </w:pPr>
            <w:r>
              <w:rPr>
                <w:rFonts w:ascii="Calibri" w:eastAsia="Calibri" w:hAnsi="Calibri" w:cs="Calibri"/>
                <w:sz w:val="22"/>
              </w:rPr>
              <w:t xml:space="preserve">Maçã c/ coco </w:t>
            </w:r>
          </w:p>
          <w:p w14:paraId="2AE9233B" w14:textId="77777777" w:rsidR="00C0250B" w:rsidRDefault="00EC5B5B">
            <w:pPr>
              <w:spacing w:after="0" w:line="259" w:lineRule="auto"/>
              <w:ind w:left="1415" w:right="0" w:firstLine="0"/>
              <w:jc w:val="left"/>
            </w:pPr>
            <w:r>
              <w:rPr>
                <w:rFonts w:ascii="Times New Roman" w:eastAsia="Times New Roman" w:hAnsi="Times New Roman" w:cs="Times New Roman"/>
                <w:sz w:val="20"/>
              </w:rPr>
              <w:t xml:space="preserve"> </w:t>
            </w:r>
          </w:p>
        </w:tc>
        <w:tc>
          <w:tcPr>
            <w:tcW w:w="3526" w:type="dxa"/>
            <w:tcBorders>
              <w:top w:val="nil"/>
              <w:left w:val="nil"/>
              <w:bottom w:val="nil"/>
              <w:right w:val="nil"/>
            </w:tcBorders>
            <w:vAlign w:val="bottom"/>
          </w:tcPr>
          <w:p w14:paraId="4CF94E6C" w14:textId="77777777" w:rsidR="00C0250B" w:rsidRDefault="00EC5B5B">
            <w:pPr>
              <w:spacing w:after="5" w:line="259" w:lineRule="auto"/>
              <w:ind w:left="775" w:right="0" w:firstLine="0"/>
              <w:jc w:val="left"/>
            </w:pPr>
            <w:r>
              <w:rPr>
                <w:rFonts w:ascii="Calibri" w:eastAsia="Calibri" w:hAnsi="Calibri" w:cs="Calibri"/>
                <w:sz w:val="22"/>
              </w:rPr>
              <w:t xml:space="preserve">98 UFC/g </w:t>
            </w:r>
          </w:p>
          <w:p w14:paraId="134263B9" w14:textId="77777777" w:rsidR="00C0250B" w:rsidRDefault="00EC5B5B">
            <w:pPr>
              <w:spacing w:after="0" w:line="259" w:lineRule="auto"/>
              <w:ind w:left="2896" w:right="0" w:firstLine="0"/>
              <w:jc w:val="left"/>
            </w:pPr>
            <w:r>
              <w:rPr>
                <w:rFonts w:ascii="Times New Roman" w:eastAsia="Times New Roman" w:hAnsi="Times New Roman" w:cs="Times New Roman"/>
                <w:sz w:val="20"/>
              </w:rPr>
              <w:t xml:space="preserve"> </w:t>
            </w:r>
          </w:p>
        </w:tc>
        <w:tc>
          <w:tcPr>
            <w:tcW w:w="1661" w:type="dxa"/>
            <w:tcBorders>
              <w:top w:val="nil"/>
              <w:left w:val="nil"/>
              <w:bottom w:val="nil"/>
              <w:right w:val="nil"/>
            </w:tcBorders>
          </w:tcPr>
          <w:p w14:paraId="74F8658E"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1B22591E" w14:textId="77777777">
        <w:trPr>
          <w:trHeight w:val="450"/>
        </w:trPr>
        <w:tc>
          <w:tcPr>
            <w:tcW w:w="1046" w:type="dxa"/>
            <w:tcBorders>
              <w:top w:val="nil"/>
              <w:left w:val="nil"/>
              <w:bottom w:val="nil"/>
              <w:right w:val="nil"/>
            </w:tcBorders>
          </w:tcPr>
          <w:p w14:paraId="1DE45B9F" w14:textId="77777777" w:rsidR="00C0250B" w:rsidRDefault="00EC5B5B">
            <w:pPr>
              <w:spacing w:after="0" w:line="259" w:lineRule="auto"/>
              <w:ind w:left="85" w:right="0" w:firstLine="0"/>
              <w:jc w:val="left"/>
            </w:pPr>
            <w:r>
              <w:rPr>
                <w:rFonts w:ascii="Times New Roman" w:eastAsia="Times New Roman" w:hAnsi="Times New Roman" w:cs="Times New Roman"/>
                <w:sz w:val="20"/>
              </w:rPr>
              <w:t xml:space="preserve"> </w:t>
            </w:r>
          </w:p>
        </w:tc>
        <w:tc>
          <w:tcPr>
            <w:tcW w:w="1046" w:type="dxa"/>
            <w:tcBorders>
              <w:top w:val="nil"/>
              <w:left w:val="nil"/>
              <w:bottom w:val="nil"/>
              <w:right w:val="nil"/>
            </w:tcBorders>
            <w:vAlign w:val="bottom"/>
          </w:tcPr>
          <w:p w14:paraId="5C9B9B08" w14:textId="77777777" w:rsidR="00C0250B" w:rsidRDefault="00EC5B5B">
            <w:pPr>
              <w:spacing w:after="0" w:line="259" w:lineRule="auto"/>
              <w:ind w:left="356" w:right="0" w:firstLine="0"/>
              <w:jc w:val="left"/>
            </w:pPr>
            <w:r>
              <w:rPr>
                <w:rFonts w:ascii="Calibri" w:eastAsia="Calibri" w:hAnsi="Calibri" w:cs="Calibri"/>
                <w:sz w:val="22"/>
              </w:rPr>
              <w:t xml:space="preserve">1 </w:t>
            </w:r>
          </w:p>
        </w:tc>
        <w:tc>
          <w:tcPr>
            <w:tcW w:w="1801" w:type="dxa"/>
            <w:tcBorders>
              <w:top w:val="nil"/>
              <w:left w:val="nil"/>
              <w:bottom w:val="nil"/>
              <w:right w:val="nil"/>
            </w:tcBorders>
            <w:vAlign w:val="bottom"/>
          </w:tcPr>
          <w:p w14:paraId="58976B8E" w14:textId="77777777" w:rsidR="00C0250B" w:rsidRDefault="00EC5B5B">
            <w:pPr>
              <w:spacing w:after="0" w:line="259" w:lineRule="auto"/>
              <w:ind w:left="185" w:right="0" w:firstLine="0"/>
              <w:jc w:val="left"/>
            </w:pPr>
            <w:r>
              <w:rPr>
                <w:rFonts w:ascii="Calibri" w:eastAsia="Calibri" w:hAnsi="Calibri" w:cs="Calibri"/>
                <w:sz w:val="22"/>
              </w:rPr>
              <w:t xml:space="preserve">Morango </w:t>
            </w:r>
          </w:p>
        </w:tc>
        <w:tc>
          <w:tcPr>
            <w:tcW w:w="3526" w:type="dxa"/>
            <w:tcBorders>
              <w:top w:val="nil"/>
              <w:left w:val="nil"/>
              <w:bottom w:val="nil"/>
              <w:right w:val="nil"/>
            </w:tcBorders>
            <w:vAlign w:val="bottom"/>
          </w:tcPr>
          <w:p w14:paraId="440604C5" w14:textId="77777777" w:rsidR="00C0250B" w:rsidRDefault="00EC5B5B">
            <w:pPr>
              <w:spacing w:after="0" w:line="259" w:lineRule="auto"/>
              <w:ind w:left="830" w:right="0" w:firstLine="0"/>
              <w:jc w:val="left"/>
            </w:pPr>
            <w:r>
              <w:rPr>
                <w:rFonts w:ascii="Calibri" w:eastAsia="Calibri" w:hAnsi="Calibri" w:cs="Calibri"/>
                <w:sz w:val="22"/>
              </w:rPr>
              <w:t xml:space="preserve">0 UFC/g </w:t>
            </w:r>
          </w:p>
        </w:tc>
        <w:tc>
          <w:tcPr>
            <w:tcW w:w="1661" w:type="dxa"/>
            <w:tcBorders>
              <w:top w:val="nil"/>
              <w:left w:val="nil"/>
              <w:bottom w:val="nil"/>
              <w:right w:val="nil"/>
            </w:tcBorders>
            <w:vAlign w:val="bottom"/>
          </w:tcPr>
          <w:p w14:paraId="35F1DFC5"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241E1140" w14:textId="77777777">
        <w:trPr>
          <w:trHeight w:val="300"/>
        </w:trPr>
        <w:tc>
          <w:tcPr>
            <w:tcW w:w="1046" w:type="dxa"/>
            <w:tcBorders>
              <w:top w:val="nil"/>
              <w:left w:val="nil"/>
              <w:bottom w:val="nil"/>
              <w:right w:val="nil"/>
            </w:tcBorders>
          </w:tcPr>
          <w:p w14:paraId="0FC1917E"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0FF74E17" w14:textId="77777777" w:rsidR="00C0250B" w:rsidRDefault="00EC5B5B">
            <w:pPr>
              <w:spacing w:after="0" w:line="259" w:lineRule="auto"/>
              <w:ind w:left="356" w:right="0" w:firstLine="0"/>
              <w:jc w:val="left"/>
            </w:pPr>
            <w:r>
              <w:rPr>
                <w:rFonts w:ascii="Calibri" w:eastAsia="Calibri" w:hAnsi="Calibri" w:cs="Calibri"/>
                <w:sz w:val="22"/>
              </w:rPr>
              <w:t xml:space="preserve">2 </w:t>
            </w:r>
          </w:p>
        </w:tc>
        <w:tc>
          <w:tcPr>
            <w:tcW w:w="1801" w:type="dxa"/>
            <w:tcBorders>
              <w:top w:val="nil"/>
              <w:left w:val="nil"/>
              <w:bottom w:val="nil"/>
              <w:right w:val="nil"/>
            </w:tcBorders>
          </w:tcPr>
          <w:p w14:paraId="1D7B8E7E" w14:textId="77777777" w:rsidR="00C0250B" w:rsidRDefault="00EC5B5B">
            <w:pPr>
              <w:spacing w:after="0" w:line="259" w:lineRule="auto"/>
              <w:ind w:left="185" w:right="0" w:firstLine="0"/>
              <w:jc w:val="left"/>
            </w:pPr>
            <w:r>
              <w:rPr>
                <w:rFonts w:ascii="Calibri" w:eastAsia="Calibri" w:hAnsi="Calibri" w:cs="Calibri"/>
                <w:sz w:val="22"/>
              </w:rPr>
              <w:t xml:space="preserve">Morango </w:t>
            </w:r>
          </w:p>
        </w:tc>
        <w:tc>
          <w:tcPr>
            <w:tcW w:w="3526" w:type="dxa"/>
            <w:tcBorders>
              <w:top w:val="nil"/>
              <w:left w:val="nil"/>
              <w:bottom w:val="nil"/>
              <w:right w:val="nil"/>
            </w:tcBorders>
          </w:tcPr>
          <w:p w14:paraId="28162BDA" w14:textId="77777777" w:rsidR="00C0250B" w:rsidRDefault="00EC5B5B">
            <w:pPr>
              <w:spacing w:after="0" w:line="259" w:lineRule="auto"/>
              <w:ind w:left="775" w:right="0" w:firstLine="0"/>
              <w:jc w:val="left"/>
            </w:pPr>
            <w:r>
              <w:rPr>
                <w:rFonts w:ascii="Calibri" w:eastAsia="Calibri" w:hAnsi="Calibri" w:cs="Calibri"/>
                <w:sz w:val="22"/>
              </w:rPr>
              <w:t xml:space="preserve">10 UFC/g </w:t>
            </w:r>
          </w:p>
        </w:tc>
        <w:tc>
          <w:tcPr>
            <w:tcW w:w="1661" w:type="dxa"/>
            <w:tcBorders>
              <w:top w:val="nil"/>
              <w:left w:val="nil"/>
              <w:bottom w:val="nil"/>
              <w:right w:val="nil"/>
            </w:tcBorders>
          </w:tcPr>
          <w:p w14:paraId="759D06E2"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3079E143" w14:textId="77777777">
        <w:trPr>
          <w:trHeight w:val="300"/>
        </w:trPr>
        <w:tc>
          <w:tcPr>
            <w:tcW w:w="1046" w:type="dxa"/>
            <w:tcBorders>
              <w:top w:val="nil"/>
              <w:left w:val="nil"/>
              <w:bottom w:val="nil"/>
              <w:right w:val="nil"/>
            </w:tcBorders>
          </w:tcPr>
          <w:p w14:paraId="3088958C"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02DDF8C6" w14:textId="77777777" w:rsidR="00C0250B" w:rsidRDefault="00EC5B5B">
            <w:pPr>
              <w:spacing w:after="0" w:line="259" w:lineRule="auto"/>
              <w:ind w:left="356" w:right="0" w:firstLine="0"/>
              <w:jc w:val="left"/>
            </w:pPr>
            <w:r>
              <w:rPr>
                <w:rFonts w:ascii="Calibri" w:eastAsia="Calibri" w:hAnsi="Calibri" w:cs="Calibri"/>
                <w:sz w:val="22"/>
              </w:rPr>
              <w:t xml:space="preserve">3 </w:t>
            </w:r>
          </w:p>
        </w:tc>
        <w:tc>
          <w:tcPr>
            <w:tcW w:w="1801" w:type="dxa"/>
            <w:tcBorders>
              <w:top w:val="nil"/>
              <w:left w:val="nil"/>
              <w:bottom w:val="nil"/>
              <w:right w:val="nil"/>
            </w:tcBorders>
          </w:tcPr>
          <w:p w14:paraId="189D8066" w14:textId="77777777" w:rsidR="00C0250B" w:rsidRDefault="00EC5B5B">
            <w:pPr>
              <w:spacing w:after="0" w:line="259" w:lineRule="auto"/>
              <w:ind w:left="185" w:right="0" w:firstLine="0"/>
              <w:jc w:val="left"/>
            </w:pPr>
            <w:r>
              <w:rPr>
                <w:rFonts w:ascii="Calibri" w:eastAsia="Calibri" w:hAnsi="Calibri" w:cs="Calibri"/>
                <w:sz w:val="22"/>
              </w:rPr>
              <w:t xml:space="preserve">Morango </w:t>
            </w:r>
          </w:p>
        </w:tc>
        <w:tc>
          <w:tcPr>
            <w:tcW w:w="3526" w:type="dxa"/>
            <w:tcBorders>
              <w:top w:val="nil"/>
              <w:left w:val="nil"/>
              <w:bottom w:val="nil"/>
              <w:right w:val="nil"/>
            </w:tcBorders>
          </w:tcPr>
          <w:p w14:paraId="6D5392EF" w14:textId="77777777" w:rsidR="00C0250B" w:rsidRDefault="00EC5B5B">
            <w:pPr>
              <w:spacing w:after="0" w:line="259" w:lineRule="auto"/>
              <w:ind w:left="830" w:right="0" w:firstLine="0"/>
              <w:jc w:val="left"/>
            </w:pPr>
            <w:r>
              <w:rPr>
                <w:rFonts w:ascii="Calibri" w:eastAsia="Calibri" w:hAnsi="Calibri" w:cs="Calibri"/>
                <w:sz w:val="22"/>
              </w:rPr>
              <w:t xml:space="preserve">0 UFC/g </w:t>
            </w:r>
          </w:p>
        </w:tc>
        <w:tc>
          <w:tcPr>
            <w:tcW w:w="1661" w:type="dxa"/>
            <w:tcBorders>
              <w:top w:val="nil"/>
              <w:left w:val="nil"/>
              <w:bottom w:val="nil"/>
              <w:right w:val="nil"/>
            </w:tcBorders>
          </w:tcPr>
          <w:p w14:paraId="3A38CF6A"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5C339AE6" w14:textId="77777777">
        <w:trPr>
          <w:trHeight w:val="300"/>
        </w:trPr>
        <w:tc>
          <w:tcPr>
            <w:tcW w:w="1046" w:type="dxa"/>
            <w:tcBorders>
              <w:top w:val="nil"/>
              <w:left w:val="nil"/>
              <w:bottom w:val="nil"/>
              <w:right w:val="nil"/>
            </w:tcBorders>
          </w:tcPr>
          <w:p w14:paraId="4EC39351"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3FF76B4F" w14:textId="77777777" w:rsidR="00C0250B" w:rsidRDefault="00EC5B5B">
            <w:pPr>
              <w:spacing w:after="0" w:line="259" w:lineRule="auto"/>
              <w:ind w:left="356" w:right="0" w:firstLine="0"/>
              <w:jc w:val="left"/>
            </w:pPr>
            <w:r>
              <w:rPr>
                <w:rFonts w:ascii="Calibri" w:eastAsia="Calibri" w:hAnsi="Calibri" w:cs="Calibri"/>
                <w:sz w:val="22"/>
              </w:rPr>
              <w:t xml:space="preserve">4 </w:t>
            </w:r>
          </w:p>
        </w:tc>
        <w:tc>
          <w:tcPr>
            <w:tcW w:w="1801" w:type="dxa"/>
            <w:tcBorders>
              <w:top w:val="nil"/>
              <w:left w:val="nil"/>
              <w:bottom w:val="nil"/>
              <w:right w:val="nil"/>
            </w:tcBorders>
          </w:tcPr>
          <w:p w14:paraId="11DC8A39" w14:textId="77777777" w:rsidR="00C0250B" w:rsidRDefault="00EC5B5B">
            <w:pPr>
              <w:spacing w:after="0" w:line="259" w:lineRule="auto"/>
              <w:ind w:left="185" w:right="0" w:firstLine="0"/>
              <w:jc w:val="left"/>
            </w:pPr>
            <w:r>
              <w:rPr>
                <w:rFonts w:ascii="Calibri" w:eastAsia="Calibri" w:hAnsi="Calibri" w:cs="Calibri"/>
                <w:sz w:val="22"/>
              </w:rPr>
              <w:t xml:space="preserve">Morango </w:t>
            </w:r>
          </w:p>
        </w:tc>
        <w:tc>
          <w:tcPr>
            <w:tcW w:w="3526" w:type="dxa"/>
            <w:tcBorders>
              <w:top w:val="nil"/>
              <w:left w:val="nil"/>
              <w:bottom w:val="nil"/>
              <w:right w:val="nil"/>
            </w:tcBorders>
          </w:tcPr>
          <w:p w14:paraId="54AF5BFC" w14:textId="77777777" w:rsidR="00C0250B" w:rsidRDefault="00EC5B5B">
            <w:pPr>
              <w:spacing w:after="0" w:line="259" w:lineRule="auto"/>
              <w:ind w:left="830" w:right="0" w:firstLine="0"/>
              <w:jc w:val="left"/>
            </w:pPr>
            <w:r>
              <w:rPr>
                <w:rFonts w:ascii="Calibri" w:eastAsia="Calibri" w:hAnsi="Calibri" w:cs="Calibri"/>
                <w:sz w:val="22"/>
              </w:rPr>
              <w:t xml:space="preserve">0 UFC/g </w:t>
            </w:r>
          </w:p>
        </w:tc>
        <w:tc>
          <w:tcPr>
            <w:tcW w:w="1661" w:type="dxa"/>
            <w:tcBorders>
              <w:top w:val="nil"/>
              <w:left w:val="nil"/>
              <w:bottom w:val="nil"/>
              <w:right w:val="nil"/>
            </w:tcBorders>
          </w:tcPr>
          <w:p w14:paraId="6668C3FC"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1A18B59A" w14:textId="77777777">
        <w:trPr>
          <w:trHeight w:val="450"/>
        </w:trPr>
        <w:tc>
          <w:tcPr>
            <w:tcW w:w="1046" w:type="dxa"/>
            <w:tcBorders>
              <w:top w:val="nil"/>
              <w:left w:val="nil"/>
              <w:bottom w:val="nil"/>
              <w:right w:val="nil"/>
            </w:tcBorders>
            <w:vAlign w:val="bottom"/>
          </w:tcPr>
          <w:p w14:paraId="42CA492A" w14:textId="77777777" w:rsidR="00C0250B" w:rsidRDefault="00EC5B5B">
            <w:pPr>
              <w:spacing w:after="10" w:line="259" w:lineRule="auto"/>
              <w:ind w:left="85" w:right="0" w:firstLine="0"/>
              <w:jc w:val="left"/>
            </w:pPr>
            <w:r>
              <w:rPr>
                <w:rFonts w:ascii="Calibri" w:eastAsia="Calibri" w:hAnsi="Calibri" w:cs="Calibri"/>
                <w:sz w:val="22"/>
              </w:rPr>
              <w:t xml:space="preserve"> </w:t>
            </w:r>
          </w:p>
          <w:p w14:paraId="6565A167"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vAlign w:val="bottom"/>
          </w:tcPr>
          <w:p w14:paraId="06EDE1C2" w14:textId="77777777" w:rsidR="00C0250B" w:rsidRDefault="00EC5B5B">
            <w:pPr>
              <w:spacing w:after="5" w:line="259" w:lineRule="auto"/>
              <w:ind w:left="356" w:right="0" w:firstLine="0"/>
              <w:jc w:val="left"/>
            </w:pPr>
            <w:r>
              <w:rPr>
                <w:rFonts w:ascii="Calibri" w:eastAsia="Calibri" w:hAnsi="Calibri" w:cs="Calibri"/>
                <w:sz w:val="22"/>
              </w:rPr>
              <w:t xml:space="preserve">5 </w:t>
            </w:r>
          </w:p>
          <w:p w14:paraId="6EFA942F" w14:textId="77777777" w:rsidR="00C0250B" w:rsidRDefault="00EC5B5B">
            <w:pPr>
              <w:spacing w:after="0" w:line="259" w:lineRule="auto"/>
              <w:ind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1801" w:type="dxa"/>
            <w:tcBorders>
              <w:top w:val="nil"/>
              <w:left w:val="nil"/>
              <w:bottom w:val="nil"/>
              <w:right w:val="nil"/>
            </w:tcBorders>
            <w:vAlign w:val="bottom"/>
          </w:tcPr>
          <w:p w14:paraId="1E13BE92" w14:textId="77777777" w:rsidR="00C0250B" w:rsidRDefault="00EC5B5B">
            <w:pPr>
              <w:spacing w:after="5" w:line="259" w:lineRule="auto"/>
              <w:ind w:left="185" w:right="0" w:firstLine="0"/>
              <w:jc w:val="left"/>
            </w:pPr>
            <w:r>
              <w:rPr>
                <w:rFonts w:ascii="Calibri" w:eastAsia="Calibri" w:hAnsi="Calibri" w:cs="Calibri"/>
                <w:sz w:val="22"/>
              </w:rPr>
              <w:t xml:space="preserve">Morango </w:t>
            </w:r>
          </w:p>
          <w:p w14:paraId="7682A54D" w14:textId="77777777" w:rsidR="00C0250B" w:rsidRDefault="00EC5B5B">
            <w:pPr>
              <w:spacing w:after="0" w:line="259" w:lineRule="auto"/>
              <w:ind w:left="1415" w:right="0" w:firstLine="0"/>
              <w:jc w:val="left"/>
            </w:pPr>
            <w:r>
              <w:rPr>
                <w:rFonts w:ascii="Times New Roman" w:eastAsia="Times New Roman" w:hAnsi="Times New Roman" w:cs="Times New Roman"/>
                <w:sz w:val="20"/>
              </w:rPr>
              <w:t xml:space="preserve"> </w:t>
            </w:r>
          </w:p>
        </w:tc>
        <w:tc>
          <w:tcPr>
            <w:tcW w:w="3526" w:type="dxa"/>
            <w:tcBorders>
              <w:top w:val="nil"/>
              <w:left w:val="nil"/>
              <w:bottom w:val="nil"/>
              <w:right w:val="nil"/>
            </w:tcBorders>
            <w:vAlign w:val="bottom"/>
          </w:tcPr>
          <w:p w14:paraId="0D0C7901" w14:textId="77777777" w:rsidR="00C0250B" w:rsidRDefault="00EC5B5B">
            <w:pPr>
              <w:spacing w:after="5" w:line="259" w:lineRule="auto"/>
              <w:ind w:left="830" w:right="0" w:firstLine="0"/>
              <w:jc w:val="left"/>
            </w:pPr>
            <w:r>
              <w:rPr>
                <w:rFonts w:ascii="Calibri" w:eastAsia="Calibri" w:hAnsi="Calibri" w:cs="Calibri"/>
                <w:sz w:val="22"/>
              </w:rPr>
              <w:t xml:space="preserve">0 UFC/g </w:t>
            </w:r>
          </w:p>
          <w:p w14:paraId="328AE2C5" w14:textId="77777777" w:rsidR="00C0250B" w:rsidRDefault="00EC5B5B">
            <w:pPr>
              <w:spacing w:after="0" w:line="259" w:lineRule="auto"/>
              <w:ind w:left="2896" w:right="0" w:firstLine="0"/>
              <w:jc w:val="left"/>
            </w:pPr>
            <w:r>
              <w:rPr>
                <w:rFonts w:ascii="Times New Roman" w:eastAsia="Times New Roman" w:hAnsi="Times New Roman" w:cs="Times New Roman"/>
                <w:sz w:val="20"/>
              </w:rPr>
              <w:t xml:space="preserve"> </w:t>
            </w:r>
          </w:p>
        </w:tc>
        <w:tc>
          <w:tcPr>
            <w:tcW w:w="1661" w:type="dxa"/>
            <w:tcBorders>
              <w:top w:val="nil"/>
              <w:left w:val="nil"/>
              <w:bottom w:val="nil"/>
              <w:right w:val="nil"/>
            </w:tcBorders>
          </w:tcPr>
          <w:p w14:paraId="152A7D61"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1824E7BC" w14:textId="77777777">
        <w:trPr>
          <w:trHeight w:val="450"/>
        </w:trPr>
        <w:tc>
          <w:tcPr>
            <w:tcW w:w="1046" w:type="dxa"/>
            <w:tcBorders>
              <w:top w:val="nil"/>
              <w:left w:val="nil"/>
              <w:bottom w:val="nil"/>
              <w:right w:val="nil"/>
            </w:tcBorders>
          </w:tcPr>
          <w:p w14:paraId="40FB93BC" w14:textId="77777777" w:rsidR="00C0250B" w:rsidRDefault="00EC5B5B">
            <w:pPr>
              <w:spacing w:after="0" w:line="259" w:lineRule="auto"/>
              <w:ind w:left="85" w:right="0" w:firstLine="0"/>
              <w:jc w:val="left"/>
            </w:pPr>
            <w:r>
              <w:rPr>
                <w:rFonts w:ascii="Times New Roman" w:eastAsia="Times New Roman" w:hAnsi="Times New Roman" w:cs="Times New Roman"/>
                <w:sz w:val="20"/>
              </w:rPr>
              <w:t xml:space="preserve"> </w:t>
            </w:r>
          </w:p>
        </w:tc>
        <w:tc>
          <w:tcPr>
            <w:tcW w:w="1046" w:type="dxa"/>
            <w:tcBorders>
              <w:top w:val="nil"/>
              <w:left w:val="nil"/>
              <w:bottom w:val="nil"/>
              <w:right w:val="nil"/>
            </w:tcBorders>
            <w:vAlign w:val="bottom"/>
          </w:tcPr>
          <w:p w14:paraId="0E5F7562" w14:textId="77777777" w:rsidR="00C0250B" w:rsidRDefault="00EC5B5B">
            <w:pPr>
              <w:spacing w:after="0" w:line="259" w:lineRule="auto"/>
              <w:ind w:left="356" w:right="0" w:firstLine="0"/>
              <w:jc w:val="left"/>
            </w:pPr>
            <w:r>
              <w:rPr>
                <w:rFonts w:ascii="Calibri" w:eastAsia="Calibri" w:hAnsi="Calibri" w:cs="Calibri"/>
                <w:sz w:val="22"/>
              </w:rPr>
              <w:t xml:space="preserve">1 </w:t>
            </w:r>
          </w:p>
        </w:tc>
        <w:tc>
          <w:tcPr>
            <w:tcW w:w="1801" w:type="dxa"/>
            <w:tcBorders>
              <w:top w:val="nil"/>
              <w:left w:val="nil"/>
              <w:bottom w:val="nil"/>
              <w:right w:val="nil"/>
            </w:tcBorders>
            <w:vAlign w:val="bottom"/>
          </w:tcPr>
          <w:p w14:paraId="7F26DB28" w14:textId="77777777" w:rsidR="00C0250B" w:rsidRDefault="00EC5B5B">
            <w:pPr>
              <w:spacing w:after="0" w:line="259" w:lineRule="auto"/>
              <w:ind w:left="420" w:right="0" w:firstLine="0"/>
              <w:jc w:val="left"/>
            </w:pPr>
            <w:r>
              <w:rPr>
                <w:rFonts w:ascii="Calibri" w:eastAsia="Calibri" w:hAnsi="Calibri" w:cs="Calibri"/>
                <w:sz w:val="22"/>
              </w:rPr>
              <w:t xml:space="preserve">Uva </w:t>
            </w:r>
          </w:p>
        </w:tc>
        <w:tc>
          <w:tcPr>
            <w:tcW w:w="3526" w:type="dxa"/>
            <w:tcBorders>
              <w:top w:val="nil"/>
              <w:left w:val="nil"/>
              <w:bottom w:val="nil"/>
              <w:right w:val="nil"/>
            </w:tcBorders>
            <w:vAlign w:val="bottom"/>
          </w:tcPr>
          <w:p w14:paraId="10B29455" w14:textId="77777777" w:rsidR="00C0250B" w:rsidRDefault="00EC5B5B">
            <w:pPr>
              <w:spacing w:after="0" w:line="259" w:lineRule="auto"/>
              <w:ind w:left="775" w:right="0" w:firstLine="0"/>
              <w:jc w:val="left"/>
            </w:pPr>
            <w:r>
              <w:rPr>
                <w:rFonts w:ascii="Calibri" w:eastAsia="Calibri" w:hAnsi="Calibri" w:cs="Calibri"/>
                <w:sz w:val="22"/>
              </w:rPr>
              <w:t xml:space="preserve">15 UFC/g </w:t>
            </w:r>
          </w:p>
        </w:tc>
        <w:tc>
          <w:tcPr>
            <w:tcW w:w="1661" w:type="dxa"/>
            <w:tcBorders>
              <w:top w:val="nil"/>
              <w:left w:val="nil"/>
              <w:bottom w:val="nil"/>
              <w:right w:val="nil"/>
            </w:tcBorders>
            <w:vAlign w:val="bottom"/>
          </w:tcPr>
          <w:p w14:paraId="2DF12BAA" w14:textId="77777777" w:rsidR="00C0250B" w:rsidRDefault="00EC5B5B">
            <w:pPr>
              <w:spacing w:after="0" w:line="259" w:lineRule="auto"/>
              <w:ind w:left="110" w:right="0" w:firstLine="0"/>
              <w:jc w:val="left"/>
            </w:pPr>
            <w:r>
              <w:rPr>
                <w:rFonts w:ascii="Calibri" w:eastAsia="Calibri" w:hAnsi="Calibri" w:cs="Calibri"/>
                <w:sz w:val="22"/>
              </w:rPr>
              <w:t xml:space="preserve">Ausente </w:t>
            </w:r>
          </w:p>
        </w:tc>
      </w:tr>
      <w:tr w:rsidR="00C0250B" w14:paraId="4B4732CA" w14:textId="77777777">
        <w:trPr>
          <w:trHeight w:val="300"/>
        </w:trPr>
        <w:tc>
          <w:tcPr>
            <w:tcW w:w="1046" w:type="dxa"/>
            <w:tcBorders>
              <w:top w:val="nil"/>
              <w:left w:val="nil"/>
              <w:bottom w:val="nil"/>
              <w:right w:val="nil"/>
            </w:tcBorders>
          </w:tcPr>
          <w:p w14:paraId="5ADADC01"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193701DC" w14:textId="77777777" w:rsidR="00C0250B" w:rsidRDefault="00EC5B5B">
            <w:pPr>
              <w:spacing w:after="0" w:line="259" w:lineRule="auto"/>
              <w:ind w:left="356" w:right="0" w:firstLine="0"/>
              <w:jc w:val="left"/>
            </w:pPr>
            <w:r>
              <w:rPr>
                <w:rFonts w:ascii="Calibri" w:eastAsia="Calibri" w:hAnsi="Calibri" w:cs="Calibri"/>
                <w:sz w:val="22"/>
              </w:rPr>
              <w:t xml:space="preserve">2 </w:t>
            </w:r>
          </w:p>
        </w:tc>
        <w:tc>
          <w:tcPr>
            <w:tcW w:w="1801" w:type="dxa"/>
            <w:tcBorders>
              <w:top w:val="nil"/>
              <w:left w:val="nil"/>
              <w:bottom w:val="nil"/>
              <w:right w:val="nil"/>
            </w:tcBorders>
          </w:tcPr>
          <w:p w14:paraId="6E4F132F" w14:textId="77777777" w:rsidR="00C0250B" w:rsidRDefault="00EC5B5B">
            <w:pPr>
              <w:spacing w:after="0" w:line="259" w:lineRule="auto"/>
              <w:ind w:left="420" w:right="0" w:firstLine="0"/>
              <w:jc w:val="left"/>
            </w:pPr>
            <w:r>
              <w:rPr>
                <w:rFonts w:ascii="Calibri" w:eastAsia="Calibri" w:hAnsi="Calibri" w:cs="Calibri"/>
                <w:sz w:val="22"/>
              </w:rPr>
              <w:t xml:space="preserve">Uva </w:t>
            </w:r>
          </w:p>
        </w:tc>
        <w:tc>
          <w:tcPr>
            <w:tcW w:w="3526" w:type="dxa"/>
            <w:tcBorders>
              <w:top w:val="nil"/>
              <w:left w:val="nil"/>
              <w:bottom w:val="nil"/>
              <w:right w:val="nil"/>
            </w:tcBorders>
          </w:tcPr>
          <w:p w14:paraId="6A9FF01A" w14:textId="77777777" w:rsidR="00C0250B" w:rsidRDefault="00EC5B5B">
            <w:pPr>
              <w:spacing w:after="0" w:line="259" w:lineRule="auto"/>
              <w:ind w:left="830" w:right="0" w:firstLine="0"/>
              <w:jc w:val="left"/>
            </w:pPr>
            <w:r>
              <w:rPr>
                <w:rFonts w:ascii="Calibri" w:eastAsia="Calibri" w:hAnsi="Calibri" w:cs="Calibri"/>
                <w:sz w:val="22"/>
              </w:rPr>
              <w:t xml:space="preserve">2 UFC/g </w:t>
            </w:r>
          </w:p>
        </w:tc>
        <w:tc>
          <w:tcPr>
            <w:tcW w:w="1661" w:type="dxa"/>
            <w:tcBorders>
              <w:top w:val="nil"/>
              <w:left w:val="nil"/>
              <w:bottom w:val="nil"/>
              <w:right w:val="nil"/>
            </w:tcBorders>
          </w:tcPr>
          <w:p w14:paraId="14CB0338" w14:textId="77777777" w:rsidR="00C0250B" w:rsidRDefault="00EC5B5B">
            <w:pPr>
              <w:spacing w:after="0" w:line="259" w:lineRule="auto"/>
              <w:ind w:left="110" w:right="0" w:firstLine="0"/>
              <w:jc w:val="left"/>
            </w:pPr>
            <w:r>
              <w:rPr>
                <w:rFonts w:ascii="Calibri" w:eastAsia="Calibri" w:hAnsi="Calibri" w:cs="Calibri"/>
                <w:sz w:val="22"/>
              </w:rPr>
              <w:t xml:space="preserve">Ausente </w:t>
            </w:r>
          </w:p>
        </w:tc>
      </w:tr>
      <w:tr w:rsidR="00C0250B" w14:paraId="023702F2" w14:textId="77777777">
        <w:trPr>
          <w:trHeight w:val="300"/>
        </w:trPr>
        <w:tc>
          <w:tcPr>
            <w:tcW w:w="1046" w:type="dxa"/>
            <w:tcBorders>
              <w:top w:val="nil"/>
              <w:left w:val="nil"/>
              <w:bottom w:val="nil"/>
              <w:right w:val="nil"/>
            </w:tcBorders>
          </w:tcPr>
          <w:p w14:paraId="0574591C"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5B8B45F6" w14:textId="77777777" w:rsidR="00C0250B" w:rsidRDefault="00EC5B5B">
            <w:pPr>
              <w:spacing w:after="0" w:line="259" w:lineRule="auto"/>
              <w:ind w:left="356" w:right="0" w:firstLine="0"/>
              <w:jc w:val="left"/>
            </w:pPr>
            <w:r>
              <w:rPr>
                <w:rFonts w:ascii="Calibri" w:eastAsia="Calibri" w:hAnsi="Calibri" w:cs="Calibri"/>
                <w:sz w:val="22"/>
              </w:rPr>
              <w:t xml:space="preserve">3 </w:t>
            </w:r>
          </w:p>
        </w:tc>
        <w:tc>
          <w:tcPr>
            <w:tcW w:w="1801" w:type="dxa"/>
            <w:tcBorders>
              <w:top w:val="nil"/>
              <w:left w:val="nil"/>
              <w:bottom w:val="nil"/>
              <w:right w:val="nil"/>
            </w:tcBorders>
          </w:tcPr>
          <w:p w14:paraId="0907D074" w14:textId="77777777" w:rsidR="00C0250B" w:rsidRDefault="00EC5B5B">
            <w:pPr>
              <w:spacing w:after="0" w:line="259" w:lineRule="auto"/>
              <w:ind w:left="420" w:right="0" w:firstLine="0"/>
              <w:jc w:val="left"/>
            </w:pPr>
            <w:r>
              <w:rPr>
                <w:rFonts w:ascii="Calibri" w:eastAsia="Calibri" w:hAnsi="Calibri" w:cs="Calibri"/>
                <w:sz w:val="22"/>
              </w:rPr>
              <w:t xml:space="preserve">Uva </w:t>
            </w:r>
          </w:p>
        </w:tc>
        <w:tc>
          <w:tcPr>
            <w:tcW w:w="3526" w:type="dxa"/>
            <w:tcBorders>
              <w:top w:val="nil"/>
              <w:left w:val="nil"/>
              <w:bottom w:val="nil"/>
              <w:right w:val="nil"/>
            </w:tcBorders>
          </w:tcPr>
          <w:p w14:paraId="0BD49CB4" w14:textId="77777777" w:rsidR="00C0250B" w:rsidRDefault="00EC5B5B">
            <w:pPr>
              <w:spacing w:after="0" w:line="259" w:lineRule="auto"/>
              <w:ind w:left="830" w:right="0" w:firstLine="0"/>
              <w:jc w:val="left"/>
            </w:pPr>
            <w:r>
              <w:rPr>
                <w:rFonts w:ascii="Calibri" w:eastAsia="Calibri" w:hAnsi="Calibri" w:cs="Calibri"/>
                <w:sz w:val="22"/>
              </w:rPr>
              <w:t xml:space="preserve">4 UFC/g </w:t>
            </w:r>
          </w:p>
        </w:tc>
        <w:tc>
          <w:tcPr>
            <w:tcW w:w="1661" w:type="dxa"/>
            <w:tcBorders>
              <w:top w:val="nil"/>
              <w:left w:val="nil"/>
              <w:bottom w:val="nil"/>
              <w:right w:val="nil"/>
            </w:tcBorders>
          </w:tcPr>
          <w:p w14:paraId="768C5F75" w14:textId="77777777" w:rsidR="00C0250B" w:rsidRDefault="00EC5B5B">
            <w:pPr>
              <w:spacing w:after="0" w:line="259" w:lineRule="auto"/>
              <w:ind w:left="110" w:right="0" w:firstLine="0"/>
              <w:jc w:val="left"/>
            </w:pPr>
            <w:r>
              <w:rPr>
                <w:rFonts w:ascii="Calibri" w:eastAsia="Calibri" w:hAnsi="Calibri" w:cs="Calibri"/>
                <w:sz w:val="22"/>
              </w:rPr>
              <w:t xml:space="preserve">Ausente </w:t>
            </w:r>
          </w:p>
        </w:tc>
      </w:tr>
      <w:tr w:rsidR="00C0250B" w14:paraId="21C7B01B" w14:textId="77777777">
        <w:trPr>
          <w:trHeight w:val="333"/>
        </w:trPr>
        <w:tc>
          <w:tcPr>
            <w:tcW w:w="1046" w:type="dxa"/>
            <w:tcBorders>
              <w:top w:val="nil"/>
              <w:left w:val="nil"/>
              <w:bottom w:val="nil"/>
              <w:right w:val="nil"/>
            </w:tcBorders>
          </w:tcPr>
          <w:p w14:paraId="13789F8F"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158DF9C9" w14:textId="77777777" w:rsidR="00C0250B" w:rsidRDefault="00EC5B5B">
            <w:pPr>
              <w:spacing w:after="0" w:line="259" w:lineRule="auto"/>
              <w:ind w:left="356" w:right="0" w:firstLine="0"/>
              <w:jc w:val="left"/>
            </w:pPr>
            <w:r>
              <w:rPr>
                <w:rFonts w:ascii="Calibri" w:eastAsia="Calibri" w:hAnsi="Calibri" w:cs="Calibri"/>
                <w:sz w:val="22"/>
              </w:rPr>
              <w:t xml:space="preserve">4 </w:t>
            </w:r>
          </w:p>
        </w:tc>
        <w:tc>
          <w:tcPr>
            <w:tcW w:w="1801" w:type="dxa"/>
            <w:tcBorders>
              <w:top w:val="nil"/>
              <w:left w:val="nil"/>
              <w:bottom w:val="nil"/>
              <w:right w:val="nil"/>
            </w:tcBorders>
          </w:tcPr>
          <w:p w14:paraId="02B44D6B" w14:textId="77777777" w:rsidR="00C0250B" w:rsidRDefault="00EC5B5B">
            <w:pPr>
              <w:spacing w:after="0" w:line="259" w:lineRule="auto"/>
              <w:ind w:left="420" w:right="0" w:firstLine="0"/>
              <w:jc w:val="left"/>
            </w:pPr>
            <w:r>
              <w:rPr>
                <w:rFonts w:ascii="Calibri" w:eastAsia="Calibri" w:hAnsi="Calibri" w:cs="Calibri"/>
                <w:sz w:val="22"/>
              </w:rPr>
              <w:t xml:space="preserve">Uva </w:t>
            </w:r>
          </w:p>
        </w:tc>
        <w:tc>
          <w:tcPr>
            <w:tcW w:w="3526" w:type="dxa"/>
            <w:tcBorders>
              <w:top w:val="nil"/>
              <w:left w:val="nil"/>
              <w:bottom w:val="nil"/>
              <w:right w:val="nil"/>
            </w:tcBorders>
          </w:tcPr>
          <w:p w14:paraId="5A0ABA97" w14:textId="77777777" w:rsidR="00C0250B" w:rsidRDefault="00EC5B5B">
            <w:pPr>
              <w:spacing w:after="0" w:line="259" w:lineRule="auto"/>
              <w:ind w:left="775" w:right="0" w:firstLine="0"/>
              <w:jc w:val="left"/>
            </w:pPr>
            <w:r>
              <w:rPr>
                <w:rFonts w:ascii="Calibri" w:eastAsia="Calibri" w:hAnsi="Calibri" w:cs="Calibri"/>
                <w:sz w:val="22"/>
              </w:rPr>
              <w:t xml:space="preserve">12 UFC/g </w:t>
            </w:r>
          </w:p>
        </w:tc>
        <w:tc>
          <w:tcPr>
            <w:tcW w:w="1661" w:type="dxa"/>
            <w:tcBorders>
              <w:top w:val="nil"/>
              <w:left w:val="nil"/>
              <w:bottom w:val="nil"/>
              <w:right w:val="nil"/>
            </w:tcBorders>
          </w:tcPr>
          <w:p w14:paraId="68A51FF4"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2E042EAA" w14:textId="77777777">
        <w:trPr>
          <w:trHeight w:val="505"/>
        </w:trPr>
        <w:tc>
          <w:tcPr>
            <w:tcW w:w="1046" w:type="dxa"/>
            <w:tcBorders>
              <w:top w:val="nil"/>
              <w:left w:val="nil"/>
              <w:bottom w:val="nil"/>
              <w:right w:val="nil"/>
            </w:tcBorders>
          </w:tcPr>
          <w:p w14:paraId="04BBB4D5" w14:textId="77777777" w:rsidR="00C0250B" w:rsidRDefault="00EC5B5B">
            <w:pPr>
              <w:spacing w:after="0" w:line="259" w:lineRule="auto"/>
              <w:ind w:left="85" w:right="0" w:firstLine="0"/>
              <w:jc w:val="left"/>
            </w:pPr>
            <w:r>
              <w:rPr>
                <w:rFonts w:ascii="Calibri" w:eastAsia="Calibri" w:hAnsi="Calibri" w:cs="Calibri"/>
                <w:sz w:val="22"/>
              </w:rPr>
              <w:t xml:space="preserve"> </w:t>
            </w:r>
          </w:p>
        </w:tc>
        <w:tc>
          <w:tcPr>
            <w:tcW w:w="1046" w:type="dxa"/>
            <w:tcBorders>
              <w:top w:val="nil"/>
              <w:left w:val="nil"/>
              <w:bottom w:val="nil"/>
              <w:right w:val="nil"/>
            </w:tcBorders>
          </w:tcPr>
          <w:p w14:paraId="30150B9F" w14:textId="77777777" w:rsidR="00C0250B" w:rsidRDefault="00EC5B5B">
            <w:pPr>
              <w:spacing w:after="0" w:line="259" w:lineRule="auto"/>
              <w:ind w:left="356" w:right="0" w:firstLine="0"/>
              <w:jc w:val="left"/>
            </w:pPr>
            <w:r>
              <w:rPr>
                <w:rFonts w:ascii="Calibri" w:eastAsia="Calibri" w:hAnsi="Calibri" w:cs="Calibri"/>
                <w:sz w:val="22"/>
              </w:rPr>
              <w:t xml:space="preserve">5 </w:t>
            </w:r>
          </w:p>
        </w:tc>
        <w:tc>
          <w:tcPr>
            <w:tcW w:w="1801" w:type="dxa"/>
            <w:tcBorders>
              <w:top w:val="nil"/>
              <w:left w:val="nil"/>
              <w:bottom w:val="nil"/>
              <w:right w:val="nil"/>
            </w:tcBorders>
          </w:tcPr>
          <w:p w14:paraId="326BAE1A" w14:textId="77777777" w:rsidR="00C0250B" w:rsidRDefault="00EC5B5B">
            <w:pPr>
              <w:spacing w:after="0" w:line="259" w:lineRule="auto"/>
              <w:ind w:left="420" w:right="0" w:firstLine="0"/>
              <w:jc w:val="left"/>
            </w:pPr>
            <w:r>
              <w:rPr>
                <w:rFonts w:ascii="Calibri" w:eastAsia="Calibri" w:hAnsi="Calibri" w:cs="Calibri"/>
                <w:sz w:val="22"/>
              </w:rPr>
              <w:t xml:space="preserve">Uva </w:t>
            </w:r>
          </w:p>
        </w:tc>
        <w:tc>
          <w:tcPr>
            <w:tcW w:w="3526" w:type="dxa"/>
            <w:tcBorders>
              <w:top w:val="nil"/>
              <w:left w:val="nil"/>
              <w:bottom w:val="nil"/>
              <w:right w:val="nil"/>
            </w:tcBorders>
          </w:tcPr>
          <w:p w14:paraId="6802DF07" w14:textId="77777777" w:rsidR="00C0250B" w:rsidRDefault="00EC5B5B">
            <w:pPr>
              <w:spacing w:after="0" w:line="259" w:lineRule="auto"/>
              <w:ind w:left="775" w:right="0" w:firstLine="0"/>
              <w:jc w:val="left"/>
            </w:pPr>
            <w:r>
              <w:rPr>
                <w:rFonts w:ascii="Calibri" w:eastAsia="Calibri" w:hAnsi="Calibri" w:cs="Calibri"/>
                <w:sz w:val="22"/>
              </w:rPr>
              <w:t xml:space="preserve">12 UFC/g </w:t>
            </w:r>
          </w:p>
        </w:tc>
        <w:tc>
          <w:tcPr>
            <w:tcW w:w="1661" w:type="dxa"/>
            <w:tcBorders>
              <w:top w:val="nil"/>
              <w:left w:val="nil"/>
              <w:bottom w:val="nil"/>
              <w:right w:val="nil"/>
            </w:tcBorders>
          </w:tcPr>
          <w:p w14:paraId="5133099A" w14:textId="77777777" w:rsidR="00C0250B" w:rsidRDefault="00EC5B5B">
            <w:pPr>
              <w:spacing w:after="0" w:line="259" w:lineRule="auto"/>
              <w:ind w:left="80" w:right="0" w:firstLine="0"/>
              <w:jc w:val="left"/>
            </w:pPr>
            <w:r>
              <w:rPr>
                <w:rFonts w:ascii="Calibri" w:eastAsia="Calibri" w:hAnsi="Calibri" w:cs="Calibri"/>
                <w:sz w:val="22"/>
              </w:rPr>
              <w:t xml:space="preserve">Presente </w:t>
            </w:r>
          </w:p>
        </w:tc>
      </w:tr>
      <w:tr w:rsidR="00C0250B" w14:paraId="767C8AAB" w14:textId="77777777">
        <w:trPr>
          <w:trHeight w:val="476"/>
        </w:trPr>
        <w:tc>
          <w:tcPr>
            <w:tcW w:w="1046" w:type="dxa"/>
            <w:tcBorders>
              <w:top w:val="nil"/>
              <w:left w:val="nil"/>
              <w:bottom w:val="single" w:sz="4" w:space="0" w:color="000000"/>
              <w:right w:val="nil"/>
            </w:tcBorders>
          </w:tcPr>
          <w:p w14:paraId="717F01CD" w14:textId="77777777" w:rsidR="00C0250B" w:rsidRDefault="00EC5B5B">
            <w:pPr>
              <w:spacing w:after="10" w:line="259" w:lineRule="auto"/>
              <w:ind w:left="85" w:right="0" w:firstLine="0"/>
              <w:jc w:val="left"/>
            </w:pPr>
            <w:r>
              <w:rPr>
                <w:rFonts w:ascii="Calibri" w:eastAsia="Calibri" w:hAnsi="Calibri" w:cs="Calibri"/>
                <w:sz w:val="22"/>
              </w:rPr>
              <w:t xml:space="preserve"> </w:t>
            </w:r>
          </w:p>
          <w:p w14:paraId="307511B4" w14:textId="77777777" w:rsidR="00C0250B" w:rsidRDefault="00EC5B5B">
            <w:pPr>
              <w:spacing w:after="0" w:line="259" w:lineRule="auto"/>
              <w:ind w:left="85" w:right="0" w:firstLine="0"/>
              <w:jc w:val="left"/>
            </w:pPr>
            <w:r>
              <w:rPr>
                <w:rFonts w:ascii="Calibri" w:eastAsia="Calibri" w:hAnsi="Calibri" w:cs="Calibri"/>
                <w:b/>
                <w:sz w:val="22"/>
              </w:rPr>
              <w:t>Total</w:t>
            </w:r>
            <w:r>
              <w:rPr>
                <w:rFonts w:ascii="Calibri" w:eastAsia="Calibri" w:hAnsi="Calibri" w:cs="Calibri"/>
                <w:sz w:val="22"/>
              </w:rPr>
              <w:t xml:space="preserve"> </w:t>
            </w:r>
          </w:p>
        </w:tc>
        <w:tc>
          <w:tcPr>
            <w:tcW w:w="1046" w:type="dxa"/>
            <w:tcBorders>
              <w:top w:val="nil"/>
              <w:left w:val="nil"/>
              <w:bottom w:val="single" w:sz="4" w:space="0" w:color="000000"/>
              <w:right w:val="nil"/>
            </w:tcBorders>
          </w:tcPr>
          <w:p w14:paraId="16350660" w14:textId="77777777" w:rsidR="00C0250B" w:rsidRDefault="00EC5B5B">
            <w:pPr>
              <w:spacing w:after="55" w:line="259" w:lineRule="auto"/>
              <w:ind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0B425E81" w14:textId="77777777" w:rsidR="00C0250B" w:rsidRDefault="00EC5B5B">
            <w:pPr>
              <w:spacing w:after="0" w:line="259" w:lineRule="auto"/>
              <w:ind w:left="296" w:right="0" w:firstLine="0"/>
              <w:jc w:val="left"/>
            </w:pPr>
            <w:r>
              <w:rPr>
                <w:rFonts w:ascii="Calibri" w:eastAsia="Calibri" w:hAnsi="Calibri" w:cs="Calibri"/>
                <w:b/>
                <w:sz w:val="22"/>
              </w:rPr>
              <w:t>20</w:t>
            </w:r>
            <w:r>
              <w:rPr>
                <w:rFonts w:ascii="Calibri" w:eastAsia="Calibri" w:hAnsi="Calibri" w:cs="Calibri"/>
                <w:sz w:val="22"/>
              </w:rPr>
              <w:t xml:space="preserve"> </w:t>
            </w:r>
          </w:p>
        </w:tc>
        <w:tc>
          <w:tcPr>
            <w:tcW w:w="1801" w:type="dxa"/>
            <w:tcBorders>
              <w:top w:val="nil"/>
              <w:left w:val="nil"/>
              <w:bottom w:val="single" w:sz="4" w:space="0" w:color="000000"/>
              <w:right w:val="nil"/>
            </w:tcBorders>
          </w:tcPr>
          <w:p w14:paraId="0C30353C" w14:textId="77777777" w:rsidR="00C0250B" w:rsidRDefault="00EC5B5B">
            <w:pPr>
              <w:spacing w:after="50" w:line="259" w:lineRule="auto"/>
              <w:ind w:left="1415" w:right="0" w:firstLine="0"/>
              <w:jc w:val="left"/>
            </w:pPr>
            <w:r>
              <w:rPr>
                <w:rFonts w:ascii="Times New Roman" w:eastAsia="Times New Roman" w:hAnsi="Times New Roman" w:cs="Times New Roman"/>
                <w:sz w:val="20"/>
              </w:rPr>
              <w:t xml:space="preserve"> </w:t>
            </w:r>
          </w:p>
          <w:p w14:paraId="30770561" w14:textId="77777777" w:rsidR="00C0250B" w:rsidRDefault="00EC5B5B">
            <w:pPr>
              <w:spacing w:after="0" w:line="259" w:lineRule="auto"/>
              <w:ind w:left="540" w:right="0" w:firstLine="0"/>
              <w:jc w:val="left"/>
            </w:pPr>
            <w:r>
              <w:rPr>
                <w:rFonts w:ascii="Calibri" w:eastAsia="Calibri" w:hAnsi="Calibri" w:cs="Calibri"/>
                <w:b/>
                <w:sz w:val="22"/>
              </w:rPr>
              <w:t>4</w:t>
            </w:r>
            <w:r>
              <w:rPr>
                <w:rFonts w:ascii="Calibri" w:eastAsia="Calibri" w:hAnsi="Calibri" w:cs="Calibri"/>
                <w:sz w:val="22"/>
              </w:rPr>
              <w:t xml:space="preserve"> </w:t>
            </w:r>
          </w:p>
        </w:tc>
        <w:tc>
          <w:tcPr>
            <w:tcW w:w="3526" w:type="dxa"/>
            <w:tcBorders>
              <w:top w:val="nil"/>
              <w:left w:val="nil"/>
              <w:bottom w:val="single" w:sz="4" w:space="0" w:color="000000"/>
              <w:right w:val="nil"/>
            </w:tcBorders>
          </w:tcPr>
          <w:p w14:paraId="6116381F" w14:textId="77777777" w:rsidR="00C0250B" w:rsidRDefault="00EC5B5B">
            <w:pPr>
              <w:spacing w:after="0" w:line="259" w:lineRule="auto"/>
              <w:ind w:left="1135" w:right="480" w:firstLine="1760"/>
            </w:pPr>
            <w:r>
              <w:rPr>
                <w:rFonts w:ascii="Times New Roman" w:eastAsia="Times New Roman" w:hAnsi="Times New Roman" w:cs="Times New Roman"/>
                <w:sz w:val="20"/>
              </w:rPr>
              <w:t xml:space="preserve"> </w:t>
            </w:r>
            <w:r>
              <w:rPr>
                <w:rFonts w:ascii="Calibri" w:eastAsia="Calibri" w:hAnsi="Calibri" w:cs="Calibri"/>
                <w:b/>
                <w:sz w:val="22"/>
              </w:rPr>
              <w:t>x</w:t>
            </w:r>
            <w:r>
              <w:rPr>
                <w:rFonts w:ascii="Calibri" w:eastAsia="Calibri" w:hAnsi="Calibri" w:cs="Calibri"/>
                <w:sz w:val="22"/>
              </w:rPr>
              <w:t xml:space="preserve"> </w:t>
            </w:r>
          </w:p>
        </w:tc>
        <w:tc>
          <w:tcPr>
            <w:tcW w:w="1661" w:type="dxa"/>
            <w:tcBorders>
              <w:top w:val="nil"/>
              <w:left w:val="nil"/>
              <w:bottom w:val="single" w:sz="4" w:space="0" w:color="000000"/>
              <w:right w:val="nil"/>
            </w:tcBorders>
            <w:vAlign w:val="bottom"/>
          </w:tcPr>
          <w:p w14:paraId="2C73EDF5" w14:textId="77777777" w:rsidR="00C0250B" w:rsidRDefault="00EC5B5B">
            <w:pPr>
              <w:spacing w:after="0" w:line="259" w:lineRule="auto"/>
              <w:ind w:left="365" w:right="0" w:firstLine="0"/>
              <w:jc w:val="left"/>
            </w:pPr>
            <w:r>
              <w:rPr>
                <w:rFonts w:ascii="Calibri" w:eastAsia="Calibri" w:hAnsi="Calibri" w:cs="Calibri"/>
                <w:b/>
                <w:sz w:val="22"/>
              </w:rPr>
              <w:t>17</w:t>
            </w:r>
            <w:r>
              <w:rPr>
                <w:rFonts w:ascii="Calibri" w:eastAsia="Calibri" w:hAnsi="Calibri" w:cs="Calibri"/>
                <w:sz w:val="22"/>
              </w:rPr>
              <w:t xml:space="preserve"> </w:t>
            </w:r>
          </w:p>
        </w:tc>
      </w:tr>
    </w:tbl>
    <w:p w14:paraId="22E0CAF1" w14:textId="77777777" w:rsidR="00C0250B" w:rsidRDefault="00EC5B5B">
      <w:pPr>
        <w:spacing w:after="217" w:line="259" w:lineRule="auto"/>
        <w:ind w:right="0" w:firstLine="0"/>
        <w:jc w:val="left"/>
      </w:pPr>
      <w:r>
        <w:rPr>
          <w:sz w:val="20"/>
        </w:rPr>
        <w:t>Fonte: Dados da pesquisa</w:t>
      </w:r>
      <w:r>
        <w:rPr>
          <w:rFonts w:cs="Arial"/>
          <w:i/>
          <w:sz w:val="20"/>
        </w:rPr>
        <w:t xml:space="preserve">. </w:t>
      </w:r>
    </w:p>
    <w:p w14:paraId="24D64CF4" w14:textId="77777777" w:rsidR="00C0250B" w:rsidRDefault="00EC5B5B">
      <w:pPr>
        <w:spacing w:after="0" w:line="259" w:lineRule="auto"/>
        <w:ind w:right="0" w:firstLine="0"/>
        <w:jc w:val="left"/>
      </w:pPr>
      <w:r>
        <w:t xml:space="preserve"> </w:t>
      </w:r>
    </w:p>
    <w:p w14:paraId="4C52F878" w14:textId="77777777" w:rsidR="00C0250B" w:rsidRDefault="00EC5B5B">
      <w:pPr>
        <w:ind w:left="-15" w:right="-3"/>
      </w:pPr>
      <w:r>
        <w:t xml:space="preserve">De acordo com a legislação, os gelados comestíveis devem possuir ausência completa de </w:t>
      </w:r>
      <w:r>
        <w:rPr>
          <w:rFonts w:cs="Arial"/>
          <w:i/>
        </w:rPr>
        <w:t>Salmonella</w:t>
      </w:r>
      <w:r>
        <w:t xml:space="preserve"> para serem considerados alimentos próprios para consumo (BRASIL, 2022). Contudo, os resultados presentes na Tabela 1 indicam uma alta discordância com a legislação vigente, pois, das 20 amostras de gelados comestíveis testadas, 17 (85%) continham o patógeno. A análise específica por sabor revelou que todas as amostras de gelados de Maçã com Coco, Morango e Laranja estavam contaminadas com </w:t>
      </w:r>
      <w:r>
        <w:rPr>
          <w:rFonts w:cs="Arial"/>
          <w:i/>
        </w:rPr>
        <w:t>Salmonella</w:t>
      </w:r>
      <w:r>
        <w:t xml:space="preserve">. Em contraste, o sabor Uva apresentou uma taxa de contaminação mais baixa, com apenas 2 (40%) das </w:t>
      </w:r>
      <w:r>
        <w:t>amostras contaminadas com o patógeno.</w:t>
      </w:r>
      <w:r>
        <w:rPr>
          <w:rFonts w:ascii="Times New Roman" w:eastAsia="Times New Roman" w:hAnsi="Times New Roman"/>
        </w:rPr>
        <w:t xml:space="preserve"> </w:t>
      </w:r>
    </w:p>
    <w:p w14:paraId="2612E68B" w14:textId="77777777" w:rsidR="00C0250B" w:rsidRDefault="00EC5B5B">
      <w:pPr>
        <w:ind w:left="-15" w:right="-3"/>
      </w:pPr>
      <w:r>
        <w:t xml:space="preserve">O sabor Uva obteve uma taxa de contaminação significativamente menor em comparação com os outros três sabores, embora ainda seja uma preocupação. Isso sugere que, para o sabor, os processos envolvidos na produção, manipulação ou armazenamento podem estar funcionando de maneira mais eficaz em controlar a presença de </w:t>
      </w:r>
      <w:r>
        <w:rPr>
          <w:rFonts w:cs="Arial"/>
          <w:i/>
        </w:rPr>
        <w:t>Salmonella</w:t>
      </w:r>
      <w:r>
        <w:t xml:space="preserve">. No entanto, a contaminação neste sabor também apresenta discordância com a legislação e aponta a necessidade de uma revisão mais aprofundada para garantir que as medidas de controle de qualidade estejam sendo aplicadas de forma consistente para todos os sabores. </w:t>
      </w:r>
      <w:r>
        <w:rPr>
          <w:rFonts w:ascii="Times New Roman" w:eastAsia="Times New Roman" w:hAnsi="Times New Roman"/>
        </w:rPr>
        <w:t xml:space="preserve"> </w:t>
      </w:r>
    </w:p>
    <w:p w14:paraId="3E2318E5" w14:textId="77777777" w:rsidR="00C0250B" w:rsidRDefault="00EC5B5B">
      <w:pPr>
        <w:ind w:left="-15" w:right="-3"/>
      </w:pPr>
      <w:r>
        <w:t xml:space="preserve">Desse modo, sem o processo de pasteurização para eliminar patógenos, a contaminação pode ter ocorrido em várias etapas da produção. O armazenamento inadequado dos ingredientes e dos produtos, especialmente a temperaturas inadequadas, pode favorecer o crescimento bacteriano. Em vista disso, os gelados comestíveis devem ser mantidos em temperaturas suficientemente baixas para inibir a proliferação de </w:t>
      </w:r>
      <w:r>
        <w:rPr>
          <w:rFonts w:cs="Arial"/>
          <w:i/>
        </w:rPr>
        <w:t>Salmonella</w:t>
      </w:r>
      <w:r>
        <w:t xml:space="preserve"> (BRASIL, 1999).</w:t>
      </w:r>
      <w:r>
        <w:rPr>
          <w:rFonts w:ascii="Times New Roman" w:eastAsia="Times New Roman" w:hAnsi="Times New Roman"/>
        </w:rPr>
        <w:t xml:space="preserve"> </w:t>
      </w:r>
    </w:p>
    <w:p w14:paraId="637EDE15" w14:textId="77777777" w:rsidR="00C0250B" w:rsidRDefault="00EC5B5B">
      <w:pPr>
        <w:ind w:left="-15" w:right="-3"/>
      </w:pPr>
      <w:r>
        <w:rPr>
          <w:rFonts w:ascii="Times New Roman" w:eastAsia="Times New Roman" w:hAnsi="Times New Roman"/>
        </w:rPr>
        <w:t>C</w:t>
      </w:r>
      <w:r>
        <w:t xml:space="preserve">omo as amostras foram coletadas em períodos diferentes durante 5 semanas, o resultado constante da presença de </w:t>
      </w:r>
      <w:r>
        <w:rPr>
          <w:rFonts w:cs="Arial"/>
          <w:i/>
        </w:rPr>
        <w:t>Salmonella</w:t>
      </w:r>
      <w:r>
        <w:t xml:space="preserve"> em 85% dos gelados comestíveis é bastante preocupante. Pensando desse modo, para as pessoas que vão ao estádio e consomem com frequência esse produto, os riscos à saúde são significativos e podem ter diversas implicações. A título de exemplo, a salmonelose é uma infecção gastrointestinal que causa diarreia, dor abdominal, febre, náuseas e vômitos. Esses sintomas podem variar em intensida</w:t>
      </w:r>
      <w:r>
        <w:t>de e, em casos graves, levar a complicações mais sérias, que podem necessitar de hospitalização com urgência (SHINOHARA et al., 2008).</w:t>
      </w:r>
      <w:r>
        <w:rPr>
          <w:rFonts w:ascii="Times New Roman" w:eastAsia="Times New Roman" w:hAnsi="Times New Roman"/>
        </w:rPr>
        <w:t xml:space="preserve"> </w:t>
      </w:r>
    </w:p>
    <w:p w14:paraId="151AC41E" w14:textId="77777777" w:rsidR="00C0250B" w:rsidRDefault="00EC5B5B">
      <w:pPr>
        <w:ind w:left="-15" w:right="-3"/>
      </w:pPr>
      <w:r>
        <w:t xml:space="preserve">Logo, a correlação entre os sabores e os resultados indica que é necessário focar a investigação em todos os sabores que apresentaram a contaminação para identificar possíveis pontos críticos no processo que possam estar contribuindo para a presença de </w:t>
      </w:r>
      <w:r>
        <w:rPr>
          <w:rFonts w:cs="Arial"/>
          <w:i/>
        </w:rPr>
        <w:t>Salmonella</w:t>
      </w:r>
      <w:r>
        <w:t>. Nesse sentido, a revisão dos processos de fabricação e manipulação deve ser uma prioridade, especialmente para os sabores de Maçã com Coco, Morango e Laranja. Enquanto isso, as práticas associadas ao sabor de Uva também devem ser monitoradas e aprimoradas para reduzir ainda mais a taxa de contaminação e garantir a segurança alimentar de todos os produtos. Afinal, tanto o bem-estar das pessoas quanto a experiência do evento esportivo podem ser prejudicados, transformando um momento de lazer em um</w:t>
      </w:r>
      <w:r>
        <w:t xml:space="preserve"> problema de saúde.  </w:t>
      </w:r>
    </w:p>
    <w:p w14:paraId="3EE2695F" w14:textId="77777777" w:rsidR="00C0250B" w:rsidRDefault="00EC5B5B">
      <w:pPr>
        <w:ind w:left="-15" w:right="-3"/>
      </w:pPr>
      <w:r>
        <w:t>Ademais, conforme a legislação, o limite mínimo de Enterobacteriaceae/g é 10, enquanto o limite máximo é 10² e, a cada 5 amostras de gelados comestíveis, apenas 2 podem ultrapassar o limite mínimo de 10 UFC/g de Enterobacteriaceae para que o produto possa ser considerado de boa qualidade para a população (BRASIL, 2022). Outrossim, segundo o fabricante das placas utilizadas na pesquisa, quando a quantidade de UFC/g for maior que 100 ou for impossível de contar devido à grande concentração, a amostra será cla</w:t>
      </w:r>
      <w:r>
        <w:t xml:space="preserve">ssificada como TNTC (Muito Numerosas para Serem Contadas) (3M DO BRASIL LTDA, 2021).  </w:t>
      </w:r>
    </w:p>
    <w:p w14:paraId="0EF13D61" w14:textId="77777777" w:rsidR="00C0250B" w:rsidRDefault="00EC5B5B">
      <w:pPr>
        <w:ind w:left="-15" w:right="-3"/>
      </w:pPr>
      <w:r>
        <w:t xml:space="preserve">No meio de cultura utilizado, as colônias típicas de enterobactérias foram identificadas por sua coloração vermelha com halo amarelo. Algumas dessas colônias também apresentaram bolhas de gás, indicativas de atividade metabólica, enquanto outras não exibiram tal característica. A presença desses diferentes padrões de coloração e produção de gás confirma a presença de enterobactérias e sugere variações nas condições de crescimento associadas a cada formulação de gelado. </w:t>
      </w:r>
    </w:p>
    <w:p w14:paraId="57CC59E0" w14:textId="77777777" w:rsidR="00C0250B" w:rsidRDefault="00EC5B5B">
      <w:pPr>
        <w:ind w:left="-15" w:right="-3"/>
      </w:pPr>
      <w:r>
        <w:t xml:space="preserve">Sendo assim, observou-se nos dados da Tabela 1 uma contagem significativamente elevada de colônias de </w:t>
      </w:r>
      <w:r>
        <w:rPr>
          <w:rFonts w:cs="Arial"/>
          <w:i/>
        </w:rPr>
        <w:t>Enterobacteriace</w:t>
      </w:r>
      <w:r>
        <w:t xml:space="preserve"> nas amostras do sabor "maçã com coco". Este resultado sugere que a formulação do produto pode estar contribuindo para uma carga microbiana mais alta, possivelmente devido à adição de coco. Em contraste, os outros sabores analisados, que utilizam corantes artificiais em vez de ingredientes orgânicos como o coco, apresentaram contagens menores de enterobactérias. </w:t>
      </w:r>
    </w:p>
    <w:p w14:paraId="55A0C396" w14:textId="77777777" w:rsidR="00C0250B" w:rsidRDefault="00EC5B5B">
      <w:pPr>
        <w:ind w:left="-15" w:right="-3" w:firstLine="0"/>
      </w:pPr>
      <w:r>
        <w:t xml:space="preserve"> As amostras de gelado de maçã com coco revelaram uma preocupante contaminação microbiológica. No gelado de Maçã com Coco, as amostras 1 e 2 </w:t>
      </w:r>
    </w:p>
    <w:p w14:paraId="137C29D6" w14:textId="77777777" w:rsidR="00C0250B" w:rsidRDefault="00C0250B">
      <w:pPr>
        <w:sectPr w:rsidR="00C0250B">
          <w:headerReference w:type="even" r:id="rId7"/>
          <w:headerReference w:type="default" r:id="rId8"/>
          <w:headerReference w:type="first" r:id="rId9"/>
          <w:pgSz w:w="11905" w:h="16840"/>
          <w:pgMar w:top="722" w:right="1690" w:bottom="590" w:left="1701" w:header="720" w:footer="720" w:gutter="0"/>
          <w:cols w:space="720"/>
          <w:titlePg/>
        </w:sectPr>
      </w:pPr>
    </w:p>
    <w:p w14:paraId="1D5DB024" w14:textId="77777777" w:rsidR="00C0250B" w:rsidRDefault="00EC5B5B">
      <w:pPr>
        <w:ind w:left="-15" w:right="-3" w:firstLine="0"/>
      </w:pPr>
      <w:r>
        <w:t>apresentaram concentrações acima de 100 UFC/g, classificadas como TNTC, excedendo significativamente o limite máximo permitido. Além disso, as amostras 3 e 4 mostraram 98 UFC/g e 94 UFC/g, respectivamente, situando-se próximas ao limite máximo. Enquanto a amostra 5 apresentou 12 UFC/g, que está acima do limite mínimo.  Esses dados indicam uma possível falha no controle microbiológico durante a produção deste sabor específico de gelado. A alta contaminação pode ser atribuída a diversos fatores, como a qualid</w:t>
      </w:r>
      <w:r>
        <w:t xml:space="preserve">ade das matérias-primas utilizadas, práticas inadequadas de higiene durante o processamento e armazenamento, ou problemas na cadeia de suprimentos. </w:t>
      </w:r>
    </w:p>
    <w:p w14:paraId="2E3B0DCD" w14:textId="77777777" w:rsidR="00C0250B" w:rsidRDefault="00EC5B5B">
      <w:pPr>
        <w:ind w:left="-15" w:right="-3"/>
      </w:pPr>
      <w:r>
        <w:t xml:space="preserve">Em contraposição, as amostras de gelado de morango mostraram uma contagem de enterobactérias significativamente menor. 4 amostras (80%) de morango apresentaram 0 UFC/g e 1 (20%) apresentou 10 UFC/g, que é o limite mínimo recomendado pela legislação, sugerindo que os processos de produção deste sabor são mais eficazes na prevenção de contaminação microbiológica referente às </w:t>
      </w:r>
      <w:r>
        <w:rPr>
          <w:rFonts w:cs="Arial"/>
          <w:i/>
        </w:rPr>
        <w:t>Enterobacteriaceae</w:t>
      </w:r>
      <w:r>
        <w:t xml:space="preserve">.  </w:t>
      </w:r>
    </w:p>
    <w:p w14:paraId="2A8D3835" w14:textId="77777777" w:rsidR="00C0250B" w:rsidRDefault="00EC5B5B">
      <w:pPr>
        <w:ind w:left="-15" w:right="-3"/>
      </w:pPr>
      <w:r>
        <w:t>As amostras de gelado de laranja mostraram uma situação similar às de morango, porém com todas as amostras apresentando ausência de enterobactérias detectáveis. Esse resultado destaca a eficácia das práticas de produção e higiene implementadas para este sabor, garantindo um produto seguro, referente, a presença de enterobactérias no alimento. A ausência de contaminação em todas as amostras de laranja reforça a importância de manter e, quando possível, melhorar essas práticas para assegurar a segurança micro</w:t>
      </w:r>
      <w:r>
        <w:t xml:space="preserve">biológica. </w:t>
      </w:r>
    </w:p>
    <w:p w14:paraId="06B20EB7" w14:textId="77777777" w:rsidR="00C0250B" w:rsidRDefault="00EC5B5B">
      <w:pPr>
        <w:ind w:left="-15" w:right="-3"/>
      </w:pPr>
      <w:r>
        <w:t xml:space="preserve">Todavia, as amostras de gelado de uva apresentaram contagens variáveis de </w:t>
      </w:r>
      <w:r>
        <w:rPr>
          <w:rFonts w:cs="Arial"/>
          <w:i/>
        </w:rPr>
        <w:t>Enterobacteriace</w:t>
      </w:r>
      <w:r>
        <w:t xml:space="preserve">ae, com 3 delas (60%) excedendo o limite mínimo aceitável. Isso indica que o produto não atende aos padrões de qualidade desejados. Embora a contaminação seja menor em comparação ao sabor de maçã com coco, a presença de enterobactérias em algumas amostras de uva ainda é uma preocupação. Esses achados sugerem que há uma grande margem para melhorias significativas para assegurar uma consistência maior na segurança microbiológica do produto. </w:t>
      </w:r>
    </w:p>
    <w:p w14:paraId="77EB4490" w14:textId="77777777" w:rsidR="00C0250B" w:rsidRDefault="00EC5B5B">
      <w:pPr>
        <w:ind w:left="-15" w:right="-3"/>
      </w:pPr>
      <w:r>
        <w:t xml:space="preserve">A limpeza inadequada de equipamentos e superfícies de trabalho é um fator crítico para a ocorrência de contaminação cruzada, particularmente em ambientes de produção de alimentos, como na fabricação de gelados comestíveis. Resíduos alimentares em equipamentos, como misturadores, tanques de armazenamento e utensílios, oferecem um meio nutritivo ideal para o crescimento de </w:t>
      </w:r>
      <w:r>
        <w:rPr>
          <w:rFonts w:cs="Arial"/>
          <w:i/>
        </w:rPr>
        <w:t>Salmonella</w:t>
      </w:r>
      <w:r>
        <w:t xml:space="preserve"> e </w:t>
      </w:r>
      <w:r>
        <w:rPr>
          <w:rFonts w:cs="Arial"/>
          <w:i/>
        </w:rPr>
        <w:t>Enterobacteriaceae</w:t>
      </w:r>
      <w:r>
        <w:t xml:space="preserve">. Esses resíduos, compostos por proteínas, gorduras e açúcares, fornecem um substrato que pode promover a proliferação rápida de microrganismos, aumentando o risco de contaminação dos produtos alimentícios. </w:t>
      </w:r>
    </w:p>
    <w:p w14:paraId="17B25076" w14:textId="77777777" w:rsidR="00C0250B" w:rsidRDefault="00EC5B5B">
      <w:pPr>
        <w:ind w:left="-15" w:right="-3"/>
      </w:pPr>
      <w:r>
        <w:t xml:space="preserve">Outro fator que pode ter influenciado os resultados é a higienização pessoal inadequada. A transmissão de </w:t>
      </w:r>
      <w:r>
        <w:rPr>
          <w:rFonts w:cs="Arial"/>
          <w:i/>
        </w:rPr>
        <w:t>Salmonella</w:t>
      </w:r>
      <w:r>
        <w:t xml:space="preserve"> e </w:t>
      </w:r>
      <w:r>
        <w:rPr>
          <w:rFonts w:cs="Arial"/>
          <w:i/>
        </w:rPr>
        <w:t>Enterobacteriaceae</w:t>
      </w:r>
      <w:r>
        <w:t xml:space="preserve"> pode ocorrer devido à falta de lavagem adequada das mãos. Os patógenos podem ser encontrados nas fezes de indivíduos infectados, em alimentos crus e em superfícies contaminadas. Se as mãos não forem devidamente higienizadas após contato com essas fontes de contaminação, a bactéria pode ser transferida para os gelados comestíveis, superfícies de trabalho e utensílios, contribuindo para a contaminação dos produtos (ALMEIDA et al., 1995).  </w:t>
      </w:r>
    </w:p>
    <w:p w14:paraId="2EC573FE" w14:textId="77777777" w:rsidR="00C0250B" w:rsidRDefault="00EC5B5B">
      <w:pPr>
        <w:ind w:left="-15" w:right="-3"/>
      </w:pPr>
      <w:r>
        <w:t xml:space="preserve">As unhas grandes e mal cuidadas, também podem ser um potencial meio para retenção de patógenos, incluindo a </w:t>
      </w:r>
      <w:r>
        <w:rPr>
          <w:rFonts w:cs="Arial"/>
          <w:i/>
        </w:rPr>
        <w:t xml:space="preserve">Salmonella </w:t>
      </w:r>
      <w:r>
        <w:t>e</w:t>
      </w:r>
      <w:r>
        <w:rPr>
          <w:rFonts w:cs="Arial"/>
          <w:i/>
        </w:rPr>
        <w:t xml:space="preserve"> Enterobacteriaceae. </w:t>
      </w:r>
      <w:r>
        <w:t>Resíduos alimentares e sujeira podem ficar presos sob as unhas, mesmo após a lavagem das mãos, tornando-as um foco de contaminação. Quando as mãos entram em contato com alimentos ou superfícies de trabalho, as bactérias acumuladas sob as unhas podem ser transferidas para o produto</w:t>
      </w:r>
      <w:r>
        <w:rPr>
          <w:rFonts w:cs="Arial"/>
          <w:i/>
        </w:rPr>
        <w:t xml:space="preserve"> </w:t>
      </w:r>
      <w:r>
        <w:t>(ABREU; MEDEIROS; SANTOS, 2011). Além disso, unhas longas podem dificultar a limpeza completa das mãos e aumentar o risco de que resíduos sejam transferidos para os gelados comestíveis. Logo, mante</w:t>
      </w:r>
      <w:r>
        <w:t xml:space="preserve">r as unhas curtas e limpas é uma medida crucial para evitar a contaminação e garantir que as práticas de higiene pessoal sejam eficazes na prevenção da propagação de </w:t>
      </w:r>
      <w:r>
        <w:rPr>
          <w:rFonts w:cs="Arial"/>
          <w:i/>
        </w:rPr>
        <w:t>Salmonella e Enterobacteriaceae.</w:t>
      </w:r>
      <w:r>
        <w:t xml:space="preserve"> </w:t>
      </w:r>
    </w:p>
    <w:p w14:paraId="67FFA8CB" w14:textId="77777777" w:rsidR="00C0250B" w:rsidRDefault="00EC5B5B">
      <w:pPr>
        <w:ind w:left="-15" w:right="-3" w:firstLine="0"/>
      </w:pPr>
      <w:r>
        <w:t xml:space="preserve"> Portanto, adotar medidas rigorosas de limpeza e garantir a higiene pessoal apropriada, incluindo a manutenção de unhas curtas e limpas, são ações essenciais para prevenir a contaminação e proteger a segurança alimentar. Essas práticas não apenas garantem a integridade dos produtos, mas também protegem a saúde dos consumidores e ajudam a manter padrões elevados de qualidade dos gelados comestíveis </w:t>
      </w:r>
    </w:p>
    <w:p w14:paraId="55FB6590" w14:textId="77777777" w:rsidR="00C0250B" w:rsidRDefault="00EC5B5B">
      <w:pPr>
        <w:spacing w:after="0" w:line="259" w:lineRule="auto"/>
        <w:ind w:right="0" w:firstLine="0"/>
        <w:jc w:val="left"/>
      </w:pPr>
      <w:r>
        <w:t xml:space="preserve"> </w:t>
      </w:r>
    </w:p>
    <w:p w14:paraId="28741BC8" w14:textId="77777777" w:rsidR="00C0250B" w:rsidRDefault="00EC5B5B">
      <w:pPr>
        <w:spacing w:after="0" w:line="259" w:lineRule="auto"/>
        <w:ind w:right="0" w:firstLine="0"/>
        <w:jc w:val="left"/>
      </w:pPr>
      <w:r>
        <w:t xml:space="preserve"> </w:t>
      </w:r>
    </w:p>
    <w:p w14:paraId="095A92AA" w14:textId="77777777" w:rsidR="00C0250B" w:rsidRDefault="00EC5B5B">
      <w:pPr>
        <w:spacing w:after="0" w:line="259" w:lineRule="auto"/>
        <w:ind w:right="0" w:firstLine="0"/>
        <w:jc w:val="left"/>
      </w:pPr>
      <w:r>
        <w:t xml:space="preserve"> </w:t>
      </w:r>
    </w:p>
    <w:p w14:paraId="72B9306A" w14:textId="77777777" w:rsidR="00C0250B" w:rsidRDefault="00EC5B5B">
      <w:pPr>
        <w:spacing w:after="0" w:line="259" w:lineRule="auto"/>
        <w:ind w:right="0" w:firstLine="0"/>
        <w:jc w:val="left"/>
      </w:pPr>
      <w:r>
        <w:t xml:space="preserve"> </w:t>
      </w:r>
    </w:p>
    <w:p w14:paraId="4583363D" w14:textId="77777777" w:rsidR="00C0250B" w:rsidRDefault="00EC5B5B">
      <w:pPr>
        <w:spacing w:after="0" w:line="259" w:lineRule="auto"/>
        <w:ind w:right="0" w:firstLine="0"/>
        <w:jc w:val="left"/>
      </w:pPr>
      <w:r>
        <w:t xml:space="preserve"> </w:t>
      </w:r>
    </w:p>
    <w:p w14:paraId="55C49302" w14:textId="77777777" w:rsidR="00C0250B" w:rsidRDefault="00EC5B5B">
      <w:pPr>
        <w:spacing w:after="0" w:line="259" w:lineRule="auto"/>
        <w:ind w:right="0" w:firstLine="0"/>
        <w:jc w:val="left"/>
      </w:pPr>
      <w:r>
        <w:t xml:space="preserve"> </w:t>
      </w:r>
    </w:p>
    <w:p w14:paraId="71488D30" w14:textId="77777777" w:rsidR="00C0250B" w:rsidRDefault="00EC5B5B">
      <w:pPr>
        <w:spacing w:after="0" w:line="259" w:lineRule="auto"/>
        <w:ind w:right="0" w:firstLine="0"/>
        <w:jc w:val="left"/>
      </w:pPr>
      <w:r>
        <w:t xml:space="preserve"> </w:t>
      </w:r>
    </w:p>
    <w:p w14:paraId="075D65FF" w14:textId="77777777" w:rsidR="00C0250B" w:rsidRDefault="00EC5B5B">
      <w:pPr>
        <w:spacing w:after="0" w:line="259" w:lineRule="auto"/>
        <w:ind w:right="0" w:firstLine="0"/>
        <w:jc w:val="left"/>
      </w:pPr>
      <w:r>
        <w:t xml:space="preserve"> </w:t>
      </w:r>
    </w:p>
    <w:p w14:paraId="251EAF58" w14:textId="77777777" w:rsidR="00C0250B" w:rsidRDefault="00EC5B5B">
      <w:pPr>
        <w:spacing w:after="0" w:line="259" w:lineRule="auto"/>
        <w:ind w:right="0" w:firstLine="0"/>
        <w:jc w:val="left"/>
      </w:pPr>
      <w:r>
        <w:t xml:space="preserve"> </w:t>
      </w:r>
    </w:p>
    <w:p w14:paraId="2539964A" w14:textId="77777777" w:rsidR="00C0250B" w:rsidRDefault="00EC5B5B">
      <w:pPr>
        <w:spacing w:after="0" w:line="259" w:lineRule="auto"/>
        <w:ind w:right="0" w:firstLine="0"/>
        <w:jc w:val="left"/>
      </w:pPr>
      <w:r>
        <w:t xml:space="preserve"> </w:t>
      </w:r>
    </w:p>
    <w:p w14:paraId="2D476E20" w14:textId="77777777" w:rsidR="00C0250B" w:rsidRDefault="00EC5B5B">
      <w:pPr>
        <w:spacing w:after="0" w:line="259" w:lineRule="auto"/>
        <w:ind w:right="0" w:firstLine="0"/>
        <w:jc w:val="left"/>
      </w:pPr>
      <w:r>
        <w:t xml:space="preserve"> </w:t>
      </w:r>
    </w:p>
    <w:p w14:paraId="285881EA" w14:textId="77777777" w:rsidR="00C0250B" w:rsidRDefault="00EC5B5B">
      <w:pPr>
        <w:spacing w:after="0" w:line="259" w:lineRule="auto"/>
        <w:ind w:right="0" w:firstLine="0"/>
        <w:jc w:val="left"/>
      </w:pPr>
      <w:r>
        <w:t xml:space="preserve"> </w:t>
      </w:r>
    </w:p>
    <w:p w14:paraId="667CC200" w14:textId="77777777" w:rsidR="00C0250B" w:rsidRDefault="00EC5B5B">
      <w:pPr>
        <w:spacing w:after="0" w:line="259" w:lineRule="auto"/>
        <w:ind w:right="0" w:firstLine="0"/>
        <w:jc w:val="left"/>
      </w:pPr>
      <w:r>
        <w:t xml:space="preserve"> </w:t>
      </w:r>
    </w:p>
    <w:p w14:paraId="5B2B6B97" w14:textId="77777777" w:rsidR="00C0250B" w:rsidRDefault="00EC5B5B">
      <w:pPr>
        <w:spacing w:after="0" w:line="259" w:lineRule="auto"/>
        <w:ind w:right="0" w:firstLine="0"/>
        <w:jc w:val="left"/>
      </w:pPr>
      <w:r>
        <w:t xml:space="preserve"> </w:t>
      </w:r>
    </w:p>
    <w:p w14:paraId="2BCB67C8" w14:textId="77777777" w:rsidR="00C0250B" w:rsidRDefault="00EC5B5B">
      <w:pPr>
        <w:spacing w:after="0" w:line="259" w:lineRule="auto"/>
        <w:ind w:right="0" w:firstLine="0"/>
        <w:jc w:val="left"/>
      </w:pPr>
      <w:r>
        <w:t xml:space="preserve"> </w:t>
      </w:r>
    </w:p>
    <w:p w14:paraId="35593B06" w14:textId="77777777" w:rsidR="00C0250B" w:rsidRDefault="00EC5B5B">
      <w:pPr>
        <w:spacing w:after="0" w:line="259" w:lineRule="auto"/>
        <w:ind w:right="0" w:firstLine="0"/>
        <w:jc w:val="left"/>
      </w:pPr>
      <w:r>
        <w:t xml:space="preserve"> </w:t>
      </w:r>
    </w:p>
    <w:p w14:paraId="3B3A2714" w14:textId="77777777" w:rsidR="00C0250B" w:rsidRDefault="00EC5B5B">
      <w:pPr>
        <w:spacing w:after="0" w:line="259" w:lineRule="auto"/>
        <w:ind w:right="0" w:firstLine="0"/>
        <w:jc w:val="left"/>
      </w:pPr>
      <w:r>
        <w:t xml:space="preserve"> </w:t>
      </w:r>
    </w:p>
    <w:p w14:paraId="40F9F232" w14:textId="77777777" w:rsidR="00C0250B" w:rsidRDefault="00EC5B5B">
      <w:pPr>
        <w:spacing w:after="0" w:line="259" w:lineRule="auto"/>
        <w:ind w:right="0" w:firstLine="0"/>
        <w:jc w:val="left"/>
      </w:pPr>
      <w:r>
        <w:t xml:space="preserve"> </w:t>
      </w:r>
    </w:p>
    <w:p w14:paraId="4FCD5064" w14:textId="77777777" w:rsidR="00C0250B" w:rsidRDefault="00EC5B5B">
      <w:pPr>
        <w:spacing w:after="0" w:line="259" w:lineRule="auto"/>
        <w:ind w:right="0" w:firstLine="0"/>
        <w:jc w:val="left"/>
      </w:pPr>
      <w:r>
        <w:t xml:space="preserve"> </w:t>
      </w:r>
    </w:p>
    <w:p w14:paraId="1291D935" w14:textId="77777777" w:rsidR="00C0250B" w:rsidRDefault="00EC5B5B">
      <w:pPr>
        <w:spacing w:after="0" w:line="259" w:lineRule="auto"/>
        <w:ind w:right="0" w:firstLine="0"/>
        <w:jc w:val="left"/>
      </w:pPr>
      <w:r>
        <w:t xml:space="preserve"> </w:t>
      </w:r>
    </w:p>
    <w:p w14:paraId="004687AC" w14:textId="77777777" w:rsidR="00C0250B" w:rsidRDefault="00EC5B5B">
      <w:pPr>
        <w:spacing w:after="0" w:line="259" w:lineRule="auto"/>
        <w:ind w:right="0" w:firstLine="0"/>
        <w:jc w:val="left"/>
      </w:pPr>
      <w:r>
        <w:t xml:space="preserve"> </w:t>
      </w:r>
    </w:p>
    <w:p w14:paraId="2CCF748D" w14:textId="77777777" w:rsidR="00C0250B" w:rsidRDefault="00EC5B5B">
      <w:pPr>
        <w:spacing w:after="0" w:line="259" w:lineRule="auto"/>
        <w:ind w:right="0" w:firstLine="0"/>
        <w:jc w:val="left"/>
      </w:pPr>
      <w:r>
        <w:t xml:space="preserve"> </w:t>
      </w:r>
    </w:p>
    <w:p w14:paraId="2DB71F5D" w14:textId="77777777" w:rsidR="00C0250B" w:rsidRDefault="00EC5B5B">
      <w:pPr>
        <w:spacing w:after="0" w:line="259" w:lineRule="auto"/>
        <w:ind w:right="0" w:firstLine="0"/>
        <w:jc w:val="left"/>
      </w:pPr>
      <w:r>
        <w:t xml:space="preserve"> </w:t>
      </w:r>
    </w:p>
    <w:p w14:paraId="653B085A" w14:textId="77777777" w:rsidR="00C0250B" w:rsidRDefault="00EC5B5B">
      <w:pPr>
        <w:spacing w:after="0" w:line="259" w:lineRule="auto"/>
        <w:ind w:right="0" w:firstLine="0"/>
        <w:jc w:val="left"/>
      </w:pPr>
      <w:r>
        <w:t xml:space="preserve"> </w:t>
      </w:r>
    </w:p>
    <w:p w14:paraId="24BC4F2C" w14:textId="77777777" w:rsidR="00C0250B" w:rsidRDefault="00EC5B5B">
      <w:pPr>
        <w:spacing w:after="0" w:line="259" w:lineRule="auto"/>
        <w:ind w:right="0" w:firstLine="0"/>
        <w:jc w:val="left"/>
      </w:pPr>
      <w:r>
        <w:t xml:space="preserve"> </w:t>
      </w:r>
    </w:p>
    <w:p w14:paraId="673602BB" w14:textId="77777777" w:rsidR="00C0250B" w:rsidRDefault="00EC5B5B">
      <w:pPr>
        <w:spacing w:after="0" w:line="259" w:lineRule="auto"/>
        <w:ind w:right="0" w:firstLine="0"/>
        <w:jc w:val="left"/>
      </w:pPr>
      <w:r>
        <w:t xml:space="preserve"> </w:t>
      </w:r>
    </w:p>
    <w:p w14:paraId="1E139F2B" w14:textId="77777777" w:rsidR="00C0250B" w:rsidRDefault="00EC5B5B">
      <w:pPr>
        <w:spacing w:after="0" w:line="259" w:lineRule="auto"/>
        <w:ind w:right="0" w:firstLine="0"/>
        <w:jc w:val="left"/>
      </w:pPr>
      <w:r>
        <w:t xml:space="preserve"> </w:t>
      </w:r>
    </w:p>
    <w:p w14:paraId="71CE094A" w14:textId="77777777" w:rsidR="00C0250B" w:rsidRDefault="00EC5B5B">
      <w:pPr>
        <w:spacing w:after="0" w:line="259" w:lineRule="auto"/>
        <w:ind w:right="0" w:firstLine="0"/>
        <w:jc w:val="left"/>
      </w:pPr>
      <w:r>
        <w:t xml:space="preserve"> </w:t>
      </w:r>
    </w:p>
    <w:p w14:paraId="08473F77" w14:textId="77777777" w:rsidR="00C0250B" w:rsidRDefault="00EC5B5B">
      <w:pPr>
        <w:spacing w:after="0" w:line="259" w:lineRule="auto"/>
        <w:ind w:right="0" w:firstLine="0"/>
        <w:jc w:val="left"/>
      </w:pPr>
      <w:r>
        <w:t xml:space="preserve"> </w:t>
      </w:r>
    </w:p>
    <w:p w14:paraId="305A7B25" w14:textId="77777777" w:rsidR="00C0250B" w:rsidRDefault="00EC5B5B">
      <w:pPr>
        <w:spacing w:after="0" w:line="259" w:lineRule="auto"/>
        <w:ind w:right="0" w:firstLine="0"/>
        <w:jc w:val="left"/>
      </w:pPr>
      <w:r>
        <w:t xml:space="preserve"> </w:t>
      </w:r>
    </w:p>
    <w:p w14:paraId="1A32F5CA" w14:textId="77777777" w:rsidR="00C0250B" w:rsidRDefault="00EC5B5B">
      <w:pPr>
        <w:spacing w:after="0" w:line="259" w:lineRule="auto"/>
        <w:ind w:right="0" w:firstLine="0"/>
        <w:jc w:val="left"/>
      </w:pPr>
      <w:r>
        <w:t xml:space="preserve"> </w:t>
      </w:r>
    </w:p>
    <w:p w14:paraId="300BF477" w14:textId="77777777" w:rsidR="00C0250B" w:rsidRDefault="00EC5B5B">
      <w:pPr>
        <w:spacing w:after="0" w:line="259" w:lineRule="auto"/>
        <w:ind w:right="0" w:firstLine="0"/>
        <w:jc w:val="left"/>
      </w:pPr>
      <w:r>
        <w:t xml:space="preserve"> </w:t>
      </w:r>
    </w:p>
    <w:p w14:paraId="55AE47E7" w14:textId="77777777" w:rsidR="00C0250B" w:rsidRDefault="00EC5B5B">
      <w:pPr>
        <w:spacing w:after="0" w:line="259" w:lineRule="auto"/>
        <w:ind w:right="0" w:firstLine="0"/>
        <w:jc w:val="left"/>
      </w:pPr>
      <w:r>
        <w:t xml:space="preserve"> </w:t>
      </w:r>
    </w:p>
    <w:p w14:paraId="1A095E7C" w14:textId="77777777" w:rsidR="00C0250B" w:rsidRDefault="00EC5B5B">
      <w:pPr>
        <w:spacing w:after="0" w:line="259" w:lineRule="auto"/>
        <w:ind w:right="0" w:firstLine="0"/>
        <w:jc w:val="left"/>
      </w:pPr>
      <w:r>
        <w:t xml:space="preserve"> </w:t>
      </w:r>
    </w:p>
    <w:p w14:paraId="747A6E4C" w14:textId="77777777" w:rsidR="00C0250B" w:rsidRDefault="00EC5B5B">
      <w:pPr>
        <w:spacing w:after="0" w:line="259" w:lineRule="auto"/>
        <w:ind w:right="0" w:firstLine="0"/>
        <w:jc w:val="left"/>
      </w:pPr>
      <w:r>
        <w:t xml:space="preserve"> </w:t>
      </w:r>
    </w:p>
    <w:p w14:paraId="17E63CBE" w14:textId="77777777" w:rsidR="00C0250B" w:rsidRDefault="00EC5B5B">
      <w:pPr>
        <w:spacing w:after="0" w:line="259" w:lineRule="auto"/>
        <w:ind w:right="0" w:firstLine="0"/>
        <w:jc w:val="left"/>
      </w:pPr>
      <w:r>
        <w:t xml:space="preserve"> </w:t>
      </w:r>
    </w:p>
    <w:p w14:paraId="76B5047C" w14:textId="77777777" w:rsidR="00C0250B" w:rsidRDefault="00EC5B5B">
      <w:pPr>
        <w:spacing w:after="0" w:line="259" w:lineRule="auto"/>
        <w:ind w:right="0" w:firstLine="0"/>
        <w:jc w:val="left"/>
      </w:pPr>
      <w:r>
        <w:t xml:space="preserve"> </w:t>
      </w:r>
    </w:p>
    <w:p w14:paraId="197A037B" w14:textId="77777777" w:rsidR="00C0250B" w:rsidRDefault="00EC5B5B">
      <w:pPr>
        <w:spacing w:after="0" w:line="259" w:lineRule="auto"/>
        <w:ind w:right="0" w:firstLine="0"/>
        <w:jc w:val="left"/>
      </w:pPr>
      <w:r>
        <w:t xml:space="preserve"> </w:t>
      </w:r>
    </w:p>
    <w:p w14:paraId="78E457E0" w14:textId="77777777" w:rsidR="00C0250B" w:rsidRDefault="00EC5B5B">
      <w:pPr>
        <w:spacing w:after="0" w:line="259" w:lineRule="auto"/>
        <w:ind w:right="0" w:firstLine="0"/>
        <w:jc w:val="left"/>
      </w:pPr>
      <w:r>
        <w:t xml:space="preserve"> </w:t>
      </w:r>
    </w:p>
    <w:p w14:paraId="6B0C368A" w14:textId="77777777" w:rsidR="00C0250B" w:rsidRDefault="00EC5B5B">
      <w:pPr>
        <w:pStyle w:val="Ttulo1"/>
        <w:pBdr>
          <w:top w:val="single" w:sz="4" w:space="0" w:color="000000"/>
          <w:left w:val="single" w:sz="4" w:space="0" w:color="000000"/>
          <w:bottom w:val="single" w:sz="4" w:space="0" w:color="000000"/>
          <w:right w:val="single" w:sz="4" w:space="0" w:color="000000"/>
        </w:pBdr>
        <w:ind w:right="276"/>
      </w:pPr>
      <w:r>
        <w:t>CONCLUSÕES</w:t>
      </w:r>
      <w:r>
        <w:rPr>
          <w:b w:val="0"/>
          <w:vertAlign w:val="subscript"/>
        </w:rPr>
        <w:t xml:space="preserve"> </w:t>
      </w:r>
    </w:p>
    <w:p w14:paraId="4E954A3D" w14:textId="77777777" w:rsidR="00C0250B" w:rsidRDefault="00EC5B5B">
      <w:pPr>
        <w:spacing w:after="0" w:line="259" w:lineRule="auto"/>
        <w:ind w:right="0" w:firstLine="0"/>
        <w:jc w:val="left"/>
      </w:pPr>
      <w:r>
        <w:t xml:space="preserve"> </w:t>
      </w:r>
    </w:p>
    <w:p w14:paraId="504DD49C" w14:textId="77777777" w:rsidR="00C0250B" w:rsidRDefault="00EC5B5B">
      <w:pPr>
        <w:ind w:left="-15" w:right="-3"/>
      </w:pPr>
      <w:r>
        <w:t xml:space="preserve">Este estudo revelou lacunas significativas na segurança microbiológica dos gelados comestíveis vendidos em um estádio de futebol em Maceió-AL. A elevada presença de </w:t>
      </w:r>
      <w:r>
        <w:rPr>
          <w:rFonts w:cs="Arial"/>
          <w:i/>
        </w:rPr>
        <w:t>Salmonella</w:t>
      </w:r>
      <w:r>
        <w:t xml:space="preserve"> </w:t>
      </w:r>
      <w:r>
        <w:rPr>
          <w:rFonts w:cs="Arial"/>
          <w:i/>
        </w:rPr>
        <w:t>e Enterobacteriaceae</w:t>
      </w:r>
      <w:r>
        <w:t xml:space="preserve"> nas amostras analisadas revela falhas significativas nos processos de produção, armazenamento e manipulação desses produtos. Com 85% das amostras contaminadas com </w:t>
      </w:r>
      <w:r>
        <w:rPr>
          <w:rFonts w:cs="Arial"/>
          <w:i/>
        </w:rPr>
        <w:t>Salmonella</w:t>
      </w:r>
      <w:r>
        <w:t xml:space="preserve"> e diversas amostras de gelados de maçã com coco excedendo os limites permitidos para </w:t>
      </w:r>
      <w:r>
        <w:rPr>
          <w:rFonts w:cs="Arial"/>
          <w:i/>
        </w:rPr>
        <w:t>Enterobacteriaceae</w:t>
      </w:r>
      <w:r>
        <w:t xml:space="preserve">, os resultados indicam uma necessidade urgente de revisão e melhoria nas práticas de higiene e controle de qualidade. </w:t>
      </w:r>
    </w:p>
    <w:p w14:paraId="54E24554" w14:textId="77777777" w:rsidR="00C0250B" w:rsidRDefault="00EC5B5B">
      <w:pPr>
        <w:ind w:left="-15" w:right="-3"/>
      </w:pPr>
      <w:r>
        <w:t xml:space="preserve">Os achados também sugerem variações na contaminação microbiológica entre diferentes sabores, com os gelados de maçã com coco apresentando as maiores taxas de contaminação. Isso pode ser resultado da composição dos ingredientes e da qualidade das matérias-primas utilizadas </w:t>
      </w:r>
    </w:p>
    <w:p w14:paraId="078A8D7F" w14:textId="77777777" w:rsidR="00C0250B" w:rsidRDefault="00EC5B5B">
      <w:pPr>
        <w:ind w:left="-15" w:right="-3"/>
      </w:pPr>
      <w:r>
        <w:t xml:space="preserve">Diante desse cenário, recomenda-se que os produtores adotem medidas corretivas, como a melhoria das condições de higiene pessoal e de equipamentos. Essas ações são essenciais para garantir a segurança alimentar e evitar riscos à saúde pública, especialmente entre as crianças, que são o público-alvo desses produtos. </w:t>
      </w:r>
    </w:p>
    <w:p w14:paraId="6962FCC7" w14:textId="77777777" w:rsidR="00C0250B" w:rsidRDefault="00EC5B5B">
      <w:pPr>
        <w:ind w:left="-15" w:right="-3"/>
      </w:pPr>
      <w:r>
        <w:t xml:space="preserve">Além disso, a conformidade com os critérios estabelecidos pela legislação deve ser rigorosamente monitorada, e é crucial que os vendedores e fabricantes estejam cientes da responsabilidade que têm na proteção da saúde dos consumidores. A adoção de boas práticas de fabricação, manipulação e conservação não só garantirá a segurança dos alimentos, mas também preservará a confiança dos consumidores e contribuirá para a manutenção da tradição e da experiência positiva dos torcedores nos estádios de futebol. </w:t>
      </w:r>
    </w:p>
    <w:p w14:paraId="15884E9D" w14:textId="77777777" w:rsidR="00C0250B" w:rsidRDefault="00EC5B5B">
      <w:pPr>
        <w:spacing w:after="0" w:line="259" w:lineRule="auto"/>
        <w:ind w:right="0" w:firstLine="0"/>
        <w:jc w:val="left"/>
      </w:pPr>
      <w:r>
        <w:t xml:space="preserve"> </w:t>
      </w:r>
    </w:p>
    <w:p w14:paraId="293C9B3A" w14:textId="77777777" w:rsidR="00C0250B" w:rsidRDefault="00EC5B5B">
      <w:pPr>
        <w:spacing w:after="0" w:line="259" w:lineRule="auto"/>
        <w:ind w:right="0" w:firstLine="0"/>
        <w:jc w:val="left"/>
      </w:pPr>
      <w:r>
        <w:t xml:space="preserve"> </w:t>
      </w:r>
    </w:p>
    <w:p w14:paraId="151BD0C5" w14:textId="77777777" w:rsidR="00C0250B" w:rsidRDefault="00EC5B5B">
      <w:pPr>
        <w:spacing w:after="0" w:line="259" w:lineRule="auto"/>
        <w:ind w:right="0" w:firstLine="0"/>
        <w:jc w:val="left"/>
      </w:pPr>
      <w:r>
        <w:t xml:space="preserve"> </w:t>
      </w:r>
    </w:p>
    <w:p w14:paraId="6724E118" w14:textId="77777777" w:rsidR="00C0250B" w:rsidRDefault="00EC5B5B">
      <w:pPr>
        <w:spacing w:after="0" w:line="259" w:lineRule="auto"/>
        <w:ind w:right="0" w:firstLine="0"/>
        <w:jc w:val="left"/>
      </w:pPr>
      <w:r>
        <w:t xml:space="preserve"> </w:t>
      </w:r>
    </w:p>
    <w:p w14:paraId="0CDC3328" w14:textId="77777777" w:rsidR="00C0250B" w:rsidRDefault="00EC5B5B">
      <w:pPr>
        <w:spacing w:after="0" w:line="259" w:lineRule="auto"/>
        <w:ind w:right="0" w:firstLine="0"/>
        <w:jc w:val="left"/>
      </w:pPr>
      <w:r>
        <w:t xml:space="preserve"> </w:t>
      </w:r>
    </w:p>
    <w:p w14:paraId="76A34C69" w14:textId="77777777" w:rsidR="00C0250B" w:rsidRDefault="00EC5B5B">
      <w:pPr>
        <w:spacing w:after="0" w:line="259" w:lineRule="auto"/>
        <w:ind w:right="0" w:firstLine="0"/>
        <w:jc w:val="left"/>
      </w:pPr>
      <w:r>
        <w:t xml:space="preserve"> </w:t>
      </w:r>
    </w:p>
    <w:p w14:paraId="71B751E6" w14:textId="77777777" w:rsidR="00C0250B" w:rsidRDefault="00EC5B5B">
      <w:pPr>
        <w:spacing w:after="0" w:line="259" w:lineRule="auto"/>
        <w:ind w:right="0" w:firstLine="0"/>
        <w:jc w:val="left"/>
      </w:pPr>
      <w:r>
        <w:t xml:space="preserve"> </w:t>
      </w:r>
    </w:p>
    <w:p w14:paraId="20CDEB34" w14:textId="77777777" w:rsidR="00C0250B" w:rsidRDefault="00EC5B5B">
      <w:pPr>
        <w:spacing w:after="0" w:line="259" w:lineRule="auto"/>
        <w:ind w:right="0" w:firstLine="0"/>
        <w:jc w:val="left"/>
      </w:pPr>
      <w:r>
        <w:t xml:space="preserve"> </w:t>
      </w:r>
    </w:p>
    <w:p w14:paraId="16C4ED1B" w14:textId="77777777" w:rsidR="00C0250B" w:rsidRDefault="00EC5B5B">
      <w:pPr>
        <w:spacing w:after="0" w:line="259" w:lineRule="auto"/>
        <w:ind w:right="0" w:firstLine="0"/>
        <w:jc w:val="left"/>
      </w:pPr>
      <w:r>
        <w:t xml:space="preserve"> </w:t>
      </w:r>
    </w:p>
    <w:p w14:paraId="1BC8D5AA" w14:textId="77777777" w:rsidR="00C0250B" w:rsidRDefault="00EC5B5B">
      <w:pPr>
        <w:spacing w:after="0" w:line="259" w:lineRule="auto"/>
        <w:ind w:right="0" w:firstLine="0"/>
        <w:jc w:val="left"/>
      </w:pPr>
      <w:r>
        <w:t xml:space="preserve"> </w:t>
      </w:r>
    </w:p>
    <w:p w14:paraId="02B99EB9" w14:textId="77777777" w:rsidR="00C0250B" w:rsidRDefault="00EC5B5B">
      <w:pPr>
        <w:spacing w:after="0" w:line="259" w:lineRule="auto"/>
        <w:ind w:right="0" w:firstLine="0"/>
        <w:jc w:val="left"/>
      </w:pPr>
      <w:r>
        <w:t xml:space="preserve"> </w:t>
      </w:r>
    </w:p>
    <w:p w14:paraId="260AC905" w14:textId="77777777" w:rsidR="00C0250B" w:rsidRDefault="00EC5B5B">
      <w:pPr>
        <w:spacing w:after="0" w:line="259" w:lineRule="auto"/>
        <w:ind w:right="0" w:firstLine="0"/>
        <w:jc w:val="left"/>
      </w:pPr>
      <w:r>
        <w:t xml:space="preserve"> </w:t>
      </w:r>
    </w:p>
    <w:p w14:paraId="06CE85EF" w14:textId="77777777" w:rsidR="00C0250B" w:rsidRDefault="00EC5B5B">
      <w:pPr>
        <w:spacing w:after="0" w:line="259" w:lineRule="auto"/>
        <w:ind w:right="0" w:firstLine="0"/>
        <w:jc w:val="left"/>
      </w:pPr>
      <w:r>
        <w:t xml:space="preserve"> </w:t>
      </w:r>
    </w:p>
    <w:p w14:paraId="3BF4E662" w14:textId="77777777" w:rsidR="00C0250B" w:rsidRDefault="00EC5B5B">
      <w:pPr>
        <w:spacing w:after="0" w:line="259" w:lineRule="auto"/>
        <w:ind w:right="0" w:firstLine="0"/>
        <w:jc w:val="left"/>
      </w:pPr>
      <w:r>
        <w:t xml:space="preserve"> </w:t>
      </w:r>
    </w:p>
    <w:p w14:paraId="3D371F29" w14:textId="77777777" w:rsidR="00C0250B" w:rsidRDefault="00EC5B5B">
      <w:pPr>
        <w:spacing w:after="0" w:line="259" w:lineRule="auto"/>
        <w:ind w:right="0" w:firstLine="0"/>
        <w:jc w:val="left"/>
      </w:pPr>
      <w:r>
        <w:t xml:space="preserve"> </w:t>
      </w:r>
    </w:p>
    <w:p w14:paraId="06B32E68" w14:textId="77777777" w:rsidR="00C0250B" w:rsidRDefault="00EC5B5B">
      <w:pPr>
        <w:spacing w:after="0" w:line="259" w:lineRule="auto"/>
        <w:ind w:right="0" w:firstLine="0"/>
        <w:jc w:val="left"/>
      </w:pPr>
      <w:r>
        <w:t xml:space="preserve"> </w:t>
      </w:r>
    </w:p>
    <w:p w14:paraId="2307FC56" w14:textId="77777777" w:rsidR="00C0250B" w:rsidRDefault="00EC5B5B">
      <w:pPr>
        <w:spacing w:after="0" w:line="259" w:lineRule="auto"/>
        <w:ind w:right="0" w:firstLine="0"/>
        <w:jc w:val="left"/>
      </w:pPr>
      <w:r>
        <w:t xml:space="preserve"> </w:t>
      </w:r>
    </w:p>
    <w:p w14:paraId="04683DB2" w14:textId="77777777" w:rsidR="00C0250B" w:rsidRDefault="00EC5B5B">
      <w:pPr>
        <w:spacing w:after="0" w:line="259" w:lineRule="auto"/>
        <w:ind w:right="0" w:firstLine="0"/>
        <w:jc w:val="left"/>
      </w:pPr>
      <w:r>
        <w:t xml:space="preserve"> </w:t>
      </w:r>
    </w:p>
    <w:p w14:paraId="2E138FF6" w14:textId="77777777" w:rsidR="00C0250B" w:rsidRDefault="00EC5B5B">
      <w:pPr>
        <w:spacing w:after="0" w:line="259" w:lineRule="auto"/>
        <w:ind w:right="0" w:firstLine="0"/>
        <w:jc w:val="left"/>
      </w:pPr>
      <w:r>
        <w:t xml:space="preserve"> </w:t>
      </w:r>
    </w:p>
    <w:p w14:paraId="3F868FFB" w14:textId="77777777" w:rsidR="00C0250B" w:rsidRDefault="00EC5B5B">
      <w:pPr>
        <w:spacing w:after="0" w:line="259" w:lineRule="auto"/>
        <w:ind w:right="0" w:firstLine="0"/>
        <w:jc w:val="left"/>
      </w:pPr>
      <w:r>
        <w:t xml:space="preserve"> </w:t>
      </w:r>
    </w:p>
    <w:p w14:paraId="284E7231" w14:textId="77777777" w:rsidR="00C0250B" w:rsidRDefault="00EC5B5B">
      <w:pPr>
        <w:spacing w:after="0" w:line="259" w:lineRule="auto"/>
        <w:ind w:right="0" w:firstLine="0"/>
        <w:jc w:val="left"/>
      </w:pPr>
      <w:r>
        <w:t xml:space="preserve"> </w:t>
      </w:r>
    </w:p>
    <w:p w14:paraId="647F8BC1" w14:textId="77777777" w:rsidR="00C0250B" w:rsidRDefault="00EC5B5B">
      <w:pPr>
        <w:spacing w:after="0" w:line="259" w:lineRule="auto"/>
        <w:ind w:right="0" w:firstLine="0"/>
        <w:jc w:val="left"/>
      </w:pPr>
      <w:r>
        <w:t xml:space="preserve"> </w:t>
      </w:r>
    </w:p>
    <w:p w14:paraId="0C214FAC" w14:textId="77777777" w:rsidR="00C0250B" w:rsidRDefault="00EC5B5B">
      <w:pPr>
        <w:spacing w:after="0" w:line="259" w:lineRule="auto"/>
        <w:ind w:right="0" w:firstLine="0"/>
        <w:jc w:val="left"/>
      </w:pPr>
      <w:r>
        <w:t xml:space="preserve"> </w:t>
      </w:r>
    </w:p>
    <w:p w14:paraId="74FA23D1" w14:textId="77777777" w:rsidR="00C0250B" w:rsidRDefault="00EC5B5B">
      <w:pPr>
        <w:spacing w:after="0" w:line="259" w:lineRule="auto"/>
        <w:ind w:right="0" w:firstLine="0"/>
        <w:jc w:val="left"/>
      </w:pPr>
      <w:r>
        <w:t xml:space="preserve"> </w:t>
      </w:r>
    </w:p>
    <w:p w14:paraId="3B3CFAD1" w14:textId="77777777" w:rsidR="00C0250B" w:rsidRDefault="00EC5B5B">
      <w:pPr>
        <w:pStyle w:val="Ttulo1"/>
        <w:pBdr>
          <w:top w:val="single" w:sz="4" w:space="0" w:color="000000"/>
          <w:left w:val="single" w:sz="4" w:space="0" w:color="000000"/>
          <w:bottom w:val="single" w:sz="4" w:space="0" w:color="000000"/>
          <w:right w:val="single" w:sz="4" w:space="0" w:color="000000"/>
        </w:pBdr>
        <w:spacing w:after="370"/>
        <w:ind w:right="66"/>
      </w:pPr>
      <w:r>
        <w:t>REFERÊNCIAS</w:t>
      </w:r>
      <w:r>
        <w:rPr>
          <w:b w:val="0"/>
        </w:rPr>
        <w:t xml:space="preserve"> </w:t>
      </w:r>
    </w:p>
    <w:p w14:paraId="2D6F015D" w14:textId="77777777" w:rsidR="00C0250B" w:rsidRDefault="00EC5B5B">
      <w:pPr>
        <w:numPr>
          <w:ilvl w:val="0"/>
          <w:numId w:val="1"/>
        </w:numPr>
        <w:spacing w:after="248" w:line="248" w:lineRule="auto"/>
        <w:ind w:right="0" w:hanging="360"/>
        <w:jc w:val="left"/>
      </w:pPr>
      <w:r>
        <w:rPr>
          <w:sz w:val="22"/>
        </w:rPr>
        <w:t xml:space="preserve">3M. Petrifilm: Placas para contagem rápida de enterobacteriaceae . Guia de interpretação. </w:t>
      </w:r>
      <w:r>
        <w:rPr>
          <w:rFonts w:cs="Arial"/>
          <w:b/>
          <w:sz w:val="22"/>
        </w:rPr>
        <w:t>3M do Brasil Ltda</w:t>
      </w:r>
      <w:r>
        <w:rPr>
          <w:sz w:val="22"/>
        </w:rPr>
        <w:t>. Microbiologia. Sumaré, SP 13181-900, 2021. Disponível em: &lt;</w:t>
      </w:r>
      <w:hyperlink r:id="rId10">
        <w:r>
          <w:rPr>
            <w:color w:val="1155CC"/>
            <w:sz w:val="22"/>
            <w:u w:val="single" w:color="1155CC"/>
          </w:rPr>
          <w:t>https://multimedia.3m.com/mws/media/1154765O/guia</w:t>
        </w:r>
      </w:hyperlink>
      <w:hyperlink r:id="rId11">
        <w:r>
          <w:rPr>
            <w:color w:val="1155CC"/>
            <w:sz w:val="22"/>
            <w:u w:val="single" w:color="1155CC"/>
          </w:rPr>
          <w:t>-</w:t>
        </w:r>
      </w:hyperlink>
      <w:hyperlink r:id="rId12">
        <w:r>
          <w:rPr>
            <w:color w:val="1155CC"/>
            <w:sz w:val="22"/>
            <w:u w:val="single" w:color="1155CC"/>
          </w:rPr>
          <w:t>de</w:t>
        </w:r>
      </w:hyperlink>
      <w:hyperlink r:id="rId13"/>
      <w:hyperlink r:id="rId14">
        <w:r>
          <w:rPr>
            <w:color w:val="1155CC"/>
            <w:sz w:val="22"/>
            <w:u w:val="single" w:color="1155CC"/>
          </w:rPr>
          <w:t>interpretacao</w:t>
        </w:r>
      </w:hyperlink>
      <w:hyperlink r:id="rId15">
        <w:r>
          <w:rPr>
            <w:color w:val="1155CC"/>
            <w:sz w:val="22"/>
            <w:u w:val="single" w:color="1155CC"/>
          </w:rPr>
          <w:t>-</w:t>
        </w:r>
      </w:hyperlink>
      <w:hyperlink r:id="rId16">
        <w:r>
          <w:rPr>
            <w:color w:val="1155CC"/>
            <w:sz w:val="22"/>
            <w:u w:val="single" w:color="1155CC"/>
          </w:rPr>
          <w:t>petrifilm</w:t>
        </w:r>
      </w:hyperlink>
      <w:hyperlink r:id="rId17">
        <w:r>
          <w:rPr>
            <w:color w:val="1155CC"/>
            <w:sz w:val="22"/>
            <w:u w:val="single" w:color="1155CC"/>
          </w:rPr>
          <w:t>-</w:t>
        </w:r>
      </w:hyperlink>
      <w:hyperlink r:id="rId18">
        <w:r>
          <w:rPr>
            <w:color w:val="1155CC"/>
            <w:sz w:val="22"/>
            <w:u w:val="single" w:color="1155CC"/>
          </w:rPr>
          <w:t>eb</w:t>
        </w:r>
      </w:hyperlink>
      <w:hyperlink r:id="rId19">
        <w:r>
          <w:rPr>
            <w:color w:val="1155CC"/>
            <w:sz w:val="22"/>
            <w:u w:val="single" w:color="1155CC"/>
          </w:rPr>
          <w:t>-</w:t>
        </w:r>
      </w:hyperlink>
      <w:hyperlink r:id="rId20">
        <w:r>
          <w:rPr>
            <w:color w:val="1155CC"/>
            <w:sz w:val="22"/>
            <w:u w:val="single" w:color="1155CC"/>
          </w:rPr>
          <w:t>cdr.pdf</w:t>
        </w:r>
      </w:hyperlink>
      <w:hyperlink r:id="rId21">
        <w:r>
          <w:rPr>
            <w:sz w:val="22"/>
          </w:rPr>
          <w:t>&gt;</w:t>
        </w:r>
      </w:hyperlink>
      <w:r>
        <w:rPr>
          <w:sz w:val="22"/>
        </w:rPr>
        <w:t>. Acesso em: 12/09/2023.</w:t>
      </w:r>
      <w:r>
        <w:rPr>
          <w:rFonts w:ascii="Times New Roman" w:eastAsia="Times New Roman" w:hAnsi="Times New Roman"/>
        </w:rPr>
        <w:t xml:space="preserve"> </w:t>
      </w:r>
    </w:p>
    <w:p w14:paraId="169413AC" w14:textId="77777777" w:rsidR="00C0250B" w:rsidRDefault="00EC5B5B">
      <w:pPr>
        <w:numPr>
          <w:ilvl w:val="0"/>
          <w:numId w:val="1"/>
        </w:numPr>
        <w:spacing w:after="0" w:line="248" w:lineRule="auto"/>
        <w:ind w:right="0" w:hanging="360"/>
        <w:jc w:val="left"/>
      </w:pPr>
      <w:r>
        <w:rPr>
          <w:sz w:val="22"/>
        </w:rPr>
        <w:t xml:space="preserve">ABREU, E. S. de; MEDEIROS, F. da S.; SANTOS, D. A. ANÁLISE </w:t>
      </w:r>
    </w:p>
    <w:p w14:paraId="49C35A84" w14:textId="77777777" w:rsidR="00C0250B" w:rsidRDefault="00EC5B5B">
      <w:pPr>
        <w:spacing w:after="0" w:line="248" w:lineRule="auto"/>
        <w:ind w:left="721" w:right="0" w:firstLine="0"/>
        <w:jc w:val="left"/>
      </w:pPr>
      <w:r>
        <w:rPr>
          <w:sz w:val="22"/>
        </w:rPr>
        <w:t xml:space="preserve">MICROBIOLÓGICA DE MÃOS DE MANIPULADORES DE ALIMENTOS DO </w:t>
      </w:r>
    </w:p>
    <w:p w14:paraId="66745A29" w14:textId="77777777" w:rsidR="00C0250B" w:rsidRDefault="00EC5B5B">
      <w:pPr>
        <w:spacing w:after="0" w:line="248" w:lineRule="auto"/>
        <w:ind w:left="721" w:right="0" w:firstLine="0"/>
        <w:jc w:val="left"/>
      </w:pPr>
      <w:r>
        <w:rPr>
          <w:sz w:val="22"/>
        </w:rPr>
        <w:t xml:space="preserve">MUNICÍPIO DE SANTO ANDRÉ. </w:t>
      </w:r>
      <w:r>
        <w:rPr>
          <w:rFonts w:cs="Arial"/>
          <w:b/>
          <w:sz w:val="22"/>
        </w:rPr>
        <w:t>Rev Univap</w:t>
      </w:r>
      <w:r>
        <w:rPr>
          <w:sz w:val="22"/>
        </w:rPr>
        <w:t xml:space="preserve">, [S. l.], v. 17, n. 30, p. 39–57, 2011. Disponível em: </w:t>
      </w:r>
    </w:p>
    <w:p w14:paraId="18B3B96E" w14:textId="77777777" w:rsidR="00C0250B" w:rsidRDefault="00EC5B5B">
      <w:pPr>
        <w:spacing w:after="257" w:line="237" w:lineRule="auto"/>
        <w:ind w:left="716" w:right="0" w:hanging="10"/>
        <w:jc w:val="left"/>
      </w:pPr>
      <w:hyperlink r:id="rId22">
        <w:r>
          <w:rPr>
            <w:sz w:val="22"/>
          </w:rPr>
          <w:t>&lt;</w:t>
        </w:r>
      </w:hyperlink>
      <w:hyperlink r:id="rId23">
        <w:r>
          <w:rPr>
            <w:color w:val="1155CC"/>
            <w:sz w:val="22"/>
            <w:u w:val="single" w:color="1155CC"/>
          </w:rPr>
          <w:t>https://revista.univap.br/index.php/revistaunivap/article/view/24</w:t>
        </w:r>
      </w:hyperlink>
      <w:hyperlink r:id="rId24">
        <w:r>
          <w:rPr>
            <w:sz w:val="22"/>
          </w:rPr>
          <w:t>&gt;</w:t>
        </w:r>
      </w:hyperlink>
      <w:r>
        <w:rPr>
          <w:sz w:val="22"/>
        </w:rPr>
        <w:t>. Acesso em: 04/03/2024.</w:t>
      </w:r>
      <w:r>
        <w:rPr>
          <w:rFonts w:ascii="Times New Roman" w:eastAsia="Times New Roman" w:hAnsi="Times New Roman"/>
        </w:rPr>
        <w:t xml:space="preserve"> </w:t>
      </w:r>
    </w:p>
    <w:p w14:paraId="41DD5EF8" w14:textId="77777777" w:rsidR="00C0250B" w:rsidRDefault="00EC5B5B">
      <w:pPr>
        <w:numPr>
          <w:ilvl w:val="0"/>
          <w:numId w:val="1"/>
        </w:numPr>
        <w:spacing w:after="0" w:line="248" w:lineRule="auto"/>
        <w:ind w:right="0" w:hanging="360"/>
        <w:jc w:val="left"/>
      </w:pPr>
      <w:r>
        <w:rPr>
          <w:sz w:val="22"/>
        </w:rPr>
        <w:t xml:space="preserve">ALMEIDA, RCC;  KUAYE, AY; SERRANO AM;  ALMEIDA, PF. Avaliação e controle de qualidade microbiológica de mãos de manipuladores de alimentos. </w:t>
      </w:r>
    </w:p>
    <w:p w14:paraId="649117CC" w14:textId="77777777" w:rsidR="00C0250B" w:rsidRDefault="00EC5B5B">
      <w:pPr>
        <w:spacing w:after="0" w:line="248" w:lineRule="auto"/>
        <w:ind w:left="721" w:right="0" w:firstLine="0"/>
        <w:jc w:val="left"/>
      </w:pPr>
      <w:r>
        <w:rPr>
          <w:rFonts w:cs="Arial"/>
          <w:b/>
          <w:sz w:val="22"/>
        </w:rPr>
        <w:t>Rev. Saúde Pública</w:t>
      </w:r>
      <w:r>
        <w:rPr>
          <w:sz w:val="22"/>
        </w:rPr>
        <w:t xml:space="preserve">; v. 29, n.4, p. 290-294, 1995. Disponível em: </w:t>
      </w:r>
    </w:p>
    <w:p w14:paraId="2D4AE6CB" w14:textId="77777777" w:rsidR="00C0250B" w:rsidRDefault="00EC5B5B">
      <w:pPr>
        <w:spacing w:after="257" w:line="237" w:lineRule="auto"/>
        <w:ind w:left="716" w:right="0" w:hanging="10"/>
        <w:jc w:val="left"/>
      </w:pPr>
      <w:hyperlink r:id="rId25">
        <w:r>
          <w:rPr>
            <w:sz w:val="22"/>
          </w:rPr>
          <w:t>&lt;</w:t>
        </w:r>
      </w:hyperlink>
      <w:hyperlink r:id="rId26">
        <w:r>
          <w:rPr>
            <w:color w:val="1155CC"/>
            <w:sz w:val="22"/>
            <w:u w:val="single" w:color="1155CC"/>
          </w:rPr>
          <w:t>https://www.scielo.br/j/rsp/a/Ng79ptSTHrcdYNPDpnwbDvG/abstract/?lang=pt</w:t>
        </w:r>
      </w:hyperlink>
      <w:hyperlink r:id="rId27">
        <w:r>
          <w:rPr>
            <w:sz w:val="22"/>
          </w:rPr>
          <w:t xml:space="preserve">&gt; </w:t>
        </w:r>
      </w:hyperlink>
      <w:r>
        <w:rPr>
          <w:sz w:val="22"/>
        </w:rPr>
        <w:t>. Acesso em: 04/03/2024.</w:t>
      </w:r>
      <w:r>
        <w:rPr>
          <w:rFonts w:ascii="Times New Roman" w:eastAsia="Times New Roman" w:hAnsi="Times New Roman"/>
        </w:rPr>
        <w:t xml:space="preserve"> </w:t>
      </w:r>
    </w:p>
    <w:p w14:paraId="2D84D2FD" w14:textId="77777777" w:rsidR="00C0250B" w:rsidRDefault="00EC5B5B">
      <w:pPr>
        <w:numPr>
          <w:ilvl w:val="0"/>
          <w:numId w:val="1"/>
        </w:numPr>
        <w:spacing w:after="0" w:line="248" w:lineRule="auto"/>
        <w:ind w:right="0" w:hanging="360"/>
        <w:jc w:val="left"/>
      </w:pPr>
      <w:r>
        <w:rPr>
          <w:sz w:val="22"/>
        </w:rPr>
        <w:t xml:space="preserve">BARROS, F.; MACHADO, L.; HEIDMANN, G.; PHILIPPSEN, N. A alcunha galego no português de Santa Catarina: o que revelam os dados do ALERS. </w:t>
      </w:r>
    </w:p>
    <w:p w14:paraId="5B9EF433" w14:textId="77777777" w:rsidR="00C0250B" w:rsidRDefault="00EC5B5B">
      <w:pPr>
        <w:spacing w:after="0" w:line="248" w:lineRule="auto"/>
        <w:ind w:left="721" w:right="0" w:firstLine="0"/>
        <w:jc w:val="left"/>
      </w:pPr>
      <w:r>
        <w:rPr>
          <w:rFonts w:cs="Arial"/>
          <w:b/>
          <w:sz w:val="22"/>
        </w:rPr>
        <w:t>Rev. de Estudos da Linguagem</w:t>
      </w:r>
      <w:r>
        <w:rPr>
          <w:sz w:val="22"/>
        </w:rPr>
        <w:t xml:space="preserve">, [S. l.], v. 26, n. 3, p. 1227-1276, fev, 2018. </w:t>
      </w:r>
    </w:p>
    <w:p w14:paraId="7C0B1C85" w14:textId="77777777" w:rsidR="00C0250B" w:rsidRDefault="00EC5B5B">
      <w:pPr>
        <w:spacing w:after="0" w:line="248" w:lineRule="auto"/>
        <w:ind w:left="721" w:right="0" w:firstLine="0"/>
        <w:jc w:val="left"/>
      </w:pPr>
      <w:r>
        <w:rPr>
          <w:sz w:val="22"/>
        </w:rPr>
        <w:t xml:space="preserve">Disponível em: </w:t>
      </w:r>
    </w:p>
    <w:p w14:paraId="51520BE8" w14:textId="77777777" w:rsidR="00C0250B" w:rsidRDefault="00EC5B5B">
      <w:pPr>
        <w:spacing w:after="257" w:line="237" w:lineRule="auto"/>
        <w:ind w:left="716" w:right="0" w:hanging="10"/>
        <w:jc w:val="left"/>
      </w:pPr>
      <w:hyperlink r:id="rId28">
        <w:r>
          <w:rPr>
            <w:sz w:val="22"/>
          </w:rPr>
          <w:t>&lt;</w:t>
        </w:r>
      </w:hyperlink>
      <w:hyperlink r:id="rId29">
        <w:r>
          <w:rPr>
            <w:color w:val="1155CC"/>
            <w:sz w:val="22"/>
            <w:u w:val="single" w:color="1155CC"/>
          </w:rPr>
          <w:t>http://www.periodicos.letras.ufmg.br/index.php/relin/article/view/12864</w:t>
        </w:r>
      </w:hyperlink>
      <w:hyperlink r:id="rId30">
        <w:r>
          <w:rPr>
            <w:sz w:val="22"/>
          </w:rPr>
          <w:t>&gt;</w:t>
        </w:r>
      </w:hyperlink>
      <w:r>
        <w:rPr>
          <w:sz w:val="22"/>
        </w:rPr>
        <w:t xml:space="preserve">. Acesso em: 17/05/2023. </w:t>
      </w:r>
      <w:r>
        <w:rPr>
          <w:rFonts w:ascii="Times New Roman" w:eastAsia="Times New Roman" w:hAnsi="Times New Roman"/>
        </w:rPr>
        <w:t xml:space="preserve"> </w:t>
      </w:r>
    </w:p>
    <w:p w14:paraId="539FAB35" w14:textId="77777777" w:rsidR="00C0250B" w:rsidRDefault="00EC5B5B">
      <w:pPr>
        <w:numPr>
          <w:ilvl w:val="0"/>
          <w:numId w:val="1"/>
        </w:numPr>
        <w:spacing w:after="0" w:line="248" w:lineRule="auto"/>
        <w:ind w:right="0" w:hanging="360"/>
        <w:jc w:val="left"/>
      </w:pPr>
      <w:r>
        <w:rPr>
          <w:sz w:val="22"/>
        </w:rPr>
        <w:t xml:space="preserve">BRASIL. Ministério da Saúde. Agência Nacional de Vigilância Sanitária. </w:t>
      </w:r>
      <w:r>
        <w:rPr>
          <w:rFonts w:cs="Arial"/>
          <w:b/>
          <w:sz w:val="22"/>
        </w:rPr>
        <w:t xml:space="preserve">Instrução normativa - In nº 161, de 1 de julho de 2022. </w:t>
      </w:r>
      <w:r>
        <w:rPr>
          <w:sz w:val="22"/>
        </w:rPr>
        <w:t xml:space="preserve">Dispõe sobre as listas de padrões microbiológicos de alimentos. Disponível em: </w:t>
      </w:r>
    </w:p>
    <w:p w14:paraId="2F77E79F" w14:textId="77777777" w:rsidR="00C0250B" w:rsidRDefault="00EC5B5B">
      <w:pPr>
        <w:spacing w:after="257" w:line="237" w:lineRule="auto"/>
        <w:ind w:left="716" w:right="0" w:hanging="10"/>
        <w:jc w:val="left"/>
      </w:pPr>
      <w:hyperlink r:id="rId31">
        <w:r>
          <w:rPr>
            <w:sz w:val="22"/>
          </w:rPr>
          <w:t>&lt;</w:t>
        </w:r>
      </w:hyperlink>
      <w:hyperlink r:id="rId32">
        <w:r>
          <w:rPr>
            <w:color w:val="1155CC"/>
            <w:sz w:val="22"/>
            <w:u w:val="single" w:color="1155CC"/>
          </w:rPr>
          <w:t>https://www.in.gov.br/en/web/dou/</w:t>
        </w:r>
      </w:hyperlink>
      <w:hyperlink r:id="rId33">
        <w:r>
          <w:rPr>
            <w:color w:val="1155CC"/>
            <w:sz w:val="22"/>
            <w:u w:val="single" w:color="1155CC"/>
          </w:rPr>
          <w:t>-</w:t>
        </w:r>
      </w:hyperlink>
      <w:hyperlink r:id="rId34">
        <w:r>
          <w:rPr>
            <w:color w:val="1155CC"/>
            <w:sz w:val="22"/>
            <w:u w:val="single" w:color="1155CC"/>
          </w:rPr>
          <w:t>/instrucao</w:t>
        </w:r>
      </w:hyperlink>
      <w:hyperlink r:id="rId35">
        <w:r>
          <w:rPr>
            <w:color w:val="1155CC"/>
            <w:sz w:val="22"/>
            <w:u w:val="single" w:color="1155CC"/>
          </w:rPr>
          <w:t>-</w:t>
        </w:r>
      </w:hyperlink>
      <w:hyperlink r:id="rId36">
        <w:r>
          <w:rPr>
            <w:color w:val="1155CC"/>
            <w:sz w:val="22"/>
            <w:u w:val="single" w:color="1155CC"/>
          </w:rPr>
          <w:t>normativa</w:t>
        </w:r>
      </w:hyperlink>
      <w:hyperlink r:id="rId37">
        <w:r>
          <w:rPr>
            <w:color w:val="1155CC"/>
            <w:sz w:val="22"/>
            <w:u w:val="single" w:color="1155CC"/>
          </w:rPr>
          <w:t>-</w:t>
        </w:r>
      </w:hyperlink>
      <w:hyperlink r:id="rId38">
        <w:r>
          <w:rPr>
            <w:color w:val="1155CC"/>
            <w:sz w:val="22"/>
            <w:u w:val="single" w:color="1155CC"/>
          </w:rPr>
          <w:t>in</w:t>
        </w:r>
      </w:hyperlink>
      <w:hyperlink r:id="rId39">
        <w:r>
          <w:rPr>
            <w:color w:val="1155CC"/>
            <w:sz w:val="22"/>
            <w:u w:val="single" w:color="1155CC"/>
          </w:rPr>
          <w:t>-</w:t>
        </w:r>
      </w:hyperlink>
      <w:hyperlink r:id="rId40">
        <w:r>
          <w:rPr>
            <w:color w:val="1155CC"/>
            <w:sz w:val="22"/>
            <w:u w:val="single" w:color="1155CC"/>
          </w:rPr>
          <w:t>n</w:t>
        </w:r>
      </w:hyperlink>
      <w:hyperlink r:id="rId41">
        <w:r>
          <w:rPr>
            <w:color w:val="1155CC"/>
            <w:sz w:val="22"/>
            <w:u w:val="single" w:color="1155CC"/>
          </w:rPr>
          <w:t>-</w:t>
        </w:r>
      </w:hyperlink>
      <w:hyperlink r:id="rId42">
        <w:r>
          <w:rPr>
            <w:color w:val="1155CC"/>
            <w:sz w:val="22"/>
            <w:u w:val="single" w:color="1155CC"/>
          </w:rPr>
          <w:t>161</w:t>
        </w:r>
      </w:hyperlink>
      <w:hyperlink r:id="rId43">
        <w:r>
          <w:rPr>
            <w:color w:val="1155CC"/>
            <w:sz w:val="22"/>
            <w:u w:val="single" w:color="1155CC"/>
          </w:rPr>
          <w:t>-</w:t>
        </w:r>
      </w:hyperlink>
      <w:hyperlink r:id="rId44">
        <w:r>
          <w:rPr>
            <w:color w:val="1155CC"/>
            <w:sz w:val="22"/>
            <w:u w:val="single" w:color="1155CC"/>
          </w:rPr>
          <w:t>de</w:t>
        </w:r>
      </w:hyperlink>
      <w:hyperlink r:id="rId45">
        <w:r>
          <w:rPr>
            <w:color w:val="1155CC"/>
            <w:sz w:val="22"/>
            <w:u w:val="single" w:color="1155CC"/>
          </w:rPr>
          <w:t>-</w:t>
        </w:r>
      </w:hyperlink>
      <w:hyperlink r:id="rId46">
        <w:r>
          <w:rPr>
            <w:color w:val="1155CC"/>
            <w:sz w:val="22"/>
            <w:u w:val="single" w:color="1155CC"/>
          </w:rPr>
          <w:t>1</w:t>
        </w:r>
      </w:hyperlink>
      <w:hyperlink r:id="rId47">
        <w:r>
          <w:rPr>
            <w:color w:val="1155CC"/>
            <w:sz w:val="22"/>
            <w:u w:val="single" w:color="1155CC"/>
          </w:rPr>
          <w:t>-</w:t>
        </w:r>
      </w:hyperlink>
      <w:hyperlink r:id="rId48">
        <w:r>
          <w:rPr>
            <w:color w:val="1155CC"/>
            <w:sz w:val="22"/>
            <w:u w:val="single" w:color="1155CC"/>
          </w:rPr>
          <w:t>de</w:t>
        </w:r>
      </w:hyperlink>
      <w:hyperlink r:id="rId49"/>
      <w:hyperlink r:id="rId50">
        <w:r>
          <w:rPr>
            <w:color w:val="1155CC"/>
            <w:sz w:val="22"/>
            <w:u w:val="single" w:color="1155CC"/>
          </w:rPr>
          <w:t>julho</w:t>
        </w:r>
      </w:hyperlink>
      <w:hyperlink r:id="rId51">
        <w:r>
          <w:rPr>
            <w:color w:val="1155CC"/>
            <w:sz w:val="22"/>
            <w:u w:val="single" w:color="1155CC"/>
          </w:rPr>
          <w:t>-</w:t>
        </w:r>
      </w:hyperlink>
      <w:hyperlink r:id="rId52">
        <w:r>
          <w:rPr>
            <w:color w:val="1155CC"/>
            <w:sz w:val="22"/>
            <w:u w:val="single" w:color="1155CC"/>
          </w:rPr>
          <w:t>de</w:t>
        </w:r>
      </w:hyperlink>
      <w:hyperlink r:id="rId53">
        <w:r>
          <w:rPr>
            <w:color w:val="1155CC"/>
            <w:sz w:val="22"/>
            <w:u w:val="single" w:color="1155CC"/>
          </w:rPr>
          <w:t>-</w:t>
        </w:r>
      </w:hyperlink>
      <w:hyperlink r:id="rId54">
        <w:r>
          <w:rPr>
            <w:color w:val="1155CC"/>
            <w:sz w:val="22"/>
            <w:u w:val="single" w:color="1155CC"/>
          </w:rPr>
          <w:t>2022</w:t>
        </w:r>
      </w:hyperlink>
      <w:hyperlink r:id="rId55">
        <w:r>
          <w:rPr>
            <w:color w:val="1155CC"/>
            <w:sz w:val="22"/>
            <w:u w:val="single" w:color="1155CC"/>
          </w:rPr>
          <w:t>-</w:t>
        </w:r>
      </w:hyperlink>
      <w:hyperlink r:id="rId56">
        <w:r>
          <w:rPr>
            <w:color w:val="1155CC"/>
            <w:sz w:val="22"/>
            <w:u w:val="single" w:color="1155CC"/>
          </w:rPr>
          <w:t>413366880</w:t>
        </w:r>
      </w:hyperlink>
      <w:hyperlink r:id="rId57">
        <w:r>
          <w:rPr>
            <w:sz w:val="22"/>
          </w:rPr>
          <w:t>&gt;</w:t>
        </w:r>
      </w:hyperlink>
      <w:r>
        <w:rPr>
          <w:sz w:val="22"/>
        </w:rPr>
        <w:t>. Acesso em: 20/05/2023.</w:t>
      </w:r>
      <w:r>
        <w:rPr>
          <w:rFonts w:cs="Arial"/>
          <w:b/>
          <w:sz w:val="22"/>
        </w:rPr>
        <w:t xml:space="preserve"> </w:t>
      </w:r>
      <w:r>
        <w:rPr>
          <w:sz w:val="22"/>
        </w:rPr>
        <w:t xml:space="preserve"> </w:t>
      </w:r>
      <w:r>
        <w:rPr>
          <w:rFonts w:ascii="Times New Roman" w:eastAsia="Times New Roman" w:hAnsi="Times New Roman"/>
        </w:rPr>
        <w:t xml:space="preserve"> </w:t>
      </w:r>
    </w:p>
    <w:p w14:paraId="25FD90A9" w14:textId="77777777" w:rsidR="00C0250B" w:rsidRDefault="00EC5B5B">
      <w:pPr>
        <w:numPr>
          <w:ilvl w:val="0"/>
          <w:numId w:val="1"/>
        </w:numPr>
        <w:spacing w:after="0" w:line="248" w:lineRule="auto"/>
        <w:ind w:right="0" w:hanging="360"/>
        <w:jc w:val="left"/>
      </w:pPr>
      <w:r>
        <w:rPr>
          <w:sz w:val="22"/>
        </w:rPr>
        <w:t xml:space="preserve">BRASIL. Ministério da Saúde. Agência Nacional de Vigilância Sanitária. </w:t>
      </w:r>
      <w:r>
        <w:rPr>
          <w:rFonts w:cs="Arial"/>
          <w:b/>
          <w:sz w:val="22"/>
        </w:rPr>
        <w:t>Resolução RDC nº 266, de 22 de setembro de 2005</w:t>
      </w:r>
      <w:r>
        <w:rPr>
          <w:sz w:val="22"/>
        </w:rPr>
        <w:t>.</w:t>
      </w:r>
      <w:r>
        <w:rPr>
          <w:rFonts w:cs="Arial"/>
          <w:i/>
          <w:sz w:val="22"/>
        </w:rPr>
        <w:t xml:space="preserve"> </w:t>
      </w:r>
      <w:r>
        <w:rPr>
          <w:sz w:val="22"/>
        </w:rPr>
        <w:t xml:space="preserve">Dispõe sobre o regulamento técnico para gelados comestíveis e preparados para gelados comestíveis. Disponível em: </w:t>
      </w:r>
    </w:p>
    <w:p w14:paraId="0BA36B54" w14:textId="77777777" w:rsidR="00C0250B" w:rsidRDefault="00EC5B5B">
      <w:pPr>
        <w:spacing w:after="257" w:line="237" w:lineRule="auto"/>
        <w:ind w:left="716" w:right="0" w:hanging="10"/>
        <w:jc w:val="left"/>
      </w:pPr>
      <w:hyperlink r:id="rId58">
        <w:r>
          <w:rPr>
            <w:sz w:val="22"/>
          </w:rPr>
          <w:t>&lt;</w:t>
        </w:r>
      </w:hyperlink>
      <w:hyperlink r:id="rId59">
        <w:r>
          <w:rPr>
            <w:color w:val="1155CC"/>
            <w:sz w:val="22"/>
            <w:u w:val="single" w:color="1155CC"/>
          </w:rPr>
          <w:t xml:space="preserve">https://bvsms.saude.gov.br/bvs/saudelegis/anvisa/2005/res0266_22_09_2005 </w:t>
        </w:r>
      </w:hyperlink>
      <w:hyperlink r:id="rId60">
        <w:r>
          <w:rPr>
            <w:color w:val="1155CC"/>
            <w:sz w:val="22"/>
            <w:u w:val="single" w:color="1155CC"/>
          </w:rPr>
          <w:t>.html</w:t>
        </w:r>
      </w:hyperlink>
      <w:hyperlink r:id="rId61">
        <w:r>
          <w:rPr>
            <w:sz w:val="22"/>
          </w:rPr>
          <w:t>&gt;</w:t>
        </w:r>
      </w:hyperlink>
      <w:r>
        <w:rPr>
          <w:sz w:val="22"/>
        </w:rPr>
        <w:t>. Acesso em: 16/05/2023.</w:t>
      </w:r>
      <w:r>
        <w:rPr>
          <w:rFonts w:cs="Arial"/>
          <w:b/>
          <w:sz w:val="22"/>
        </w:rPr>
        <w:t xml:space="preserve"> </w:t>
      </w:r>
      <w:r>
        <w:rPr>
          <w:rFonts w:ascii="Times New Roman" w:eastAsia="Times New Roman" w:hAnsi="Times New Roman"/>
        </w:rPr>
        <w:t xml:space="preserve"> </w:t>
      </w:r>
    </w:p>
    <w:p w14:paraId="17593761" w14:textId="77777777" w:rsidR="00C0250B" w:rsidRDefault="00EC5B5B">
      <w:pPr>
        <w:numPr>
          <w:ilvl w:val="0"/>
          <w:numId w:val="1"/>
        </w:numPr>
        <w:spacing w:after="0" w:line="248" w:lineRule="auto"/>
        <w:ind w:right="0" w:hanging="360"/>
        <w:jc w:val="left"/>
      </w:pPr>
      <w:r>
        <w:rPr>
          <w:sz w:val="22"/>
        </w:rPr>
        <w:t xml:space="preserve">BRASIL. Ministério da Saúde. Agência Nacional de Vigilância Sanitária. </w:t>
      </w:r>
      <w:r>
        <w:rPr>
          <w:rFonts w:cs="Arial"/>
          <w:b/>
          <w:sz w:val="22"/>
        </w:rPr>
        <w:t>Resolução RDC nº 379, de 26 de abril de 1999</w:t>
      </w:r>
      <w:r>
        <w:rPr>
          <w:sz w:val="22"/>
        </w:rPr>
        <w:t>.</w:t>
      </w:r>
      <w:r>
        <w:rPr>
          <w:rFonts w:cs="Arial"/>
          <w:i/>
          <w:sz w:val="22"/>
        </w:rPr>
        <w:t xml:space="preserve"> </w:t>
      </w:r>
      <w:r>
        <w:rPr>
          <w:sz w:val="22"/>
        </w:rPr>
        <w:t xml:space="preserve">Dispõe sobre o regulamento técnico para fixação de identidade e qualidade de gelados comestíveis, preparados, pós para o preparo e bases para gelados comestíveis. Disponível em: </w:t>
      </w:r>
    </w:p>
    <w:p w14:paraId="54AE511D" w14:textId="77777777" w:rsidR="00C0250B" w:rsidRDefault="00EC5B5B">
      <w:pPr>
        <w:spacing w:after="257" w:line="237" w:lineRule="auto"/>
        <w:ind w:left="716" w:right="0" w:hanging="10"/>
        <w:jc w:val="left"/>
      </w:pPr>
      <w:hyperlink r:id="rId62">
        <w:r>
          <w:rPr>
            <w:sz w:val="22"/>
          </w:rPr>
          <w:t>&lt;</w:t>
        </w:r>
      </w:hyperlink>
      <w:hyperlink r:id="rId63">
        <w:r>
          <w:rPr>
            <w:color w:val="1155CC"/>
            <w:sz w:val="22"/>
            <w:u w:val="single" w:color="1155CC"/>
          </w:rPr>
          <w:t xml:space="preserve">https://bvsms.saude.gov.br/bvs/saudelegis/svs1/1999/prt0379_26_04_1999.ht </w:t>
        </w:r>
      </w:hyperlink>
      <w:hyperlink r:id="rId64">
        <w:r>
          <w:rPr>
            <w:color w:val="1155CC"/>
            <w:sz w:val="22"/>
            <w:u w:val="single" w:color="1155CC"/>
          </w:rPr>
          <w:t>ml</w:t>
        </w:r>
      </w:hyperlink>
      <w:hyperlink r:id="rId65">
        <w:r>
          <w:rPr>
            <w:sz w:val="22"/>
          </w:rPr>
          <w:t>&gt;</w:t>
        </w:r>
      </w:hyperlink>
      <w:r>
        <w:rPr>
          <w:sz w:val="22"/>
        </w:rPr>
        <w:t>. Acesso em: 16/05/2023.</w:t>
      </w:r>
      <w:r>
        <w:rPr>
          <w:rFonts w:ascii="Times New Roman" w:eastAsia="Times New Roman" w:hAnsi="Times New Roman"/>
        </w:rPr>
        <w:t xml:space="preserve"> </w:t>
      </w:r>
    </w:p>
    <w:p w14:paraId="3E6AAD50" w14:textId="77777777" w:rsidR="00C0250B" w:rsidRDefault="00EC5B5B">
      <w:pPr>
        <w:numPr>
          <w:ilvl w:val="0"/>
          <w:numId w:val="1"/>
        </w:numPr>
        <w:spacing w:after="0" w:line="248" w:lineRule="auto"/>
        <w:ind w:right="0" w:hanging="360"/>
        <w:jc w:val="left"/>
      </w:pPr>
      <w:r>
        <w:rPr>
          <w:sz w:val="22"/>
        </w:rPr>
        <w:t xml:space="preserve">FAGUNDES, A. et al. Um estudo sobre a satisfação do consumidor esportivo que frequenta estádios de futebol em Belo Horizonte. </w:t>
      </w:r>
      <w:r>
        <w:rPr>
          <w:rFonts w:cs="Arial"/>
          <w:b/>
          <w:sz w:val="22"/>
        </w:rPr>
        <w:t>Rev. Eletrônica de Ciência Administrativa</w:t>
      </w:r>
      <w:r>
        <w:rPr>
          <w:sz w:val="22"/>
        </w:rPr>
        <w:t xml:space="preserve">, Campo Largo, v. 12, n. 1, p. 121-135, abr. 2013. ISSN 1677-7387. Disponível em: </w:t>
      </w:r>
    </w:p>
    <w:p w14:paraId="1D879F7F" w14:textId="77777777" w:rsidR="00C0250B" w:rsidRDefault="00EC5B5B">
      <w:pPr>
        <w:spacing w:after="257" w:line="237" w:lineRule="auto"/>
        <w:ind w:left="716" w:right="0" w:hanging="10"/>
        <w:jc w:val="left"/>
      </w:pPr>
      <w:hyperlink r:id="rId66">
        <w:r>
          <w:rPr>
            <w:sz w:val="22"/>
          </w:rPr>
          <w:t>&lt;</w:t>
        </w:r>
      </w:hyperlink>
      <w:hyperlink r:id="rId67">
        <w:r>
          <w:rPr>
            <w:color w:val="1155CC"/>
            <w:sz w:val="22"/>
            <w:u w:val="single" w:color="1155CC"/>
          </w:rPr>
          <w:t>http://periodicosibepes.org.br/index.php/recadm/article/view/1205</w:t>
        </w:r>
      </w:hyperlink>
      <w:hyperlink r:id="rId68">
        <w:r>
          <w:rPr>
            <w:sz w:val="22"/>
          </w:rPr>
          <w:t>&gt;</w:t>
        </w:r>
      </w:hyperlink>
      <w:r>
        <w:rPr>
          <w:sz w:val="22"/>
        </w:rPr>
        <w:t>. Acesso em: 17/05/2023.</w:t>
      </w:r>
      <w:r>
        <w:rPr>
          <w:rFonts w:ascii="Times New Roman" w:eastAsia="Times New Roman" w:hAnsi="Times New Roman"/>
        </w:rPr>
        <w:t xml:space="preserve"> </w:t>
      </w:r>
    </w:p>
    <w:p w14:paraId="76FE7EE9" w14:textId="77777777" w:rsidR="00C0250B" w:rsidRDefault="00EC5B5B">
      <w:pPr>
        <w:numPr>
          <w:ilvl w:val="0"/>
          <w:numId w:val="1"/>
        </w:numPr>
        <w:spacing w:after="1" w:line="244" w:lineRule="auto"/>
        <w:ind w:right="0" w:hanging="360"/>
        <w:jc w:val="left"/>
      </w:pPr>
      <w:r>
        <w:rPr>
          <w:sz w:val="22"/>
        </w:rPr>
        <w:t xml:space="preserve">SANT´ANA, A.; AZEREDO, D. COMPARAÇÃO ENTRE O SISTEMA PETRIFILM RSA E A METODOLOGIA CONVENCIONAL PARA A ENUMERAÇÃO DE ESTAFILOCOCOS COAGULASE POSITIVA EM </w:t>
      </w:r>
    </w:p>
    <w:p w14:paraId="1C579E31" w14:textId="77777777" w:rsidR="00C0250B" w:rsidRDefault="00EC5B5B">
      <w:pPr>
        <w:spacing w:after="0" w:line="248" w:lineRule="auto"/>
        <w:ind w:left="721" w:right="0" w:firstLine="0"/>
        <w:jc w:val="left"/>
      </w:pPr>
      <w:r>
        <w:rPr>
          <w:sz w:val="22"/>
        </w:rPr>
        <w:t xml:space="preserve">ALIMENTOS ®. </w:t>
      </w:r>
      <w:r>
        <w:rPr>
          <w:rFonts w:cs="Arial"/>
          <w:b/>
          <w:sz w:val="22"/>
        </w:rPr>
        <w:t xml:space="preserve">Rev. Ciênc. Tecnol. Aliment. </w:t>
      </w:r>
      <w:r>
        <w:rPr>
          <w:sz w:val="22"/>
        </w:rPr>
        <w:t xml:space="preserve">Campinas, v. 25, n.3, p. 531535, jul/set. 2005. Disponível em: </w:t>
      </w:r>
    </w:p>
    <w:p w14:paraId="685C86B4" w14:textId="77777777" w:rsidR="00C0250B" w:rsidRDefault="00EC5B5B">
      <w:pPr>
        <w:spacing w:after="257" w:line="237" w:lineRule="auto"/>
        <w:ind w:left="716" w:right="0" w:hanging="10"/>
        <w:jc w:val="left"/>
      </w:pPr>
      <w:hyperlink r:id="rId69">
        <w:r>
          <w:rPr>
            <w:sz w:val="22"/>
          </w:rPr>
          <w:t>&lt;</w:t>
        </w:r>
      </w:hyperlink>
      <w:hyperlink r:id="rId70">
        <w:r>
          <w:rPr>
            <w:color w:val="1155CC"/>
            <w:sz w:val="22"/>
            <w:u w:val="single" w:color="1155CC"/>
          </w:rPr>
          <w:t>https://www.redalyc.org/articulo.oa?id=395940075023</w:t>
        </w:r>
      </w:hyperlink>
      <w:hyperlink r:id="rId71">
        <w:r>
          <w:rPr>
            <w:sz w:val="22"/>
          </w:rPr>
          <w:t>&gt;</w:t>
        </w:r>
      </w:hyperlink>
      <w:r>
        <w:rPr>
          <w:sz w:val="22"/>
        </w:rPr>
        <w:t>. Acesso em: 20/09/2023.</w:t>
      </w:r>
      <w:r>
        <w:rPr>
          <w:rFonts w:ascii="Times New Roman" w:eastAsia="Times New Roman" w:hAnsi="Times New Roman"/>
        </w:rPr>
        <w:t xml:space="preserve"> </w:t>
      </w:r>
    </w:p>
    <w:p w14:paraId="40A89D7A" w14:textId="77777777" w:rsidR="00C0250B" w:rsidRDefault="00EC5B5B">
      <w:pPr>
        <w:numPr>
          <w:ilvl w:val="0"/>
          <w:numId w:val="1"/>
        </w:numPr>
        <w:spacing w:after="242" w:line="248" w:lineRule="auto"/>
        <w:ind w:right="0" w:hanging="360"/>
        <w:jc w:val="left"/>
      </w:pPr>
      <w:r>
        <w:rPr>
          <w:sz w:val="22"/>
        </w:rPr>
        <w:t xml:space="preserve">SHINOHARA, N. K. S., BARROS, V. B., JIMENEZ, S. M. C., MACHADO, E. C. L., DUTRA, R. A. F. &amp; LIMA FILHO, J. L. 2008. Salmonella spp., importante agente patogênico veiculado em alimentos. </w:t>
      </w:r>
      <w:r>
        <w:rPr>
          <w:rFonts w:cs="Arial"/>
          <w:b/>
          <w:sz w:val="22"/>
        </w:rPr>
        <w:t>Ciência e Saúde Coletiva</w:t>
      </w:r>
      <w:r>
        <w:rPr>
          <w:sz w:val="22"/>
        </w:rPr>
        <w:t>. v. 13, n.05, p. 1-9, 2008. Disponível em:&lt;</w:t>
      </w:r>
      <w:hyperlink r:id="rId72">
        <w:r>
          <w:rPr>
            <w:color w:val="1155CC"/>
            <w:sz w:val="22"/>
            <w:u w:val="single" w:color="1155CC"/>
          </w:rPr>
          <w:t>https://www.scielo.br/j/csc/a/vzk44zy3zYQxMD5YN38jY4s/?lang=</w:t>
        </w:r>
      </w:hyperlink>
      <w:hyperlink r:id="rId73">
        <w:r>
          <w:rPr>
            <w:color w:val="1155CC"/>
            <w:sz w:val="22"/>
            <w:u w:val="single" w:color="1155CC"/>
          </w:rPr>
          <w:t>p</w:t>
        </w:r>
      </w:hyperlink>
      <w:hyperlink r:id="rId74">
        <w:r>
          <w:rPr>
            <w:rFonts w:cs="Arial"/>
            <w:b/>
            <w:color w:val="1155CC"/>
            <w:sz w:val="22"/>
            <w:u w:val="single" w:color="1155CC"/>
          </w:rPr>
          <w:t>t</w:t>
        </w:r>
      </w:hyperlink>
      <w:hyperlink r:id="rId75">
        <w:r>
          <w:rPr>
            <w:rFonts w:cs="Arial"/>
            <w:b/>
            <w:sz w:val="22"/>
          </w:rPr>
          <w:t xml:space="preserve"> </w:t>
        </w:r>
      </w:hyperlink>
      <w:r>
        <w:rPr>
          <w:sz w:val="22"/>
        </w:rPr>
        <w:t xml:space="preserve">&gt;. Acesso em: 09/10/2023. </w:t>
      </w:r>
      <w:r>
        <w:rPr>
          <w:rFonts w:ascii="Times New Roman" w:eastAsia="Times New Roman" w:hAnsi="Times New Roman"/>
        </w:rPr>
        <w:t xml:space="preserve"> </w:t>
      </w:r>
    </w:p>
    <w:p w14:paraId="1FAE355A" w14:textId="77777777" w:rsidR="00C0250B" w:rsidRDefault="00EC5B5B">
      <w:pPr>
        <w:numPr>
          <w:ilvl w:val="0"/>
          <w:numId w:val="1"/>
        </w:numPr>
        <w:spacing w:after="242" w:line="248" w:lineRule="auto"/>
        <w:ind w:right="0" w:hanging="360"/>
        <w:jc w:val="left"/>
      </w:pPr>
      <w:r>
        <w:rPr>
          <w:sz w:val="22"/>
        </w:rPr>
        <w:t xml:space="preserve">SILVA, N. et al. </w:t>
      </w:r>
      <w:r>
        <w:rPr>
          <w:rFonts w:cs="Arial"/>
          <w:b/>
          <w:sz w:val="22"/>
        </w:rPr>
        <w:t>Manual de métodos de análise microbiológicas de alimentos</w:t>
      </w:r>
      <w:r>
        <w:rPr>
          <w:sz w:val="22"/>
        </w:rPr>
        <w:t>. 3ª edição. São Paulo: Blucher, 01 de jul. de 2007.</w:t>
      </w:r>
      <w:r>
        <w:rPr>
          <w:rFonts w:ascii="Times New Roman" w:eastAsia="Times New Roman" w:hAnsi="Times New Roman"/>
        </w:rPr>
        <w:t xml:space="preserve"> </w:t>
      </w:r>
    </w:p>
    <w:p w14:paraId="794183FA" w14:textId="77777777" w:rsidR="00C0250B" w:rsidRDefault="00EC5B5B">
      <w:pPr>
        <w:numPr>
          <w:ilvl w:val="0"/>
          <w:numId w:val="1"/>
        </w:numPr>
        <w:spacing w:after="1" w:line="244" w:lineRule="auto"/>
        <w:ind w:right="0" w:hanging="360"/>
        <w:jc w:val="left"/>
      </w:pPr>
      <w:r>
        <w:rPr>
          <w:sz w:val="22"/>
        </w:rPr>
        <w:t xml:space="preserve">SOUSA, P.; SILVA, J. Monitoramento da qualidade do leite humano ordenhado e distribuído em banco de leite de referência. </w:t>
      </w:r>
      <w:r>
        <w:rPr>
          <w:rFonts w:cs="Arial"/>
          <w:b/>
          <w:sz w:val="22"/>
        </w:rPr>
        <w:t>Rev. do Instituto Adolfo Lutz</w:t>
      </w:r>
      <w:r>
        <w:rPr>
          <w:sz w:val="22"/>
        </w:rPr>
        <w:t xml:space="preserve">, [S. l.], v. 69, n. 1, p. 7-14, 2010. Disponível em: </w:t>
      </w:r>
    </w:p>
    <w:p w14:paraId="6170F632" w14:textId="77777777" w:rsidR="00C0250B" w:rsidRDefault="00EC5B5B">
      <w:pPr>
        <w:spacing w:after="257" w:line="237" w:lineRule="auto"/>
        <w:ind w:left="716" w:right="0" w:hanging="10"/>
        <w:jc w:val="left"/>
      </w:pPr>
      <w:hyperlink r:id="rId76">
        <w:r>
          <w:rPr>
            <w:sz w:val="22"/>
          </w:rPr>
          <w:t>&lt;</w:t>
        </w:r>
      </w:hyperlink>
      <w:hyperlink r:id="rId77">
        <w:r>
          <w:rPr>
            <w:color w:val="1155CC"/>
            <w:sz w:val="22"/>
            <w:u w:val="single" w:color="1155CC"/>
          </w:rPr>
          <w:t>https://periodicos.saude.sp.gov.br/RIAL/article/view/32669</w:t>
        </w:r>
      </w:hyperlink>
      <w:hyperlink r:id="rId78">
        <w:r>
          <w:rPr>
            <w:sz w:val="22"/>
          </w:rPr>
          <w:t>&gt;</w:t>
        </w:r>
      </w:hyperlink>
      <w:r>
        <w:rPr>
          <w:sz w:val="22"/>
        </w:rPr>
        <w:t>. Acesso em: 16/05/2023.</w:t>
      </w:r>
      <w:r>
        <w:rPr>
          <w:rFonts w:ascii="Times New Roman" w:eastAsia="Times New Roman" w:hAnsi="Times New Roman"/>
        </w:rPr>
        <w:t xml:space="preserve"> </w:t>
      </w:r>
    </w:p>
    <w:p w14:paraId="45A1B70D" w14:textId="77777777" w:rsidR="00C0250B" w:rsidRDefault="00EC5B5B">
      <w:pPr>
        <w:numPr>
          <w:ilvl w:val="0"/>
          <w:numId w:val="1"/>
        </w:numPr>
        <w:spacing w:after="242" w:line="248" w:lineRule="auto"/>
        <w:ind w:right="0" w:hanging="360"/>
        <w:jc w:val="left"/>
      </w:pPr>
      <w:r>
        <w:rPr>
          <w:sz w:val="22"/>
        </w:rPr>
        <w:t xml:space="preserve">SOUZA, P.; GONÇALVES, S.; DIAS. Aplicação das boas práticas por manipuladores de alimentos em pontos de venda de gelados comestíveis. </w:t>
      </w:r>
      <w:r>
        <w:rPr>
          <w:rFonts w:cs="Arial"/>
          <w:b/>
          <w:sz w:val="22"/>
        </w:rPr>
        <w:t>Rev. Hig Alimentar</w:t>
      </w:r>
      <w:r>
        <w:rPr>
          <w:sz w:val="22"/>
        </w:rPr>
        <w:t>, [S. l.], v. 31, n 268/269, p. 56-61, maio/jun, 2017. Disponível em: &lt;</w:t>
      </w:r>
      <w:hyperlink r:id="rId79">
        <w:r>
          <w:rPr>
            <w:color w:val="1155CC"/>
            <w:sz w:val="22"/>
            <w:u w:val="single" w:color="1155CC"/>
          </w:rPr>
          <w:t>https://pesquisa.bvsalud.org/portal/resource/pt/biblio</w:t>
        </w:r>
      </w:hyperlink>
      <w:hyperlink r:id="rId80">
        <w:r>
          <w:rPr>
            <w:color w:val="1155CC"/>
            <w:sz w:val="22"/>
            <w:u w:val="single" w:color="1155CC"/>
          </w:rPr>
          <w:t>-</w:t>
        </w:r>
      </w:hyperlink>
      <w:hyperlink r:id="rId81">
        <w:r>
          <w:rPr>
            <w:color w:val="1155CC"/>
            <w:sz w:val="22"/>
            <w:u w:val="single" w:color="1155CC"/>
          </w:rPr>
          <w:t>837466</w:t>
        </w:r>
      </w:hyperlink>
      <w:hyperlink r:id="rId82">
        <w:r>
          <w:rPr>
            <w:sz w:val="22"/>
          </w:rPr>
          <w:t>&gt;</w:t>
        </w:r>
      </w:hyperlink>
      <w:r>
        <w:rPr>
          <w:sz w:val="22"/>
        </w:rPr>
        <w:t>. Acesso em: 16/05/2023.</w:t>
      </w:r>
      <w:r>
        <w:rPr>
          <w:rFonts w:ascii="Times New Roman" w:eastAsia="Times New Roman" w:hAnsi="Times New Roman"/>
        </w:rPr>
        <w:t xml:space="preserve"> </w:t>
      </w:r>
    </w:p>
    <w:p w14:paraId="67F85439" w14:textId="77777777" w:rsidR="00C0250B" w:rsidRDefault="00EC5B5B">
      <w:pPr>
        <w:numPr>
          <w:ilvl w:val="0"/>
          <w:numId w:val="1"/>
        </w:numPr>
        <w:spacing w:after="1" w:line="244" w:lineRule="auto"/>
        <w:ind w:right="0" w:hanging="360"/>
        <w:jc w:val="left"/>
      </w:pPr>
      <w:r>
        <w:rPr>
          <w:sz w:val="22"/>
        </w:rPr>
        <w:t xml:space="preserve">WARKE, R.; KAMAT, A.; KAMAT, M.; THOMAS, P. Incidence of pathogenic psychotrophs in ice cream sold in some retail outlets in Mumbai, India. </w:t>
      </w:r>
      <w:r>
        <w:rPr>
          <w:rFonts w:cs="Arial"/>
          <w:b/>
          <w:sz w:val="22"/>
        </w:rPr>
        <w:t xml:space="preserve">Food Control, </w:t>
      </w:r>
      <w:r>
        <w:rPr>
          <w:sz w:val="22"/>
        </w:rPr>
        <w:t>v.11, n. 02, p. 77-83, 2000</w:t>
      </w:r>
      <w:r>
        <w:rPr>
          <w:rFonts w:cs="Arial"/>
          <w:b/>
          <w:sz w:val="22"/>
        </w:rPr>
        <w:t xml:space="preserve">. </w:t>
      </w:r>
      <w:r>
        <w:rPr>
          <w:sz w:val="22"/>
        </w:rPr>
        <w:t xml:space="preserve">Disponível </w:t>
      </w:r>
    </w:p>
    <w:p w14:paraId="3CC3FB21" w14:textId="77777777" w:rsidR="00C0250B" w:rsidRDefault="00EC5B5B">
      <w:pPr>
        <w:spacing w:after="4" w:line="237" w:lineRule="auto"/>
        <w:ind w:left="716" w:right="0" w:hanging="10"/>
        <w:jc w:val="left"/>
      </w:pPr>
      <w:r>
        <w:rPr>
          <w:sz w:val="22"/>
        </w:rPr>
        <w:t>em:&lt;</w:t>
      </w:r>
      <w:hyperlink r:id="rId83">
        <w:r>
          <w:rPr>
            <w:color w:val="1155CC"/>
            <w:sz w:val="22"/>
            <w:u w:val="single" w:color="1155CC"/>
          </w:rPr>
          <w:t>https://www.semanticscholar.org/paper/Incidence</w:t>
        </w:r>
      </w:hyperlink>
      <w:hyperlink r:id="rId84">
        <w:r>
          <w:rPr>
            <w:color w:val="1155CC"/>
            <w:sz w:val="22"/>
            <w:u w:val="single" w:color="1155CC"/>
          </w:rPr>
          <w:t>-</w:t>
        </w:r>
      </w:hyperlink>
      <w:hyperlink r:id="rId85">
        <w:r>
          <w:rPr>
            <w:color w:val="1155CC"/>
            <w:sz w:val="22"/>
            <w:u w:val="single" w:color="1155CC"/>
          </w:rPr>
          <w:t>of</w:t>
        </w:r>
      </w:hyperlink>
      <w:hyperlink r:id="rId86">
        <w:r>
          <w:rPr>
            <w:color w:val="1155CC"/>
            <w:sz w:val="22"/>
            <w:u w:val="single" w:color="1155CC"/>
          </w:rPr>
          <w:t>-</w:t>
        </w:r>
      </w:hyperlink>
      <w:hyperlink r:id="rId87">
        <w:r>
          <w:rPr>
            <w:color w:val="1155CC"/>
            <w:sz w:val="22"/>
            <w:u w:val="single" w:color="1155CC"/>
          </w:rPr>
          <w:t>pathogenic</w:t>
        </w:r>
      </w:hyperlink>
      <w:hyperlink r:id="rId88"/>
      <w:hyperlink r:id="rId89">
        <w:r>
          <w:rPr>
            <w:color w:val="1155CC"/>
            <w:sz w:val="22"/>
            <w:u w:val="single" w:color="1155CC"/>
          </w:rPr>
          <w:t>psychrotrophs</w:t>
        </w:r>
      </w:hyperlink>
      <w:hyperlink r:id="rId90">
        <w:r>
          <w:rPr>
            <w:color w:val="1155CC"/>
            <w:sz w:val="22"/>
            <w:u w:val="single" w:color="1155CC"/>
          </w:rPr>
          <w:t>-</w:t>
        </w:r>
      </w:hyperlink>
      <w:hyperlink r:id="rId91">
        <w:r>
          <w:rPr>
            <w:color w:val="1155CC"/>
            <w:sz w:val="22"/>
            <w:u w:val="single" w:color="1155CC"/>
          </w:rPr>
          <w:t>in</w:t>
        </w:r>
      </w:hyperlink>
      <w:hyperlink r:id="rId92">
        <w:r>
          <w:rPr>
            <w:color w:val="1155CC"/>
            <w:sz w:val="22"/>
            <w:u w:val="single" w:color="1155CC"/>
          </w:rPr>
          <w:t>-</w:t>
        </w:r>
      </w:hyperlink>
      <w:hyperlink r:id="rId93">
        <w:r>
          <w:rPr>
            <w:color w:val="1155CC"/>
            <w:sz w:val="22"/>
            <w:u w:val="single" w:color="1155CC"/>
          </w:rPr>
          <w:t>ice</w:t>
        </w:r>
      </w:hyperlink>
      <w:hyperlink r:id="rId94">
        <w:r>
          <w:rPr>
            <w:color w:val="1155CC"/>
            <w:sz w:val="22"/>
            <w:u w:val="single" w:color="1155CC"/>
          </w:rPr>
          <w:t>-</w:t>
        </w:r>
      </w:hyperlink>
      <w:hyperlink r:id="rId95">
        <w:r>
          <w:rPr>
            <w:color w:val="1155CC"/>
            <w:sz w:val="22"/>
            <w:u w:val="single" w:color="1155CC"/>
          </w:rPr>
          <w:t>creams</w:t>
        </w:r>
      </w:hyperlink>
      <w:hyperlink r:id="rId96">
        <w:r>
          <w:rPr>
            <w:color w:val="1155CC"/>
            <w:sz w:val="22"/>
            <w:u w:val="single" w:color="1155CC"/>
          </w:rPr>
          <w:t>-</w:t>
        </w:r>
      </w:hyperlink>
      <w:hyperlink r:id="rId97">
        <w:r>
          <w:rPr>
            <w:color w:val="1155CC"/>
            <w:sz w:val="22"/>
            <w:u w:val="single" w:color="1155CC"/>
          </w:rPr>
          <w:t>Warke</w:t>
        </w:r>
      </w:hyperlink>
      <w:hyperlink r:id="rId98">
        <w:r>
          <w:rPr>
            <w:color w:val="1155CC"/>
            <w:sz w:val="22"/>
            <w:u w:val="single" w:color="1155CC"/>
          </w:rPr>
          <w:t>-</w:t>
        </w:r>
      </w:hyperlink>
    </w:p>
    <w:p w14:paraId="4585F475" w14:textId="77777777" w:rsidR="00C0250B" w:rsidRDefault="00EC5B5B">
      <w:pPr>
        <w:spacing w:after="2" w:line="237" w:lineRule="auto"/>
        <w:ind w:left="716" w:right="0" w:hanging="10"/>
        <w:jc w:val="left"/>
      </w:pPr>
      <w:hyperlink r:id="rId99">
        <w:r>
          <w:rPr>
            <w:color w:val="1155CC"/>
            <w:sz w:val="22"/>
            <w:u w:val="single" w:color="1155CC"/>
          </w:rPr>
          <w:t>Kamat/631f85af9738cc7dd1c5194c66a3cef94cbc66e9</w:t>
        </w:r>
      </w:hyperlink>
      <w:hyperlink r:id="rId100">
        <w:r>
          <w:rPr>
            <w:sz w:val="22"/>
          </w:rPr>
          <w:t>&gt;</w:t>
        </w:r>
      </w:hyperlink>
      <w:r>
        <w:rPr>
          <w:sz w:val="22"/>
        </w:rPr>
        <w:t xml:space="preserve">. Acesso em: 03/05/2023. </w:t>
      </w:r>
      <w:r>
        <w:t xml:space="preserve"> </w:t>
      </w:r>
    </w:p>
    <w:p w14:paraId="3F0013AE" w14:textId="77777777" w:rsidR="00C0250B" w:rsidRDefault="00EC5B5B">
      <w:pPr>
        <w:spacing w:after="0" w:line="259" w:lineRule="auto"/>
        <w:ind w:right="0" w:firstLine="0"/>
        <w:jc w:val="left"/>
      </w:pPr>
      <w:r>
        <w:t xml:space="preserve"> </w:t>
      </w:r>
    </w:p>
    <w:p w14:paraId="00FFD8A0" w14:textId="77777777" w:rsidR="00C0250B" w:rsidRDefault="00EC5B5B">
      <w:pPr>
        <w:spacing w:after="0" w:line="259" w:lineRule="auto"/>
        <w:ind w:right="0" w:firstLine="0"/>
        <w:jc w:val="left"/>
      </w:pPr>
      <w:r>
        <w:t xml:space="preserve"> </w:t>
      </w:r>
    </w:p>
    <w:p w14:paraId="72262081" w14:textId="77777777" w:rsidR="00C0250B" w:rsidRDefault="00EC5B5B">
      <w:pPr>
        <w:spacing w:after="0" w:line="259" w:lineRule="auto"/>
        <w:ind w:right="0" w:firstLine="0"/>
        <w:jc w:val="left"/>
      </w:pPr>
      <w:r>
        <w:t xml:space="preserve"> </w:t>
      </w:r>
    </w:p>
    <w:p w14:paraId="3BB9DF6A" w14:textId="77777777" w:rsidR="00C0250B" w:rsidRDefault="00EC5B5B">
      <w:pPr>
        <w:spacing w:after="0" w:line="259" w:lineRule="auto"/>
        <w:ind w:right="0" w:firstLine="0"/>
        <w:jc w:val="left"/>
      </w:pPr>
      <w:r>
        <w:t xml:space="preserve"> </w:t>
      </w:r>
    </w:p>
    <w:p w14:paraId="64BCAFC3" w14:textId="77777777" w:rsidR="00C0250B" w:rsidRDefault="00EC5B5B">
      <w:pPr>
        <w:spacing w:after="0" w:line="259" w:lineRule="auto"/>
        <w:ind w:right="0" w:firstLine="0"/>
        <w:jc w:val="left"/>
      </w:pPr>
      <w:r>
        <w:t xml:space="preserve"> </w:t>
      </w:r>
    </w:p>
    <w:p w14:paraId="35AFA5E8" w14:textId="77777777" w:rsidR="00C0250B" w:rsidRDefault="00EC5B5B">
      <w:pPr>
        <w:spacing w:after="0" w:line="259" w:lineRule="auto"/>
        <w:ind w:right="0" w:firstLine="0"/>
        <w:jc w:val="left"/>
      </w:pPr>
      <w:r>
        <w:t xml:space="preserve"> </w:t>
      </w:r>
    </w:p>
    <w:p w14:paraId="2E7C757F" w14:textId="77777777" w:rsidR="00C0250B" w:rsidRDefault="00EC5B5B">
      <w:pPr>
        <w:spacing w:after="0" w:line="259" w:lineRule="auto"/>
        <w:ind w:right="0" w:firstLine="0"/>
        <w:jc w:val="left"/>
      </w:pPr>
      <w:r>
        <w:t xml:space="preserve"> </w:t>
      </w:r>
    </w:p>
    <w:p w14:paraId="77B45629" w14:textId="77777777" w:rsidR="00C0250B" w:rsidRDefault="00EC5B5B">
      <w:pPr>
        <w:spacing w:after="0" w:line="259" w:lineRule="auto"/>
        <w:ind w:right="0" w:firstLine="0"/>
        <w:jc w:val="left"/>
      </w:pPr>
      <w:r>
        <w:t xml:space="preserve"> </w:t>
      </w:r>
    </w:p>
    <w:p w14:paraId="5C5A589B" w14:textId="77777777" w:rsidR="00C0250B" w:rsidRDefault="00EC5B5B">
      <w:pPr>
        <w:spacing w:after="0" w:line="259" w:lineRule="auto"/>
        <w:ind w:right="0" w:firstLine="0"/>
        <w:jc w:val="left"/>
      </w:pPr>
      <w:r>
        <w:t xml:space="preserve"> </w:t>
      </w:r>
    </w:p>
    <w:p w14:paraId="110619F0" w14:textId="77777777" w:rsidR="00C0250B" w:rsidRDefault="00EC5B5B">
      <w:pPr>
        <w:spacing w:after="0" w:line="259" w:lineRule="auto"/>
        <w:ind w:right="0" w:firstLine="0"/>
        <w:jc w:val="left"/>
      </w:pPr>
      <w:r>
        <w:t xml:space="preserve"> </w:t>
      </w:r>
    </w:p>
    <w:p w14:paraId="321DC7AF" w14:textId="77777777" w:rsidR="00C0250B" w:rsidRDefault="00EC5B5B">
      <w:pPr>
        <w:spacing w:after="0" w:line="259" w:lineRule="auto"/>
        <w:ind w:right="0" w:firstLine="0"/>
        <w:jc w:val="left"/>
      </w:pPr>
      <w:r>
        <w:t xml:space="preserve"> </w:t>
      </w:r>
    </w:p>
    <w:p w14:paraId="3B824098" w14:textId="77777777" w:rsidR="00C0250B" w:rsidRDefault="00EC5B5B">
      <w:pPr>
        <w:spacing w:after="0" w:line="259" w:lineRule="auto"/>
        <w:ind w:right="0" w:firstLine="0"/>
        <w:jc w:val="left"/>
      </w:pPr>
      <w:r>
        <w:t xml:space="preserve"> </w:t>
      </w:r>
    </w:p>
    <w:p w14:paraId="0EF4CDA8" w14:textId="77777777" w:rsidR="00C0250B" w:rsidRDefault="00EC5B5B">
      <w:pPr>
        <w:spacing w:after="0" w:line="259" w:lineRule="auto"/>
        <w:ind w:right="0" w:firstLine="0"/>
        <w:jc w:val="left"/>
      </w:pPr>
      <w:r>
        <w:t xml:space="preserve"> </w:t>
      </w:r>
    </w:p>
    <w:p w14:paraId="60824F9D" w14:textId="77777777" w:rsidR="00C0250B" w:rsidRDefault="00EC5B5B">
      <w:pPr>
        <w:spacing w:after="0" w:line="259" w:lineRule="auto"/>
        <w:ind w:right="0" w:firstLine="0"/>
        <w:jc w:val="left"/>
      </w:pPr>
      <w:r>
        <w:t xml:space="preserve"> </w:t>
      </w:r>
    </w:p>
    <w:p w14:paraId="023532F9" w14:textId="77777777" w:rsidR="00C0250B" w:rsidRDefault="00EC5B5B">
      <w:pPr>
        <w:spacing w:after="0" w:line="259" w:lineRule="auto"/>
        <w:ind w:right="0" w:firstLine="0"/>
        <w:jc w:val="left"/>
      </w:pPr>
      <w:r>
        <w:t xml:space="preserve"> </w:t>
      </w:r>
    </w:p>
    <w:p w14:paraId="4DF13460" w14:textId="77777777" w:rsidR="00C0250B" w:rsidRDefault="00EC5B5B">
      <w:pPr>
        <w:spacing w:after="0" w:line="259" w:lineRule="auto"/>
        <w:ind w:right="0" w:firstLine="0"/>
        <w:jc w:val="left"/>
      </w:pPr>
      <w:r>
        <w:t xml:space="preserve"> </w:t>
      </w:r>
    </w:p>
    <w:sectPr w:rsidR="00C0250B">
      <w:headerReference w:type="even" r:id="rId101"/>
      <w:headerReference w:type="default" r:id="rId102"/>
      <w:headerReference w:type="first" r:id="rId103"/>
      <w:pgSz w:w="11905" w:h="16840"/>
      <w:pgMar w:top="1423" w:right="1692" w:bottom="67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C06AC" w14:textId="77777777" w:rsidR="00EC5B5B" w:rsidRDefault="00EC5B5B">
      <w:pPr>
        <w:spacing w:after="0"/>
      </w:pPr>
      <w:r>
        <w:separator/>
      </w:r>
    </w:p>
  </w:endnote>
  <w:endnote w:type="continuationSeparator" w:id="0">
    <w:p w14:paraId="234FBAA8" w14:textId="77777777" w:rsidR="00EC5B5B" w:rsidRDefault="00EC5B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84300" w14:textId="77777777" w:rsidR="00EC5B5B" w:rsidRDefault="00EC5B5B">
      <w:pPr>
        <w:spacing w:after="0"/>
      </w:pPr>
      <w:r>
        <w:separator/>
      </w:r>
    </w:p>
  </w:footnote>
  <w:footnote w:type="continuationSeparator" w:id="0">
    <w:p w14:paraId="51AFA778" w14:textId="77777777" w:rsidR="00EC5B5B" w:rsidRDefault="00EC5B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34B20" w14:textId="77777777" w:rsidR="00C0250B" w:rsidRDefault="00C0250B">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8A97" w14:textId="77777777" w:rsidR="00C0250B" w:rsidRDefault="00EC5B5B">
    <w:pPr>
      <w:spacing w:after="0" w:line="259" w:lineRule="auto"/>
      <w:ind w:right="108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0A84BB" wp14:editId="3D92CF47">
              <wp:simplePos x="0" y="0"/>
              <wp:positionH relativeFrom="page">
                <wp:posOffset>540068</wp:posOffset>
              </wp:positionH>
              <wp:positionV relativeFrom="page">
                <wp:posOffset>898906</wp:posOffset>
              </wp:positionV>
              <wp:extent cx="6308154" cy="342900"/>
              <wp:effectExtent l="0" t="0" r="0" b="0"/>
              <wp:wrapSquare wrapText="bothSides"/>
              <wp:docPr id="22822" name="Group 22822"/>
              <wp:cNvGraphicFramePr/>
              <a:graphic xmlns:a="http://schemas.openxmlformats.org/drawingml/2006/main">
                <a:graphicData uri="http://schemas.microsoft.com/office/word/2010/wordprocessingGroup">
                  <wpg:wgp>
                    <wpg:cNvGrpSpPr/>
                    <wpg:grpSpPr>
                      <a:xfrm>
                        <a:off x="0" y="0"/>
                        <a:ext cx="6308154" cy="342900"/>
                        <a:chOff x="0" y="0"/>
                        <a:chExt cx="6308154" cy="342900"/>
                      </a:xfrm>
                    </wpg:grpSpPr>
                    <wps:wsp>
                      <wps:cNvPr id="23492" name="Shape 234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93" name="Shape 23493"/>
                      <wps:cNvSpPr/>
                      <wps:spPr>
                        <a:xfrm>
                          <a:off x="6350" y="0"/>
                          <a:ext cx="6295391" cy="9144"/>
                        </a:xfrm>
                        <a:custGeom>
                          <a:avLst/>
                          <a:gdLst/>
                          <a:ahLst/>
                          <a:cxnLst/>
                          <a:rect l="0" t="0" r="0" b="0"/>
                          <a:pathLst>
                            <a:path w="6295391" h="9144">
                              <a:moveTo>
                                <a:pt x="0" y="0"/>
                              </a:moveTo>
                              <a:lnTo>
                                <a:pt x="6295391" y="0"/>
                              </a:lnTo>
                              <a:lnTo>
                                <a:pt x="62953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94" name="Shape 23494"/>
                      <wps:cNvSpPr/>
                      <wps:spPr>
                        <a:xfrm>
                          <a:off x="63018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95" name="Shape 23495"/>
                      <wps:cNvSpPr/>
                      <wps:spPr>
                        <a:xfrm>
                          <a:off x="0" y="6350"/>
                          <a:ext cx="9144" cy="330200"/>
                        </a:xfrm>
                        <a:custGeom>
                          <a:avLst/>
                          <a:gdLst/>
                          <a:ahLst/>
                          <a:cxnLst/>
                          <a:rect l="0" t="0" r="0" b="0"/>
                          <a:pathLst>
                            <a:path w="9144" h="330200">
                              <a:moveTo>
                                <a:pt x="0" y="0"/>
                              </a:moveTo>
                              <a:lnTo>
                                <a:pt x="9144" y="0"/>
                              </a:lnTo>
                              <a:lnTo>
                                <a:pt x="9144" y="330200"/>
                              </a:lnTo>
                              <a:lnTo>
                                <a:pt x="0" y="330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96" name="Shape 23496"/>
                      <wps:cNvSpPr/>
                      <wps:spPr>
                        <a:xfrm>
                          <a:off x="0" y="336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97" name="Shape 23497"/>
                      <wps:cNvSpPr/>
                      <wps:spPr>
                        <a:xfrm>
                          <a:off x="6350" y="336550"/>
                          <a:ext cx="6295391" cy="9144"/>
                        </a:xfrm>
                        <a:custGeom>
                          <a:avLst/>
                          <a:gdLst/>
                          <a:ahLst/>
                          <a:cxnLst/>
                          <a:rect l="0" t="0" r="0" b="0"/>
                          <a:pathLst>
                            <a:path w="6295391" h="9144">
                              <a:moveTo>
                                <a:pt x="0" y="0"/>
                              </a:moveTo>
                              <a:lnTo>
                                <a:pt x="6295391" y="0"/>
                              </a:lnTo>
                              <a:lnTo>
                                <a:pt x="62953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98" name="Shape 23498"/>
                      <wps:cNvSpPr/>
                      <wps:spPr>
                        <a:xfrm>
                          <a:off x="6301804" y="6350"/>
                          <a:ext cx="9144" cy="330200"/>
                        </a:xfrm>
                        <a:custGeom>
                          <a:avLst/>
                          <a:gdLst/>
                          <a:ahLst/>
                          <a:cxnLst/>
                          <a:rect l="0" t="0" r="0" b="0"/>
                          <a:pathLst>
                            <a:path w="9144" h="330200">
                              <a:moveTo>
                                <a:pt x="0" y="0"/>
                              </a:moveTo>
                              <a:lnTo>
                                <a:pt x="9144" y="0"/>
                              </a:lnTo>
                              <a:lnTo>
                                <a:pt x="9144" y="330200"/>
                              </a:lnTo>
                              <a:lnTo>
                                <a:pt x="0" y="330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99" name="Shape 23499"/>
                      <wps:cNvSpPr/>
                      <wps:spPr>
                        <a:xfrm>
                          <a:off x="6301804" y="336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22" style="width:496.705pt;height:27pt;position:absolute;mso-position-horizontal-relative:page;mso-position-horizontal:absolute;margin-left:42.525pt;mso-position-vertical-relative:page;margin-top:70.78pt;" coordsize="63081,3429">
              <v:shape id="Shape 23500" style="position:absolute;width:91;height:91;left:0;top:0;" coordsize="9144,9144" path="m0,0l9144,0l9144,9144l0,9144l0,0">
                <v:stroke weight="0pt" endcap="flat" joinstyle="miter" miterlimit="10" on="false" color="#000000" opacity="0"/>
                <v:fill on="true" color="#000000"/>
              </v:shape>
              <v:shape id="Shape 23501" style="position:absolute;width:62953;height:91;left:63;top:0;" coordsize="6295391,9144" path="m0,0l6295391,0l6295391,9144l0,9144l0,0">
                <v:stroke weight="0pt" endcap="flat" joinstyle="miter" miterlimit="10" on="false" color="#000000" opacity="0"/>
                <v:fill on="true" color="#000000"/>
              </v:shape>
              <v:shape id="Shape 23502" style="position:absolute;width:91;height:91;left:63018;top:0;" coordsize="9144,9144" path="m0,0l9144,0l9144,9144l0,9144l0,0">
                <v:stroke weight="0pt" endcap="flat" joinstyle="miter" miterlimit="10" on="false" color="#000000" opacity="0"/>
                <v:fill on="true" color="#000000"/>
              </v:shape>
              <v:shape id="Shape 23503" style="position:absolute;width:91;height:3302;left:0;top:63;" coordsize="9144,330200" path="m0,0l9144,0l9144,330200l0,330200l0,0">
                <v:stroke weight="0pt" endcap="flat" joinstyle="miter" miterlimit="10" on="false" color="#000000" opacity="0"/>
                <v:fill on="true" color="#000000"/>
              </v:shape>
              <v:shape id="Shape 23504" style="position:absolute;width:91;height:91;left:0;top:3365;" coordsize="9144,9144" path="m0,0l9144,0l9144,9144l0,9144l0,0">
                <v:stroke weight="0pt" endcap="flat" joinstyle="miter" miterlimit="10" on="false" color="#000000" opacity="0"/>
                <v:fill on="true" color="#000000"/>
              </v:shape>
              <v:shape id="Shape 23505" style="position:absolute;width:62953;height:91;left:63;top:3365;" coordsize="6295391,9144" path="m0,0l6295391,0l6295391,9144l0,9144l0,0">
                <v:stroke weight="0pt" endcap="flat" joinstyle="miter" miterlimit="10" on="false" color="#000000" opacity="0"/>
                <v:fill on="true" color="#000000"/>
              </v:shape>
              <v:shape id="Shape 23506" style="position:absolute;width:91;height:3302;left:63018;top:63;" coordsize="9144,330200" path="m0,0l9144,0l9144,330200l0,330200l0,0">
                <v:stroke weight="0pt" endcap="flat" joinstyle="miter" miterlimit="10" on="false" color="#000000" opacity="0"/>
                <v:fill on="true" color="#000000"/>
              </v:shape>
              <v:shape id="Shape 23507" style="position:absolute;width:91;height:91;left:63018;top:3365;"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rPr>
      <w:t xml:space="preserve"> </w:t>
    </w:r>
  </w:p>
  <w:p w14:paraId="0D68A76A" w14:textId="77777777" w:rsidR="00C0250B" w:rsidRDefault="00EC5B5B">
    <w:pPr>
      <w:spacing w:after="0" w:line="259" w:lineRule="auto"/>
      <w:ind w:right="0" w:firstLine="0"/>
      <w:jc w:val="left"/>
    </w:pPr>
    <w:r>
      <w:rPr>
        <w:rFonts w:ascii="Times New Roman" w:eastAsia="Times New Roman" w:hAnsi="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2500" w14:textId="77777777" w:rsidR="00C0250B" w:rsidRDefault="00C0250B">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3EC9" w14:textId="77777777" w:rsidR="00C0250B" w:rsidRDefault="00C0250B">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D4826" w14:textId="77777777" w:rsidR="00C0250B" w:rsidRDefault="00C0250B">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23BE" w14:textId="77777777" w:rsidR="00C0250B" w:rsidRDefault="00C0250B">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8649C8"/>
    <w:multiLevelType w:val="hybridMultilevel"/>
    <w:tmpl w:val="FFFFFFFF"/>
    <w:lvl w:ilvl="0" w:tplc="76E00B16">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2DC32">
      <w:start w:val="1"/>
      <w:numFmt w:val="lowerLetter"/>
      <w:lvlText w:val="%2"/>
      <w:lvlJc w:val="left"/>
      <w:pPr>
        <w:ind w:left="1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8710E">
      <w:start w:val="1"/>
      <w:numFmt w:val="lowerRoman"/>
      <w:lvlText w:val="%3"/>
      <w:lvlJc w:val="left"/>
      <w:pPr>
        <w:ind w:left="1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8F50">
      <w:start w:val="1"/>
      <w:numFmt w:val="decimal"/>
      <w:lvlText w:val="%4"/>
      <w:lvlJc w:val="left"/>
      <w:pPr>
        <w:ind w:left="2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2E9782">
      <w:start w:val="1"/>
      <w:numFmt w:val="lowerLetter"/>
      <w:lvlText w:val="%5"/>
      <w:lvlJc w:val="left"/>
      <w:pPr>
        <w:ind w:left="3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E9FD2">
      <w:start w:val="1"/>
      <w:numFmt w:val="lowerRoman"/>
      <w:lvlText w:val="%6"/>
      <w:lvlJc w:val="left"/>
      <w:pPr>
        <w:ind w:left="4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86A8E">
      <w:start w:val="1"/>
      <w:numFmt w:val="decimal"/>
      <w:lvlText w:val="%7"/>
      <w:lvlJc w:val="left"/>
      <w:pPr>
        <w:ind w:left="4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6B652">
      <w:start w:val="1"/>
      <w:numFmt w:val="lowerLetter"/>
      <w:lvlText w:val="%8"/>
      <w:lvlJc w:val="left"/>
      <w:pPr>
        <w:ind w:left="5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CB222">
      <w:start w:val="1"/>
      <w:numFmt w:val="lowerRoman"/>
      <w:lvlText w:val="%9"/>
      <w:lvlJc w:val="left"/>
      <w:pPr>
        <w:ind w:left="6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916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0"/>
  <w:revisionView w:inkAnnotations="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0B"/>
    <w:rsid w:val="001B29A3"/>
    <w:rsid w:val="00C0250B"/>
    <w:rsid w:val="00EC5B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DCD424D"/>
  <w15:docId w15:val="{D051BE3F-AC1F-B84D-8EAE-5FC04C25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0" w:lineRule="auto"/>
      <w:ind w:right="1" w:firstLine="711"/>
      <w:jc w:val="both"/>
    </w:pPr>
    <w:rPr>
      <w:rFonts w:ascii="Arial" w:eastAsia="Arial" w:hAnsi="Arial" w:cs="Times New Roman"/>
      <w:color w:val="000000"/>
      <w:lang w:val="en" w:eastAsia="en"/>
    </w:rPr>
  </w:style>
  <w:style w:type="paragraph" w:styleId="Ttulo1">
    <w:name w:val="heading 1"/>
    <w:next w:val="Normal"/>
    <w:link w:val="Ttulo1Char"/>
    <w:uiPriority w:val="9"/>
    <w:qFormat/>
    <w:pPr>
      <w:keepNext/>
      <w:keepLines/>
      <w:spacing w:after="112" w:line="259" w:lineRule="auto"/>
      <w:ind w:left="10" w:right="271" w:hanging="10"/>
      <w:jc w:val="center"/>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scielo.br/j/rsp/a/Ng79ptSTHrcdYNPDpnwbDvG/abstract/?lang=pt" TargetMode="External" /><Relationship Id="rId21" Type="http://schemas.openxmlformats.org/officeDocument/2006/relationships/hyperlink" Target="https://multimedia.3m.com/mws/media/1154765O/guia-de-interpretacao-petrifilm-eb-cdr.pdf" TargetMode="External" /><Relationship Id="rId42" Type="http://schemas.openxmlformats.org/officeDocument/2006/relationships/hyperlink" Target="https://www.in.gov.br/en/web/dou/-/instrucao-normativa-in-n-161-de-1-de-julho-de-2022-413366880" TargetMode="External" /><Relationship Id="rId47" Type="http://schemas.openxmlformats.org/officeDocument/2006/relationships/hyperlink" Target="https://www.in.gov.br/en/web/dou/-/instrucao-normativa-in-n-161-de-1-de-julho-de-2022-413366880" TargetMode="External" /><Relationship Id="rId63" Type="http://schemas.openxmlformats.org/officeDocument/2006/relationships/hyperlink" Target="https://bvsms.saude.gov.br/bvs/saudelegis/svs1/1999/prt0379_26_04_1999.html" TargetMode="External" /><Relationship Id="rId68" Type="http://schemas.openxmlformats.org/officeDocument/2006/relationships/hyperlink" Target="http://periodicosibepes.org.br/index.php/recadm/article/view/1205" TargetMode="External" /><Relationship Id="rId84" Type="http://schemas.openxmlformats.org/officeDocument/2006/relationships/hyperlink" Target="https://www.semanticscholar.org/paper/Incidence-of-pathogenic-psychrotrophs-in-ice-creams-Warke-Kamat/631f85af9738cc7dd1c5194c66a3cef94cbc66e9" TargetMode="External" /><Relationship Id="rId89" Type="http://schemas.openxmlformats.org/officeDocument/2006/relationships/hyperlink" Target="https://www.semanticscholar.org/paper/Incidence-of-pathogenic-psychrotrophs-in-ice-creams-Warke-Kamat/631f85af9738cc7dd1c5194c66a3cef94cbc66e9" TargetMode="External" /><Relationship Id="rId7" Type="http://schemas.openxmlformats.org/officeDocument/2006/relationships/header" Target="header1.xml" /><Relationship Id="rId71" Type="http://schemas.openxmlformats.org/officeDocument/2006/relationships/hyperlink" Target="https://www.redalyc.org/articulo.oa?id=395940075023" TargetMode="External" /><Relationship Id="rId92" Type="http://schemas.openxmlformats.org/officeDocument/2006/relationships/hyperlink" Target="https://www.semanticscholar.org/paper/Incidence-of-pathogenic-psychrotrophs-in-ice-creams-Warke-Kamat/631f85af9738cc7dd1c5194c66a3cef94cbc66e9" TargetMode="External" /><Relationship Id="rId2" Type="http://schemas.openxmlformats.org/officeDocument/2006/relationships/styles" Target="styles.xml" /><Relationship Id="rId16" Type="http://schemas.openxmlformats.org/officeDocument/2006/relationships/hyperlink" Target="https://multimedia.3m.com/mws/media/1154765O/guia-de-interpretacao-petrifilm-eb-cdr.pdf" TargetMode="External" /><Relationship Id="rId29" Type="http://schemas.openxmlformats.org/officeDocument/2006/relationships/hyperlink" Target="http://www.periodicos.letras.ufmg.br/index.php/relin/article/view/12864" TargetMode="External" /><Relationship Id="rId11" Type="http://schemas.openxmlformats.org/officeDocument/2006/relationships/hyperlink" Target="https://multimedia.3m.com/mws/media/1154765O/guia-de-interpretacao-petrifilm-eb-cdr.pdf" TargetMode="External" /><Relationship Id="rId24" Type="http://schemas.openxmlformats.org/officeDocument/2006/relationships/hyperlink" Target="https://revista.univap.br/index.php/revistaunivap/article/view/24" TargetMode="External" /><Relationship Id="rId32" Type="http://schemas.openxmlformats.org/officeDocument/2006/relationships/hyperlink" Target="https://www.in.gov.br/en/web/dou/-/instrucao-normativa-in-n-161-de-1-de-julho-de-2022-413366880" TargetMode="External" /><Relationship Id="rId37" Type="http://schemas.openxmlformats.org/officeDocument/2006/relationships/hyperlink" Target="https://www.in.gov.br/en/web/dou/-/instrucao-normativa-in-n-161-de-1-de-julho-de-2022-413366880" TargetMode="External" /><Relationship Id="rId40" Type="http://schemas.openxmlformats.org/officeDocument/2006/relationships/hyperlink" Target="https://www.in.gov.br/en/web/dou/-/instrucao-normativa-in-n-161-de-1-de-julho-de-2022-413366880" TargetMode="External" /><Relationship Id="rId45" Type="http://schemas.openxmlformats.org/officeDocument/2006/relationships/hyperlink" Target="https://www.in.gov.br/en/web/dou/-/instrucao-normativa-in-n-161-de-1-de-julho-de-2022-413366880" TargetMode="External" /><Relationship Id="rId53" Type="http://schemas.openxmlformats.org/officeDocument/2006/relationships/hyperlink" Target="https://www.in.gov.br/en/web/dou/-/instrucao-normativa-in-n-161-de-1-de-julho-de-2022-413366880" TargetMode="External" /><Relationship Id="rId58" Type="http://schemas.openxmlformats.org/officeDocument/2006/relationships/hyperlink" Target="https://bvsms.saude.gov.br/bvs/saudelegis/anvisa/2005/res0266_22_09_2005.html" TargetMode="External" /><Relationship Id="rId66" Type="http://schemas.openxmlformats.org/officeDocument/2006/relationships/hyperlink" Target="http://periodicosibepes.org.br/index.php/recadm/article/view/1205" TargetMode="External" /><Relationship Id="rId74" Type="http://schemas.openxmlformats.org/officeDocument/2006/relationships/hyperlink" Target="https://www.scielo.br/j/csc/a/vzk44zy3zYQxMD5YN38jY4s/?lang=pt" TargetMode="External" /><Relationship Id="rId79" Type="http://schemas.openxmlformats.org/officeDocument/2006/relationships/hyperlink" Target="https://pesquisa.bvsalud.org/portal/resource/pt/biblio-837466" TargetMode="External" /><Relationship Id="rId87" Type="http://schemas.openxmlformats.org/officeDocument/2006/relationships/hyperlink" Target="https://www.semanticscholar.org/paper/Incidence-of-pathogenic-psychrotrophs-in-ice-creams-Warke-Kamat/631f85af9738cc7dd1c5194c66a3cef94cbc66e9" TargetMode="External" /><Relationship Id="rId102" Type="http://schemas.openxmlformats.org/officeDocument/2006/relationships/header" Target="header5.xml" /><Relationship Id="rId5" Type="http://schemas.openxmlformats.org/officeDocument/2006/relationships/footnotes" Target="footnotes.xml" /><Relationship Id="rId61" Type="http://schemas.openxmlformats.org/officeDocument/2006/relationships/hyperlink" Target="https://bvsms.saude.gov.br/bvs/saudelegis/anvisa/2005/res0266_22_09_2005.html" TargetMode="External" /><Relationship Id="rId82" Type="http://schemas.openxmlformats.org/officeDocument/2006/relationships/hyperlink" Target="https://pesquisa.bvsalud.org/portal/resource/pt/biblio-837466" TargetMode="External" /><Relationship Id="rId90" Type="http://schemas.openxmlformats.org/officeDocument/2006/relationships/hyperlink" Target="https://www.semanticscholar.org/paper/Incidence-of-pathogenic-psychrotrophs-in-ice-creams-Warke-Kamat/631f85af9738cc7dd1c5194c66a3cef94cbc66e9" TargetMode="External" /><Relationship Id="rId95" Type="http://schemas.openxmlformats.org/officeDocument/2006/relationships/hyperlink" Target="https://www.semanticscholar.org/paper/Incidence-of-pathogenic-psychrotrophs-in-ice-creams-Warke-Kamat/631f85af9738cc7dd1c5194c66a3cef94cbc66e9" TargetMode="External" /><Relationship Id="rId19" Type="http://schemas.openxmlformats.org/officeDocument/2006/relationships/hyperlink" Target="https://multimedia.3m.com/mws/media/1154765O/guia-de-interpretacao-petrifilm-eb-cdr.pdf" TargetMode="External" /><Relationship Id="rId14" Type="http://schemas.openxmlformats.org/officeDocument/2006/relationships/hyperlink" Target="https://multimedia.3m.com/mws/media/1154765O/guia-de-interpretacao-petrifilm-eb-cdr.pdf" TargetMode="External" /><Relationship Id="rId22" Type="http://schemas.openxmlformats.org/officeDocument/2006/relationships/hyperlink" Target="https://revista.univap.br/index.php/revistaunivap/article/view/24" TargetMode="External" /><Relationship Id="rId27" Type="http://schemas.openxmlformats.org/officeDocument/2006/relationships/hyperlink" Target="https://www.scielo.br/j/rsp/a/Ng79ptSTHrcdYNPDpnwbDvG/abstract/?lang=pt" TargetMode="External" /><Relationship Id="rId30" Type="http://schemas.openxmlformats.org/officeDocument/2006/relationships/hyperlink" Target="http://www.periodicos.letras.ufmg.br/index.php/relin/article/view/12864" TargetMode="External" /><Relationship Id="rId35" Type="http://schemas.openxmlformats.org/officeDocument/2006/relationships/hyperlink" Target="https://www.in.gov.br/en/web/dou/-/instrucao-normativa-in-n-161-de-1-de-julho-de-2022-413366880" TargetMode="External" /><Relationship Id="rId43" Type="http://schemas.openxmlformats.org/officeDocument/2006/relationships/hyperlink" Target="https://www.in.gov.br/en/web/dou/-/instrucao-normativa-in-n-161-de-1-de-julho-de-2022-413366880" TargetMode="External" /><Relationship Id="rId48" Type="http://schemas.openxmlformats.org/officeDocument/2006/relationships/hyperlink" Target="https://www.in.gov.br/en/web/dou/-/instrucao-normativa-in-n-161-de-1-de-julho-de-2022-413366880" TargetMode="External" /><Relationship Id="rId56" Type="http://schemas.openxmlformats.org/officeDocument/2006/relationships/hyperlink" Target="https://www.in.gov.br/en/web/dou/-/instrucao-normativa-in-n-161-de-1-de-julho-de-2022-413366880" TargetMode="External" /><Relationship Id="rId64" Type="http://schemas.openxmlformats.org/officeDocument/2006/relationships/hyperlink" Target="https://bvsms.saude.gov.br/bvs/saudelegis/svs1/1999/prt0379_26_04_1999.html" TargetMode="External" /><Relationship Id="rId69" Type="http://schemas.openxmlformats.org/officeDocument/2006/relationships/hyperlink" Target="https://www.redalyc.org/articulo.oa?id=395940075023" TargetMode="External" /><Relationship Id="rId77" Type="http://schemas.openxmlformats.org/officeDocument/2006/relationships/hyperlink" Target="https://periodicos.saude.sp.gov.br/RIAL/article/view/32669" TargetMode="External" /><Relationship Id="rId100" Type="http://schemas.openxmlformats.org/officeDocument/2006/relationships/hyperlink" Target="https://www.semanticscholar.org/paper/Incidence-of-pathogenic-psychrotrophs-in-ice-creams-Warke-Kamat/631f85af9738cc7dd1c5194c66a3cef94cbc66e9" TargetMode="External" /><Relationship Id="rId105" Type="http://schemas.openxmlformats.org/officeDocument/2006/relationships/theme" Target="theme/theme1.xml" /><Relationship Id="rId8" Type="http://schemas.openxmlformats.org/officeDocument/2006/relationships/header" Target="header2.xml" /><Relationship Id="rId51" Type="http://schemas.openxmlformats.org/officeDocument/2006/relationships/hyperlink" Target="https://www.in.gov.br/en/web/dou/-/instrucao-normativa-in-n-161-de-1-de-julho-de-2022-413366880" TargetMode="External" /><Relationship Id="rId72" Type="http://schemas.openxmlformats.org/officeDocument/2006/relationships/hyperlink" Target="https://www.scielo.br/j/csc/a/vzk44zy3zYQxMD5YN38jY4s/?lang=pt" TargetMode="External" /><Relationship Id="rId80" Type="http://schemas.openxmlformats.org/officeDocument/2006/relationships/hyperlink" Target="https://pesquisa.bvsalud.org/portal/resource/pt/biblio-837466" TargetMode="External" /><Relationship Id="rId85" Type="http://schemas.openxmlformats.org/officeDocument/2006/relationships/hyperlink" Target="https://www.semanticscholar.org/paper/Incidence-of-pathogenic-psychrotrophs-in-ice-creams-Warke-Kamat/631f85af9738cc7dd1c5194c66a3cef94cbc66e9" TargetMode="External" /><Relationship Id="rId93" Type="http://schemas.openxmlformats.org/officeDocument/2006/relationships/hyperlink" Target="https://www.semanticscholar.org/paper/Incidence-of-pathogenic-psychrotrophs-in-ice-creams-Warke-Kamat/631f85af9738cc7dd1c5194c66a3cef94cbc66e9" TargetMode="External" /><Relationship Id="rId98" Type="http://schemas.openxmlformats.org/officeDocument/2006/relationships/hyperlink" Target="https://www.semanticscholar.org/paper/Incidence-of-pathogenic-psychrotrophs-in-ice-creams-Warke-Kamat/631f85af9738cc7dd1c5194c66a3cef94cbc66e9" TargetMode="External" /><Relationship Id="rId3" Type="http://schemas.openxmlformats.org/officeDocument/2006/relationships/settings" Target="settings.xml" /><Relationship Id="rId12" Type="http://schemas.openxmlformats.org/officeDocument/2006/relationships/hyperlink" Target="https://multimedia.3m.com/mws/media/1154765O/guia-de-interpretacao-petrifilm-eb-cdr.pdf" TargetMode="External" /><Relationship Id="rId17" Type="http://schemas.openxmlformats.org/officeDocument/2006/relationships/hyperlink" Target="https://multimedia.3m.com/mws/media/1154765O/guia-de-interpretacao-petrifilm-eb-cdr.pdf" TargetMode="External" /><Relationship Id="rId25" Type="http://schemas.openxmlformats.org/officeDocument/2006/relationships/hyperlink" Target="https://www.scielo.br/j/rsp/a/Ng79ptSTHrcdYNPDpnwbDvG/abstract/?lang=pt" TargetMode="External" /><Relationship Id="rId33" Type="http://schemas.openxmlformats.org/officeDocument/2006/relationships/hyperlink" Target="https://www.in.gov.br/en/web/dou/-/instrucao-normativa-in-n-161-de-1-de-julho-de-2022-413366880" TargetMode="External" /><Relationship Id="rId38" Type="http://schemas.openxmlformats.org/officeDocument/2006/relationships/hyperlink" Target="https://www.in.gov.br/en/web/dou/-/instrucao-normativa-in-n-161-de-1-de-julho-de-2022-413366880" TargetMode="External" /><Relationship Id="rId46" Type="http://schemas.openxmlformats.org/officeDocument/2006/relationships/hyperlink" Target="https://www.in.gov.br/en/web/dou/-/instrucao-normativa-in-n-161-de-1-de-julho-de-2022-413366880" TargetMode="External" /><Relationship Id="rId59" Type="http://schemas.openxmlformats.org/officeDocument/2006/relationships/hyperlink" Target="https://bvsms.saude.gov.br/bvs/saudelegis/anvisa/2005/res0266_22_09_2005.html" TargetMode="External" /><Relationship Id="rId67" Type="http://schemas.openxmlformats.org/officeDocument/2006/relationships/hyperlink" Target="http://periodicosibepes.org.br/index.php/recadm/article/view/1205" TargetMode="External" /><Relationship Id="rId103" Type="http://schemas.openxmlformats.org/officeDocument/2006/relationships/header" Target="header6.xml" /><Relationship Id="rId20" Type="http://schemas.openxmlformats.org/officeDocument/2006/relationships/hyperlink" Target="https://multimedia.3m.com/mws/media/1154765O/guia-de-interpretacao-petrifilm-eb-cdr.pdf" TargetMode="External" /><Relationship Id="rId41" Type="http://schemas.openxmlformats.org/officeDocument/2006/relationships/hyperlink" Target="https://www.in.gov.br/en/web/dou/-/instrucao-normativa-in-n-161-de-1-de-julho-de-2022-413366880" TargetMode="External" /><Relationship Id="rId54" Type="http://schemas.openxmlformats.org/officeDocument/2006/relationships/hyperlink" Target="https://www.in.gov.br/en/web/dou/-/instrucao-normativa-in-n-161-de-1-de-julho-de-2022-413366880" TargetMode="External" /><Relationship Id="rId62" Type="http://schemas.openxmlformats.org/officeDocument/2006/relationships/hyperlink" Target="https://bvsms.saude.gov.br/bvs/saudelegis/svs1/1999/prt0379_26_04_1999.html" TargetMode="External" /><Relationship Id="rId70" Type="http://schemas.openxmlformats.org/officeDocument/2006/relationships/hyperlink" Target="https://www.redalyc.org/articulo.oa?id=395940075023" TargetMode="External" /><Relationship Id="rId75" Type="http://schemas.openxmlformats.org/officeDocument/2006/relationships/hyperlink" Target="https://www.scielo.br/j/csc/a/vzk44zy3zYQxMD5YN38jY4s/?lang=pt" TargetMode="External" /><Relationship Id="rId83" Type="http://schemas.openxmlformats.org/officeDocument/2006/relationships/hyperlink" Target="https://www.semanticscholar.org/paper/Incidence-of-pathogenic-psychrotrophs-in-ice-creams-Warke-Kamat/631f85af9738cc7dd1c5194c66a3cef94cbc66e9" TargetMode="External" /><Relationship Id="rId88" Type="http://schemas.openxmlformats.org/officeDocument/2006/relationships/hyperlink" Target="https://www.semanticscholar.org/paper/Incidence-of-pathogenic-psychrotrophs-in-ice-creams-Warke-Kamat/631f85af9738cc7dd1c5194c66a3cef94cbc66e9" TargetMode="External" /><Relationship Id="rId91" Type="http://schemas.openxmlformats.org/officeDocument/2006/relationships/hyperlink" Target="https://www.semanticscholar.org/paper/Incidence-of-pathogenic-psychrotrophs-in-ice-creams-Warke-Kamat/631f85af9738cc7dd1c5194c66a3cef94cbc66e9" TargetMode="External" /><Relationship Id="rId96" Type="http://schemas.openxmlformats.org/officeDocument/2006/relationships/hyperlink" Target="https://www.semanticscholar.org/paper/Incidence-of-pathogenic-psychrotrophs-in-ice-creams-Warke-Kamat/631f85af9738cc7dd1c5194c66a3cef94cbc66e9" TargetMode="Externa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https://multimedia.3m.com/mws/media/1154765O/guia-de-interpretacao-petrifilm-eb-cdr.pdf" TargetMode="External" /><Relationship Id="rId23" Type="http://schemas.openxmlformats.org/officeDocument/2006/relationships/hyperlink" Target="https://revista.univap.br/index.php/revistaunivap/article/view/24" TargetMode="External" /><Relationship Id="rId28" Type="http://schemas.openxmlformats.org/officeDocument/2006/relationships/hyperlink" Target="http://www.periodicos.letras.ufmg.br/index.php/relin/article/view/12864" TargetMode="External" /><Relationship Id="rId36" Type="http://schemas.openxmlformats.org/officeDocument/2006/relationships/hyperlink" Target="https://www.in.gov.br/en/web/dou/-/instrucao-normativa-in-n-161-de-1-de-julho-de-2022-413366880" TargetMode="External" /><Relationship Id="rId49" Type="http://schemas.openxmlformats.org/officeDocument/2006/relationships/hyperlink" Target="https://www.in.gov.br/en/web/dou/-/instrucao-normativa-in-n-161-de-1-de-julho-de-2022-413366880" TargetMode="External" /><Relationship Id="rId57" Type="http://schemas.openxmlformats.org/officeDocument/2006/relationships/hyperlink" Target="https://www.in.gov.br/en/web/dou/-/instrucao-normativa-in-n-161-de-1-de-julho-de-2022-413366880" TargetMode="External" /><Relationship Id="rId10" Type="http://schemas.openxmlformats.org/officeDocument/2006/relationships/hyperlink" Target="https://multimedia.3m.com/mws/media/1154765O/guia-de-interpretacao-petrifilm-eb-cdr.pdf" TargetMode="External" /><Relationship Id="rId31" Type="http://schemas.openxmlformats.org/officeDocument/2006/relationships/hyperlink" Target="https://www.in.gov.br/en/web/dou/-/instrucao-normativa-in-n-161-de-1-de-julho-de-2022-413366880" TargetMode="External" /><Relationship Id="rId44" Type="http://schemas.openxmlformats.org/officeDocument/2006/relationships/hyperlink" Target="https://www.in.gov.br/en/web/dou/-/instrucao-normativa-in-n-161-de-1-de-julho-de-2022-413366880" TargetMode="External" /><Relationship Id="rId52" Type="http://schemas.openxmlformats.org/officeDocument/2006/relationships/hyperlink" Target="https://www.in.gov.br/en/web/dou/-/instrucao-normativa-in-n-161-de-1-de-julho-de-2022-413366880" TargetMode="External" /><Relationship Id="rId60" Type="http://schemas.openxmlformats.org/officeDocument/2006/relationships/hyperlink" Target="https://bvsms.saude.gov.br/bvs/saudelegis/anvisa/2005/res0266_22_09_2005.html" TargetMode="External" /><Relationship Id="rId65" Type="http://schemas.openxmlformats.org/officeDocument/2006/relationships/hyperlink" Target="https://bvsms.saude.gov.br/bvs/saudelegis/svs1/1999/prt0379_26_04_1999.html" TargetMode="External" /><Relationship Id="rId73" Type="http://schemas.openxmlformats.org/officeDocument/2006/relationships/hyperlink" Target="https://www.scielo.br/j/csc/a/vzk44zy3zYQxMD5YN38jY4s/?lang=pt" TargetMode="External" /><Relationship Id="rId78" Type="http://schemas.openxmlformats.org/officeDocument/2006/relationships/hyperlink" Target="https://periodicos.saude.sp.gov.br/RIAL/article/view/32669" TargetMode="External" /><Relationship Id="rId81" Type="http://schemas.openxmlformats.org/officeDocument/2006/relationships/hyperlink" Target="https://pesquisa.bvsalud.org/portal/resource/pt/biblio-837466" TargetMode="External" /><Relationship Id="rId86" Type="http://schemas.openxmlformats.org/officeDocument/2006/relationships/hyperlink" Target="https://www.semanticscholar.org/paper/Incidence-of-pathogenic-psychrotrophs-in-ice-creams-Warke-Kamat/631f85af9738cc7dd1c5194c66a3cef94cbc66e9" TargetMode="External" /><Relationship Id="rId94" Type="http://schemas.openxmlformats.org/officeDocument/2006/relationships/hyperlink" Target="https://www.semanticscholar.org/paper/Incidence-of-pathogenic-psychrotrophs-in-ice-creams-Warke-Kamat/631f85af9738cc7dd1c5194c66a3cef94cbc66e9" TargetMode="External" /><Relationship Id="rId99" Type="http://schemas.openxmlformats.org/officeDocument/2006/relationships/hyperlink" Target="https://www.semanticscholar.org/paper/Incidence-of-pathogenic-psychrotrophs-in-ice-creams-Warke-Kamat/631f85af9738cc7dd1c5194c66a3cef94cbc66e9" TargetMode="External" /><Relationship Id="rId101" Type="http://schemas.openxmlformats.org/officeDocument/2006/relationships/header" Target="header4.xml" /><Relationship Id="rId4" Type="http://schemas.openxmlformats.org/officeDocument/2006/relationships/webSettings" Target="webSettings.xml" /><Relationship Id="rId9" Type="http://schemas.openxmlformats.org/officeDocument/2006/relationships/header" Target="header3.xml" /><Relationship Id="rId13" Type="http://schemas.openxmlformats.org/officeDocument/2006/relationships/hyperlink" Target="https://multimedia.3m.com/mws/media/1154765O/guia-de-interpretacao-petrifilm-eb-cdr.pdf" TargetMode="External" /><Relationship Id="rId18" Type="http://schemas.openxmlformats.org/officeDocument/2006/relationships/hyperlink" Target="https://multimedia.3m.com/mws/media/1154765O/guia-de-interpretacao-petrifilm-eb-cdr.pdf" TargetMode="External" /><Relationship Id="rId39" Type="http://schemas.openxmlformats.org/officeDocument/2006/relationships/hyperlink" Target="https://www.in.gov.br/en/web/dou/-/instrucao-normativa-in-n-161-de-1-de-julho-de-2022-413366880" TargetMode="External" /><Relationship Id="rId34" Type="http://schemas.openxmlformats.org/officeDocument/2006/relationships/hyperlink" Target="https://www.in.gov.br/en/web/dou/-/instrucao-normativa-in-n-161-de-1-de-julho-de-2022-413366880" TargetMode="External" /><Relationship Id="rId50" Type="http://schemas.openxmlformats.org/officeDocument/2006/relationships/hyperlink" Target="https://www.in.gov.br/en/web/dou/-/instrucao-normativa-in-n-161-de-1-de-julho-de-2022-413366880" TargetMode="External" /><Relationship Id="rId55" Type="http://schemas.openxmlformats.org/officeDocument/2006/relationships/hyperlink" Target="https://www.in.gov.br/en/web/dou/-/instrucao-normativa-in-n-161-de-1-de-julho-de-2022-413366880" TargetMode="External" /><Relationship Id="rId76" Type="http://schemas.openxmlformats.org/officeDocument/2006/relationships/hyperlink" Target="https://periodicos.saude.sp.gov.br/RIAL/article/view/32669" TargetMode="External" /><Relationship Id="rId97" Type="http://schemas.openxmlformats.org/officeDocument/2006/relationships/hyperlink" Target="https://www.semanticscholar.org/paper/Incidence-of-pathogenic-psychrotrophs-in-ice-creams-Warke-Kamat/631f85af9738cc7dd1c5194c66a3cef94cbc66e9" TargetMode="External" /><Relationship Id="rId10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6210</Words>
  <Characters>33537</Characters>
  <Application>Microsoft Office Word</Application>
  <DocSecurity>0</DocSecurity>
  <Lines>279</Lines>
  <Paragraphs>79</Paragraphs>
  <ScaleCrop>false</ScaleCrop>
  <Company/>
  <LinksUpToDate>false</LinksUpToDate>
  <CharactersWithSpaces>39668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Jm guerra</cp:lastModifiedBy>
  <cp:revision>2</cp:revision>
  <dcterms:created xsi:type="dcterms:W3CDTF">2024-10-25T00:28:00Z</dcterms:created>
  <dcterms:modified xsi:type="dcterms:W3CDTF">2024-10-25T00:28:00Z</dcterms:modified>
</cp:coreProperties>
</file>