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B72B35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  <w:r>
        <w:rPr>
          <w:rFonts w:ascii="Times" w:eastAsia="Times" w:hAnsi="Times" w:cs="Times"/>
          <w:b/>
          <w:bCs/>
          <w:sz w:val="24"/>
          <w:szCs w:val="24"/>
        </w:rPr>
        <w:t>Análise multitemporal da seca histórica de 2024 no Rio Negro com imagens Sentinel-2 e NDWI.</w:t>
      </w:r>
    </w:p>
    <w:p w14:paraId="470158DC" w14:textId="77777777" w:rsidR="004B388C" w:rsidRDefault="004B388C">
      <w:pPr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color w:val="FF0000"/>
          <w:sz w:val="24"/>
          <w:szCs w:val="24"/>
        </w:rPr>
      </w:pPr>
    </w:p>
    <w:p w14:paraId="19BACA23" w14:textId="77777777" w:rsidR="004B388C" w:rsidRDefault="00000000">
      <w:pPr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color w:val="FF0000"/>
          <w:sz w:val="24"/>
          <w:szCs w:val="24"/>
          <w:u w:val="single"/>
        </w:rPr>
      </w:pPr>
      <w:r>
        <w:rPr>
          <w:rFonts w:ascii="Times" w:eastAsia="Times" w:hAnsi="Times" w:cs="Times"/>
          <w:sz w:val="24"/>
          <w:szCs w:val="24"/>
        </w:rPr>
        <w:t>Juan Franc’s Lima de Moura</w:t>
      </w:r>
      <w:r>
        <w:rPr>
          <w:rFonts w:ascii="Times" w:eastAsia="Times" w:hAnsi="Times" w:cs="Times"/>
          <w:sz w:val="24"/>
          <w:szCs w:val="24"/>
          <w:vertAlign w:val="superscript"/>
        </w:rPr>
        <w:t>1</w:t>
      </w:r>
      <w:r>
        <w:rPr>
          <w:rFonts w:ascii="Times" w:eastAsia="Times" w:hAnsi="Times" w:cs="Times"/>
          <w:sz w:val="24"/>
          <w:szCs w:val="24"/>
        </w:rPr>
        <w:t>;  Carlos Daniel de Souza Vizentin</w:t>
      </w:r>
      <w:r>
        <w:rPr>
          <w:rFonts w:ascii="Times" w:eastAsia="Times" w:hAnsi="Times" w:cs="Times"/>
          <w:sz w:val="24"/>
          <w:szCs w:val="24"/>
          <w:vertAlign w:val="superscript"/>
        </w:rPr>
        <w:t>2</w:t>
      </w:r>
      <w:r>
        <w:rPr>
          <w:rFonts w:ascii="Times" w:eastAsia="Times" w:hAnsi="Times" w:cs="Times"/>
          <w:sz w:val="24"/>
          <w:szCs w:val="24"/>
        </w:rPr>
        <w:t xml:space="preserve">; Douglas Matheus das Neves Santos³; Arthur Gutemberg Andion Farias Moura⁴; </w:t>
      </w:r>
      <w:r>
        <w:rPr>
          <w:rFonts w:ascii="Times" w:eastAsia="Times" w:hAnsi="Times" w:cs="Times"/>
          <w:sz w:val="24"/>
          <w:szCs w:val="24"/>
          <w:u w:val="single"/>
        </w:rPr>
        <w:t>Aline Maria Meiguins de Lima⁵.</w:t>
      </w:r>
    </w:p>
    <w:p w14:paraId="2DE96EDE" w14:textId="77777777" w:rsidR="004B388C" w:rsidRDefault="004B388C">
      <w:pPr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b/>
          <w:bCs/>
          <w:color w:val="FF0000"/>
          <w:sz w:val="24"/>
          <w:szCs w:val="24"/>
        </w:rPr>
      </w:pPr>
    </w:p>
    <w:p w14:paraId="6F4EFF6E" w14:textId="77777777" w:rsidR="004B388C" w:rsidRDefault="00000000">
      <w:pPr>
        <w:keepLines/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  <w:vertAlign w:val="superscript"/>
        </w:rPr>
        <w:t xml:space="preserve">1 </w:t>
      </w:r>
      <w:r>
        <w:rPr>
          <w:rFonts w:ascii="Times" w:eastAsia="Times" w:hAnsi="Times" w:cs="Times"/>
          <w:sz w:val="24"/>
          <w:szCs w:val="24"/>
        </w:rPr>
        <w:t>Mestrando em Ciências Ambientais (PPGCA). Laboratório de Estudos e Modelagem Hidroambientais, Universidade Federal do Pará (UFPA). juan.moura@ig.ufpa.br.</w:t>
      </w:r>
    </w:p>
    <w:p w14:paraId="44AA156C" w14:textId="77777777" w:rsidR="004B388C" w:rsidRDefault="004B388C">
      <w:pPr>
        <w:keepLines/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sz w:val="24"/>
          <w:szCs w:val="24"/>
        </w:rPr>
      </w:pPr>
    </w:p>
    <w:p w14:paraId="4C04B0D1" w14:textId="77777777" w:rsidR="004B388C" w:rsidRDefault="00000000">
      <w:pPr>
        <w:keepLines/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  <w:vertAlign w:val="superscript"/>
        </w:rPr>
        <w:t xml:space="preserve">2 </w:t>
      </w:r>
      <w:r>
        <w:rPr>
          <w:rFonts w:ascii="Times" w:eastAsia="Times" w:hAnsi="Times" w:cs="Times"/>
          <w:sz w:val="24"/>
          <w:szCs w:val="24"/>
        </w:rPr>
        <w:t>Mestrando em Ciências Ambientais (PPGCA). Laboratório de Estudos e Modelagem Hidroambientais, Universidade Federal do Pará (UFPA).</w:t>
      </w:r>
    </w:p>
    <w:p w14:paraId="6B0020EF" w14:textId="77777777" w:rsidR="004B388C" w:rsidRDefault="004B388C">
      <w:pPr>
        <w:keepLines/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sz w:val="24"/>
          <w:szCs w:val="24"/>
        </w:rPr>
      </w:pPr>
    </w:p>
    <w:p w14:paraId="7EFC56F3" w14:textId="77777777" w:rsidR="004B388C" w:rsidRDefault="00000000">
      <w:pPr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>³Doutorando em Ciências Ambientais (PPGCA). Laboratório de Estudos e Modelagem Hidroambientais, Universidade Federal do Pará (UFPA).</w:t>
      </w:r>
    </w:p>
    <w:p w14:paraId="31A0984C" w14:textId="77777777" w:rsidR="004B388C" w:rsidRDefault="004B388C">
      <w:pPr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sz w:val="24"/>
          <w:szCs w:val="24"/>
        </w:rPr>
      </w:pPr>
    </w:p>
    <w:p w14:paraId="78FF645D" w14:textId="77777777" w:rsidR="004B388C" w:rsidRDefault="00000000">
      <w:pPr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>⁴Doutorando em Ciências Ambientais (PPGCA). Laboratório de Estudos e Modelagem Hidroambientais, Universidade Federal do Pará (UFPA).</w:t>
      </w:r>
    </w:p>
    <w:p w14:paraId="78BA2BEF" w14:textId="77777777" w:rsidR="004B388C" w:rsidRDefault="004B388C">
      <w:pPr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sz w:val="24"/>
          <w:szCs w:val="24"/>
        </w:rPr>
      </w:pPr>
    </w:p>
    <w:p w14:paraId="19345C40" w14:textId="77777777" w:rsidR="004B388C" w:rsidRDefault="00000000">
      <w:pPr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sz w:val="24"/>
          <w:szCs w:val="24"/>
          <w:u w:val="single"/>
        </w:rPr>
      </w:pPr>
      <w:r>
        <w:rPr>
          <w:rFonts w:ascii="Times" w:eastAsia="Times" w:hAnsi="Times" w:cs="Times"/>
          <w:sz w:val="24"/>
          <w:szCs w:val="24"/>
          <w:u w:val="single"/>
        </w:rPr>
        <w:t>⁵Doutora em Desenvolvimento Socioambiental. Laboratório de Estudos e Modelagem Hidroambientais, Universidade Federal do Pará (UFPA)</w:t>
      </w:r>
    </w:p>
    <w:p w14:paraId="08C3B06F" w14:textId="77777777" w:rsidR="004B388C" w:rsidRDefault="004B388C">
      <w:pPr>
        <w:keepLines/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10" w:lineRule="auto"/>
        <w:rPr>
          <w:rFonts w:ascii="Times" w:eastAsia="Times" w:hAnsi="Times" w:cs="Times"/>
          <w:sz w:val="24"/>
          <w:szCs w:val="24"/>
        </w:rPr>
      </w:pPr>
    </w:p>
    <w:p w14:paraId="56545A1B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b/>
          <w:bCs/>
          <w:sz w:val="24"/>
          <w:szCs w:val="24"/>
          <w:u w:val="single"/>
        </w:rPr>
      </w:pPr>
      <w:r>
        <w:rPr>
          <w:rFonts w:ascii="Times" w:eastAsia="Times" w:hAnsi="Times" w:cs="Times"/>
          <w:b/>
          <w:bCs/>
          <w:sz w:val="24"/>
          <w:szCs w:val="24"/>
          <w:u w:val="single"/>
        </w:rPr>
        <w:t>RESUMO</w:t>
      </w:r>
    </w:p>
    <w:p w14:paraId="7D119818" w14:textId="77777777" w:rsidR="004B388C" w:rsidRDefault="00000000">
      <w:pPr>
        <w:shd w:val="clear" w:color="auto" w:fill="FFFFFF"/>
        <w:tabs>
          <w:tab w:val="left" w:pos="2500"/>
        </w:tabs>
        <w:jc w:val="both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>A intensificação de eventos climáticos extremos tem provocado alterações significativas na dinâmica hídrica da Amazônia, evidenciadas por estiagens como a de 2024, que resultou no menor nível já registrado do Rio Negro. Diante desse cenário, este estudo teve como objetivo analisar as variações associadas à seca extrema de 2024 em uma parcela do Rio Negro, comparando-as aos índices observados em 2025, por meio de imagens do satélite Sentinel-2 e do Índice de Diferença Normalizada da Água (NDWI). As imagens foram obtidas na plataforma Copernicus e processadas no software QGIS, aplicando composições coloridas e limiarização do NDWI para detecção de corpos hídricos. A análise multitemporal permitiu identificar a retração e posterior expansão do espelho d’água entre os dois períodos, com maior exposição de solo em 2024 e aumento da cobertura hídrica em 2025. Os resultados confirmam a eficácia do NDWI para o mapeamento e monitoramento de variações hidrológicas em sistemas fluviais amazônicos, evidenciando o potencial do sensoriamento remoto como ferramenta de suporte à gestão de recursos hídricos e à compreensão dos impactos ambientais decorrentes das secas extremas.</w:t>
      </w:r>
    </w:p>
    <w:p w14:paraId="2704CC34" w14:textId="77777777" w:rsidR="004B388C" w:rsidRDefault="004B388C">
      <w:pPr>
        <w:shd w:val="clear" w:color="auto" w:fill="FFFFFF"/>
        <w:tabs>
          <w:tab w:val="left" w:pos="2500"/>
        </w:tabs>
        <w:jc w:val="both"/>
        <w:rPr>
          <w:rFonts w:ascii="Times" w:eastAsia="Times" w:hAnsi="Times" w:cs="Times"/>
          <w:sz w:val="24"/>
          <w:szCs w:val="24"/>
        </w:rPr>
      </w:pPr>
    </w:p>
    <w:p w14:paraId="7E1AA78D" w14:textId="77777777" w:rsidR="004B388C" w:rsidRDefault="00000000">
      <w:pPr>
        <w:shd w:val="clear" w:color="auto" w:fill="FFFFFF"/>
        <w:tabs>
          <w:tab w:val="left" w:pos="2500"/>
        </w:tabs>
        <w:jc w:val="both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b/>
          <w:bCs/>
          <w:sz w:val="24"/>
          <w:szCs w:val="24"/>
        </w:rPr>
        <w:t>Palavras-chave:</w:t>
      </w:r>
      <w:r>
        <w:rPr>
          <w:rFonts w:ascii="Times" w:eastAsia="Times" w:hAnsi="Times" w:cs="Times"/>
          <w:sz w:val="24"/>
          <w:szCs w:val="24"/>
        </w:rPr>
        <w:t xml:space="preserve"> Sensoriamento remoto. Recursos hídricos. Amazônia.</w:t>
      </w:r>
    </w:p>
    <w:p w14:paraId="5F9AC30F" w14:textId="77777777" w:rsidR="004B388C" w:rsidRDefault="004B388C">
      <w:pPr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  <w:sz w:val="24"/>
          <w:szCs w:val="24"/>
        </w:rPr>
      </w:pPr>
    </w:p>
    <w:p w14:paraId="4F39F396" w14:textId="77777777" w:rsidR="004B388C" w:rsidRDefault="00000000">
      <w:pPr>
        <w:shd w:val="clear" w:color="auto" w:fill="FFFFFF"/>
        <w:tabs>
          <w:tab w:val="left" w:pos="2500"/>
        </w:tabs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b/>
          <w:bCs/>
          <w:sz w:val="24"/>
          <w:szCs w:val="24"/>
        </w:rPr>
        <w:t>Área de Interesse do Simpósio</w:t>
      </w:r>
      <w:r>
        <w:rPr>
          <w:rFonts w:ascii="Times" w:eastAsia="Times" w:hAnsi="Times" w:cs="Times"/>
          <w:sz w:val="24"/>
          <w:szCs w:val="24"/>
        </w:rPr>
        <w:t>: Geotecnologias</w:t>
      </w:r>
    </w:p>
    <w:p w14:paraId="507CBDE7" w14:textId="77777777" w:rsidR="00871843" w:rsidRDefault="00871843">
      <w:pPr>
        <w:shd w:val="clear" w:color="auto" w:fill="FFFFFF"/>
        <w:tabs>
          <w:tab w:val="left" w:pos="2500"/>
        </w:tabs>
        <w:rPr>
          <w:rFonts w:ascii="Times" w:eastAsia="Times" w:hAnsi="Times" w:cs="Times"/>
          <w:sz w:val="24"/>
          <w:szCs w:val="24"/>
        </w:rPr>
      </w:pPr>
    </w:p>
    <w:p w14:paraId="52DF0BE8" w14:textId="77777777" w:rsidR="00871843" w:rsidRDefault="00871843">
      <w:pPr>
        <w:shd w:val="clear" w:color="auto" w:fill="FFFFFF"/>
        <w:tabs>
          <w:tab w:val="left" w:pos="2500"/>
        </w:tabs>
        <w:rPr>
          <w:rFonts w:ascii="Times" w:eastAsia="Times" w:hAnsi="Times" w:cs="Times"/>
          <w:sz w:val="24"/>
          <w:szCs w:val="24"/>
        </w:rPr>
      </w:pPr>
    </w:p>
    <w:p w14:paraId="7D4292DC" w14:textId="77777777" w:rsidR="004B388C" w:rsidRDefault="00000000">
      <w:pPr>
        <w:pBdr>
          <w:bottom w:val="none" w:sz="0" w:space="18" w:color="000000"/>
        </w:pBdr>
        <w:shd w:val="clear" w:color="auto" w:fill="FFFFFF"/>
        <w:tabs>
          <w:tab w:val="left" w:pos="2500"/>
        </w:tabs>
        <w:spacing w:line="360" w:lineRule="auto"/>
        <w:jc w:val="both"/>
        <w:rPr>
          <w:rFonts w:ascii="Times" w:eastAsia="Times" w:hAnsi="Times" w:cs="Times"/>
          <w:sz w:val="24"/>
          <w:szCs w:val="24"/>
          <w:highlight w:val="yellow"/>
        </w:rPr>
      </w:pPr>
      <w:r>
        <w:rPr>
          <w:rFonts w:ascii="Times" w:eastAsia="Times" w:hAnsi="Times" w:cs="Times"/>
          <w:b/>
          <w:bCs/>
          <w:sz w:val="24"/>
          <w:szCs w:val="24"/>
        </w:rPr>
        <w:lastRenderedPageBreak/>
        <w:t xml:space="preserve">1. INTRODUÇÃO </w:t>
      </w:r>
    </w:p>
    <w:p w14:paraId="7E090C29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699"/>
        </w:tabs>
        <w:spacing w:line="360" w:lineRule="auto"/>
        <w:jc w:val="both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ab/>
        <w:t>A intensificação de eventos climáticos extremos nas últimas décadas tem provocado alterações significativas na dinâmica hídrica e ambiental de diferentes regiões do planeta, evidente em ecossistemas tropicais como a Amazônia. As variações na disponibilidade de água superficial estão relacionadas a oscilações sazonais e anomalias climáticas globais, como o fenômeno El Niño, que afetam diretamente o regime de chuvas e o nível dos rios (De Oliveira, 2010).</w:t>
      </w:r>
    </w:p>
    <w:p w14:paraId="3C24860B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699"/>
        </w:tabs>
        <w:spacing w:line="360" w:lineRule="auto"/>
        <w:jc w:val="both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ab/>
        <w:t xml:space="preserve">O Rio Negro, um dos principais afluentes do Amazonas, apresenta forte sazonalidade entre os períodos de cheia e vazante, influenciando diretamente a navegação, o abastecimento e os ecossistemas locais. A estação fluviométrica de Manaus tem registrado variações cada vez mais acentuadas, como a seca extrema de 2024, quando o nível do rio atingiu apenas 12,13 m, o menor valor da série histórica (Santos, 2025). </w:t>
      </w:r>
    </w:p>
    <w:p w14:paraId="6037254B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699"/>
        </w:tabs>
        <w:spacing w:line="360" w:lineRule="auto"/>
        <w:jc w:val="both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ab/>
        <w:t>De acordo com o Serviço Geológico do Brasil- SGB, as projeções para 2025 indicam uma estiagem de menor intensidade, porém inserida em uma tendência de agravamento das secas nas últimas décadas, com redução média anual de 4,3 cm desde 1970 e aumento da amplitude entre cheias e vazantes.</w:t>
      </w:r>
    </w:p>
    <w:p w14:paraId="3E9E8B28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699"/>
        </w:tabs>
        <w:spacing w:line="360" w:lineRule="auto"/>
        <w:jc w:val="both"/>
        <w:rPr>
          <w:rFonts w:ascii="Times" w:eastAsia="Times" w:hAnsi="Times" w:cs="Times"/>
          <w:sz w:val="24"/>
          <w:szCs w:val="24"/>
          <w:highlight w:val="yellow"/>
        </w:rPr>
      </w:pPr>
      <w:r>
        <w:rPr>
          <w:rFonts w:ascii="Times" w:eastAsia="Times" w:hAnsi="Times" w:cs="Times"/>
          <w:sz w:val="24"/>
          <w:szCs w:val="24"/>
        </w:rPr>
        <w:tab/>
        <w:t>Pesquisas recentes têm evidenciado a gravidade da seca amazônica de 2023 e 2024, caracterizada pela drástica redução das superfícies de água e pela intensificação de anomalias climáticas regionais. De acordo com Wagner et al. (2024), a estiagem observada nesses anos representou uma das maiores retrações hídricas do Rio Negro desde o início dos registros sistemáticos, refletindo a magnitude dos impactos ambientais e sociais na região.</w:t>
      </w:r>
    </w:p>
    <w:p w14:paraId="634D605C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699"/>
        </w:tabs>
        <w:spacing w:line="360" w:lineRule="auto"/>
        <w:jc w:val="both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ab/>
        <w:t xml:space="preserve">De acordo com Ashok et al. (2021), o uso de índices espectrais derivados de imagens orbitais tem se mostrado eficiente para a detecção de variações em ambientes aquáticos, permitindo avaliar a dinâmica hídrica com base em dados multitemporais e de alta resolução. Isso possibilita identificar modificações na extensão dos corpos d’água e compreender sua relação com fatores climáticos e sazonais. </w:t>
      </w:r>
    </w:p>
    <w:p w14:paraId="2A7699AB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699"/>
        </w:tabs>
        <w:spacing w:line="360" w:lineRule="auto"/>
        <w:jc w:val="both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ab/>
        <w:t xml:space="preserve">Diante desse contexto, este estudo teve como objetivo analisar as variações associadas à seca extrema de 2024 em uma parcela do Rio Negro, comparando-as aos índices observados em 2025, por meio de imagens Sentinel-2 e do Índice de Diferença Normalizada da Água </w:t>
      </w:r>
      <w:r>
        <w:rPr>
          <w:rFonts w:ascii="Times" w:eastAsia="Times" w:hAnsi="Times" w:cs="Times"/>
          <w:sz w:val="24"/>
          <w:szCs w:val="24"/>
        </w:rPr>
        <w:lastRenderedPageBreak/>
        <w:t xml:space="preserve">(NDWI). A análise buscou compreender as transformações hidrológicas ocorridas entre os dois períodos, evidenciando o potencial do sensoriamento remoto para detectar mudanças ambientais em grandes sistemas fluviais. </w:t>
      </w:r>
    </w:p>
    <w:p w14:paraId="22F1EC58" w14:textId="77777777" w:rsidR="004B388C" w:rsidRDefault="00000000">
      <w:pPr>
        <w:widowControl/>
        <w:spacing w:before="240" w:after="240" w:line="360" w:lineRule="auto"/>
        <w:jc w:val="both"/>
        <w:rPr>
          <w:color w:val="FF0000"/>
          <w:sz w:val="24"/>
          <w:szCs w:val="24"/>
        </w:rPr>
      </w:pPr>
      <w:r>
        <w:rPr>
          <w:b/>
          <w:bCs/>
          <w:sz w:val="24"/>
          <w:szCs w:val="24"/>
        </w:rPr>
        <w:t xml:space="preserve">2. MATERIAL E MÉTODOS </w:t>
      </w:r>
    </w:p>
    <w:p w14:paraId="528DC15C" w14:textId="7982F557" w:rsidR="00624F97" w:rsidRDefault="00624F97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  <w:r w:rsidRPr="00624F97">
        <w:rPr>
          <w:rFonts w:ascii="Times" w:eastAsia="Times" w:hAnsi="Times" w:cs="Times"/>
          <w:sz w:val="24"/>
          <w:szCs w:val="24"/>
        </w:rPr>
        <w:t>A bacia do rio Negro</w:t>
      </w:r>
      <w:r>
        <w:rPr>
          <w:rFonts w:ascii="Times" w:eastAsia="Times" w:hAnsi="Times" w:cs="Times"/>
          <w:sz w:val="24"/>
          <w:szCs w:val="24"/>
        </w:rPr>
        <w:t xml:space="preserve"> apresenta uma </w:t>
      </w:r>
      <w:r w:rsidRPr="00624F97">
        <w:rPr>
          <w:rFonts w:ascii="Times" w:eastAsia="Times" w:hAnsi="Times" w:cs="Times"/>
          <w:sz w:val="24"/>
          <w:szCs w:val="24"/>
        </w:rPr>
        <w:t xml:space="preserve">área de drenagem de aproximadamente 719.000 km², </w:t>
      </w:r>
      <w:r>
        <w:rPr>
          <w:rFonts w:ascii="Times" w:eastAsia="Times" w:hAnsi="Times" w:cs="Times"/>
          <w:sz w:val="24"/>
          <w:szCs w:val="24"/>
        </w:rPr>
        <w:t>com cerca de</w:t>
      </w:r>
      <w:r w:rsidRPr="00624F97">
        <w:rPr>
          <w:rFonts w:ascii="Times" w:eastAsia="Times" w:hAnsi="Times" w:cs="Times"/>
          <w:sz w:val="24"/>
          <w:szCs w:val="24"/>
        </w:rPr>
        <w:t xml:space="preserve"> 82% inserida em território brasileiro</w:t>
      </w:r>
      <w:r>
        <w:rPr>
          <w:rFonts w:ascii="Times" w:eastAsia="Times" w:hAnsi="Times" w:cs="Times"/>
          <w:sz w:val="24"/>
          <w:szCs w:val="24"/>
        </w:rPr>
        <w:t xml:space="preserve"> (</w:t>
      </w:r>
      <w:r w:rsidRPr="00624F97">
        <w:rPr>
          <w:rFonts w:ascii="Times" w:eastAsia="Times" w:hAnsi="Times" w:cs="Times"/>
          <w:sz w:val="24"/>
          <w:szCs w:val="24"/>
        </w:rPr>
        <w:t>ocupa</w:t>
      </w:r>
      <w:r>
        <w:rPr>
          <w:rFonts w:ascii="Times" w:eastAsia="Times" w:hAnsi="Times" w:cs="Times"/>
          <w:sz w:val="24"/>
          <w:szCs w:val="24"/>
        </w:rPr>
        <w:t>ndo</w:t>
      </w:r>
      <w:r w:rsidRPr="00624F97">
        <w:rPr>
          <w:rFonts w:ascii="Times" w:eastAsia="Times" w:hAnsi="Times" w:cs="Times"/>
          <w:sz w:val="24"/>
          <w:szCs w:val="24"/>
        </w:rPr>
        <w:t xml:space="preserve"> parte dos estados de Roraima e Amazonas</w:t>
      </w:r>
      <w:r>
        <w:rPr>
          <w:rFonts w:ascii="Times" w:eastAsia="Times" w:hAnsi="Times" w:cs="Times"/>
          <w:sz w:val="24"/>
          <w:szCs w:val="24"/>
        </w:rPr>
        <w:t xml:space="preserve">), </w:t>
      </w:r>
      <w:r w:rsidRPr="00624F97">
        <w:rPr>
          <w:rFonts w:ascii="Times" w:eastAsia="Times" w:hAnsi="Times" w:cs="Times"/>
          <w:sz w:val="24"/>
          <w:szCs w:val="24"/>
        </w:rPr>
        <w:t>10% na Colômbia, 6% na Venezuela e 2% na Guiana.</w:t>
      </w:r>
      <w:r>
        <w:rPr>
          <w:rFonts w:ascii="Times" w:eastAsia="Times" w:hAnsi="Times" w:cs="Times"/>
          <w:sz w:val="24"/>
          <w:szCs w:val="24"/>
        </w:rPr>
        <w:t xml:space="preserve"> A</w:t>
      </w:r>
      <w:r w:rsidRPr="00624F97">
        <w:rPr>
          <w:rFonts w:ascii="Times" w:eastAsia="Times" w:hAnsi="Times" w:cs="Times"/>
          <w:sz w:val="24"/>
          <w:szCs w:val="24"/>
        </w:rPr>
        <w:t xml:space="preserve"> climatologia mensal (1979 a 2013)</w:t>
      </w:r>
      <w:r>
        <w:rPr>
          <w:rFonts w:ascii="Times" w:eastAsia="Times" w:hAnsi="Times" w:cs="Times"/>
          <w:sz w:val="24"/>
          <w:szCs w:val="24"/>
        </w:rPr>
        <w:t xml:space="preserve"> indica que </w:t>
      </w:r>
      <w:r w:rsidRPr="00624F97">
        <w:rPr>
          <w:rFonts w:ascii="Times" w:eastAsia="Times" w:hAnsi="Times" w:cs="Times"/>
          <w:sz w:val="24"/>
          <w:szCs w:val="24"/>
        </w:rPr>
        <w:t>os meses de Janeiro e Fevereiro a precipitação oscila em torno de 50 mm a NE da bacia, tendo maiores valores a SE, ou seja, em direção a foz com o rio Amazonas</w:t>
      </w:r>
      <w:r>
        <w:rPr>
          <w:rFonts w:ascii="Times" w:eastAsia="Times" w:hAnsi="Times" w:cs="Times"/>
          <w:sz w:val="24"/>
          <w:szCs w:val="24"/>
        </w:rPr>
        <w:t>; onde o</w:t>
      </w:r>
      <w:r w:rsidRPr="00624F97">
        <w:rPr>
          <w:rFonts w:ascii="Times" w:eastAsia="Times" w:hAnsi="Times" w:cs="Times"/>
          <w:sz w:val="24"/>
          <w:szCs w:val="24"/>
        </w:rPr>
        <w:t xml:space="preserve"> mês de Março representa o início do pico da estação chuvosa para a bacia</w:t>
      </w:r>
      <w:r>
        <w:rPr>
          <w:rFonts w:ascii="Times" w:eastAsia="Times" w:hAnsi="Times" w:cs="Times"/>
          <w:sz w:val="24"/>
          <w:szCs w:val="24"/>
        </w:rPr>
        <w:t xml:space="preserve"> (Araújo et al, 2020)</w:t>
      </w:r>
      <w:r w:rsidRPr="00624F97">
        <w:rPr>
          <w:rFonts w:ascii="Times" w:eastAsia="Times" w:hAnsi="Times" w:cs="Times"/>
          <w:sz w:val="24"/>
          <w:szCs w:val="24"/>
        </w:rPr>
        <w:t>.</w:t>
      </w:r>
    </w:p>
    <w:p w14:paraId="3604C0CA" w14:textId="1618DAC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>Para este trabalho, o primeiro passo foi selecionar uma área com alterações ambientais relevantes, a ser observada em diferentes períodos, utilizando imagens do satélite Sentinel-2 e ferramentas de processamento digital. Realizou-se uma pesquisa exploratória, conforme Raupp (2006), em mecanismos de busca digitais, para identificar estudos relacionados ao tema. Com base nisso, delimitou-se a parcela do Rio Negro próxima à sua confluência com o rio Amazonas, com referência na Ponte Rio Negro, região documentada como fortemente impactada pela seca de 2024</w:t>
      </w:r>
      <w:r w:rsidR="00FA029B">
        <w:rPr>
          <w:rFonts w:ascii="Times" w:eastAsia="Times" w:hAnsi="Times" w:cs="Times"/>
          <w:sz w:val="24"/>
          <w:szCs w:val="24"/>
        </w:rPr>
        <w:t xml:space="preserve"> (Figura 1)</w:t>
      </w:r>
      <w:r>
        <w:rPr>
          <w:rFonts w:ascii="Times" w:eastAsia="Times" w:hAnsi="Times" w:cs="Times"/>
          <w:sz w:val="24"/>
          <w:szCs w:val="24"/>
        </w:rPr>
        <w:t>.</w:t>
      </w:r>
    </w:p>
    <w:p w14:paraId="008EA33A" w14:textId="77777777" w:rsidR="00871843" w:rsidRDefault="00871843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</w:p>
    <w:p w14:paraId="7AE31238" w14:textId="77777777" w:rsidR="00871843" w:rsidRDefault="00871843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</w:p>
    <w:p w14:paraId="2AC2E018" w14:textId="77777777" w:rsidR="00871843" w:rsidRDefault="00871843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</w:p>
    <w:p w14:paraId="717B1FDD" w14:textId="77777777" w:rsidR="00871843" w:rsidRDefault="00871843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</w:p>
    <w:p w14:paraId="70CF2D97" w14:textId="77777777" w:rsidR="00871843" w:rsidRDefault="00871843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</w:p>
    <w:p w14:paraId="58825D5F" w14:textId="77777777" w:rsidR="00871843" w:rsidRDefault="00871843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</w:p>
    <w:p w14:paraId="1DCB3CBC" w14:textId="77777777" w:rsidR="00871843" w:rsidRDefault="00871843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</w:p>
    <w:p w14:paraId="3F856AE2" w14:textId="77777777" w:rsidR="00871843" w:rsidRDefault="00871843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</w:p>
    <w:p w14:paraId="60E5323F" w14:textId="77777777" w:rsidR="00871843" w:rsidRDefault="00871843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</w:p>
    <w:p w14:paraId="5972115C" w14:textId="77777777" w:rsidR="00871843" w:rsidRDefault="00871843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</w:p>
    <w:p w14:paraId="59584FFE" w14:textId="77777777" w:rsidR="00FA029B" w:rsidRDefault="00FA029B" w:rsidP="00FA029B">
      <w:pPr>
        <w:pBdr>
          <w:bottom w:val="none" w:sz="0" w:space="6" w:color="000000"/>
        </w:pBdr>
        <w:shd w:val="clear" w:color="auto" w:fill="FFFFFF"/>
        <w:tabs>
          <w:tab w:val="left" w:pos="2500"/>
        </w:tabs>
        <w:jc w:val="center"/>
        <w:rPr>
          <w:rFonts w:ascii="Times" w:eastAsia="Times" w:hAnsi="Times" w:cs="Times"/>
        </w:rPr>
      </w:pPr>
      <w:r>
        <w:rPr>
          <w:rFonts w:ascii="Times" w:eastAsia="Times" w:hAnsi="Times" w:cs="Times"/>
        </w:rPr>
        <w:lastRenderedPageBreak/>
        <w:t>Figura 1 – Mapa de Localização da área de estudo.</w:t>
      </w:r>
    </w:p>
    <w:p w14:paraId="2C01AEDF" w14:textId="77777777" w:rsidR="00FA029B" w:rsidRDefault="00FA029B" w:rsidP="00FA029B">
      <w:pPr>
        <w:pBdr>
          <w:bottom w:val="none" w:sz="0" w:space="8" w:color="000000"/>
        </w:pBdr>
        <w:shd w:val="clear" w:color="auto" w:fill="FFFFFF"/>
        <w:tabs>
          <w:tab w:val="left" w:pos="2500"/>
        </w:tabs>
        <w:jc w:val="center"/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 wp14:anchorId="74EA59BA" wp14:editId="15B14424">
            <wp:extent cx="4425032" cy="2522220"/>
            <wp:effectExtent l="0" t="0" r="0" b="0"/>
            <wp:docPr id="7" name="image6.png" descr="Mapa&#10;&#10;O conteúdo gerado por IA pode estar incorreto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6.png" descr="Mapa&#10;&#10;O conteúdo gerado por IA pode estar incorreto.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8435" cy="25241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9E748E" w14:textId="77777777" w:rsidR="00FA029B" w:rsidRDefault="00FA029B" w:rsidP="00FA029B">
      <w:pPr>
        <w:pBdr>
          <w:bottom w:val="none" w:sz="0" w:space="8" w:color="000000"/>
        </w:pBdr>
        <w:shd w:val="clear" w:color="auto" w:fill="FFFFFF"/>
        <w:tabs>
          <w:tab w:val="left" w:pos="2500"/>
        </w:tabs>
        <w:jc w:val="both"/>
        <w:rPr>
          <w:color w:val="FF0000"/>
          <w:highlight w:val="white"/>
        </w:rPr>
      </w:pPr>
      <w:r>
        <w:rPr>
          <w:highlight w:val="white"/>
        </w:rPr>
        <w:t xml:space="preserve">Fonte: Autores, 2025. </w:t>
      </w:r>
    </w:p>
    <w:p w14:paraId="472E6152" w14:textId="77777777" w:rsidR="00FA029B" w:rsidRDefault="00FA029B" w:rsidP="00FA029B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jc w:val="both"/>
        <w:rPr>
          <w:rFonts w:ascii="Times" w:eastAsia="Times" w:hAnsi="Times" w:cs="Times"/>
          <w:sz w:val="24"/>
          <w:szCs w:val="24"/>
        </w:rPr>
      </w:pPr>
    </w:p>
    <w:p w14:paraId="6F64D089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8"/>
        <w:jc w:val="both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>As imagens do Sentinel-2 foram obtidas por meio do browser da plataforma Copernicus, filtrando o período de 1º de julho a 30 de agosto de 2024, com até 5% de cobertura de nuvens. A cena de 9 de agosto de 2024 apresentou a melhor qualidade visual. Para análise comparativa, também foram avaliadas imagens de anos anteriores, apenas a de 30 de julho de 2025 apresentou condições adequadas e foi adotada como referência para o estudo multitemporal.</w:t>
      </w:r>
    </w:p>
    <w:p w14:paraId="7A3BCE25" w14:textId="336BA975" w:rsidR="004B388C" w:rsidRDefault="00000000" w:rsidP="00FA029B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8"/>
        <w:jc w:val="both"/>
        <w:rPr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 xml:space="preserve">A área de estudo abrange parte do baixo Rio Negro, próxima a Manaus (AM), onde se encontra com o Solimões, formando o principal eixo hidrológico da Amazônia Central. O Rio Negro é um dos maiores afluentes do Amazonas, responsável por cerca de 15% da descarga total no Atlântico e drenando aproximadamente 10% da Bacia Amazônica (Zeidemann, 2002). </w:t>
      </w:r>
    </w:p>
    <w:p w14:paraId="6360555B" w14:textId="723BF1E1" w:rsidR="004B388C" w:rsidRDefault="00FA029B">
      <w:pPr>
        <w:widowControl/>
        <w:spacing w:line="360" w:lineRule="auto"/>
        <w:ind w:firstLine="708"/>
        <w:jc w:val="both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 xml:space="preserve">As imagens foram analisadas em composição colorida, porém a partir de Pereira (2018), foi escolhido utilizar o Índice por Diferença Normalizada de água (NDWI - Normalized Difference Water Index) (eq. 1), que é um método bastante conhecido nas aplicações de geoprocessamento e estudos hídricos. Com base em Sousa et al. (2022) e nas especificações do Sentinel Hub, definiram-se as bandas empregadas no cálculo: B8 (NIR – infravermelho próximo) e B3 (Green – faixa do verde):  </w:t>
      </w:r>
    </w:p>
    <w:p w14:paraId="1BBA1477" w14:textId="35C051CD" w:rsidR="004B388C" w:rsidRPr="00FA029B" w:rsidRDefault="00000000">
      <w:pPr>
        <w:widowControl/>
        <w:spacing w:line="360" w:lineRule="auto"/>
        <w:jc w:val="center"/>
        <w:rPr>
          <w:rFonts w:ascii="Times" w:eastAsia="Times" w:hAnsi="Times" w:cs="Times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Times" w:eastAsia="Times" w:hAnsi="Times" w:cs="Times"/>
              <w:sz w:val="24"/>
              <w:szCs w:val="24"/>
            </w:rPr>
            <m:t>NDWI=</m:t>
          </m:r>
          <m:f>
            <m:fPr>
              <m:ctrlPr>
                <w:rPr>
                  <w:rFonts w:ascii="Times" w:eastAsia="Times" w:hAnsi="Times" w:cs="Times"/>
                  <w:sz w:val="24"/>
                  <w:szCs w:val="24"/>
                </w:rPr>
              </m:ctrlPr>
            </m:fPr>
            <m:num>
              <m:r>
                <w:rPr>
                  <w:rFonts w:ascii="Times" w:eastAsia="Times" w:hAnsi="Times" w:cs="Times"/>
                  <w:sz w:val="24"/>
                  <w:szCs w:val="24"/>
                </w:rPr>
                <m:t>Pgreen-Pnir</m:t>
              </m:r>
            </m:num>
            <m:den>
              <m:r>
                <w:rPr>
                  <w:rFonts w:ascii="Times" w:eastAsia="Times" w:hAnsi="Times" w:cs="Times"/>
                  <w:sz w:val="24"/>
                  <w:szCs w:val="24"/>
                </w:rPr>
                <m:t>Pgreen+Pnir</m:t>
              </m:r>
            </m:den>
          </m:f>
          <m:r>
            <w:rPr>
              <w:rFonts w:ascii="Times" w:eastAsia="Times" w:hAnsi="Times" w:cs="Times"/>
              <w:sz w:val="24"/>
              <w:szCs w:val="24"/>
            </w:rPr>
            <m:t xml:space="preserve"> </m:t>
          </m:r>
          <m:r>
            <w:rPr>
              <w:rFonts w:ascii="Cambria Math" w:eastAsia="Times" w:hAnsi="Times" w:cs="Times"/>
              <w:sz w:val="24"/>
              <w:szCs w:val="24"/>
            </w:rPr>
            <m:t xml:space="preserve">                     eq. 01</m:t>
          </m:r>
        </m:oMath>
      </m:oMathPara>
    </w:p>
    <w:p w14:paraId="13D7C75F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699"/>
        </w:tabs>
        <w:spacing w:line="360" w:lineRule="auto"/>
        <w:jc w:val="both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ab/>
        <w:t xml:space="preserve">Sendo assim, selecionaram-se imagens com bandas B8 e B3 com resolução espacial de </w:t>
      </w:r>
      <w:r>
        <w:rPr>
          <w:rFonts w:ascii="Times" w:eastAsia="Times" w:hAnsi="Times" w:cs="Times"/>
          <w:sz w:val="24"/>
          <w:szCs w:val="24"/>
        </w:rPr>
        <w:lastRenderedPageBreak/>
        <w:t xml:space="preserve">10 metros para processamento do NDWI no software QGIS. Para identificar corpos hídricos, foi utilizado as definições de McFeeters (1996) para fazer a limiarização das imagens, para isso considerou-se o valor 0 como limiar (classificando as feições manualmente foi possível obter que os valores acima de zero estavam definidos como água). O processo de limiarização foi realizado na versão 3.34 do QGIS, por meio da Calculadora Raster, gerando imagens que evidenciam a expansão e retração do espelho d’água (Sousa, 2022). </w:t>
      </w:r>
    </w:p>
    <w:p w14:paraId="580841F4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699"/>
        </w:tabs>
        <w:spacing w:line="360" w:lineRule="auto"/>
        <w:jc w:val="both"/>
        <w:rPr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ab/>
        <w:t>Após a limiarização e obtenção dos produtos, iniciou-se a análise multitemporal, utilizando a diferença entre 2024 e 2025 para identificar as áreas que apresentaram alterações na disponibilidade hídrica no período de interesse, resultando no produto final de comparação espacial.</w:t>
      </w:r>
    </w:p>
    <w:p w14:paraId="4FD7218E" w14:textId="77777777" w:rsidR="004B388C" w:rsidRDefault="004B388C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10" w:lineRule="auto"/>
        <w:jc w:val="both"/>
        <w:rPr>
          <w:b/>
          <w:bCs/>
          <w:sz w:val="24"/>
          <w:szCs w:val="24"/>
        </w:rPr>
      </w:pPr>
    </w:p>
    <w:p w14:paraId="32851AB4" w14:textId="77777777" w:rsidR="00624F97" w:rsidRDefault="00624F97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10" w:lineRule="auto"/>
        <w:jc w:val="both"/>
        <w:rPr>
          <w:b/>
          <w:bCs/>
          <w:sz w:val="24"/>
          <w:szCs w:val="24"/>
        </w:rPr>
      </w:pPr>
    </w:p>
    <w:p w14:paraId="0B2F1E5B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10" w:lineRule="auto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3. RESULTADOS E DISCUSSÃO</w:t>
      </w:r>
      <w:r>
        <w:rPr>
          <w:b/>
          <w:bCs/>
          <w:sz w:val="28"/>
          <w:szCs w:val="28"/>
        </w:rPr>
        <w:t xml:space="preserve"> </w:t>
      </w:r>
    </w:p>
    <w:p w14:paraId="29AC2D67" w14:textId="77777777" w:rsidR="004B388C" w:rsidRDefault="004B388C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</w:pPr>
    </w:p>
    <w:p w14:paraId="4D567F91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360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>O levantamento hidrológico do Rio Negro revelou que 2024 apresentou o menor nível já registrado (12,13 m), configurando a estiagem mais severa da série histórica e superando eventos críticos de anos anteriores, como 12,70m em 2023, 13,63m em 2010 e 14,20m em 1906, conforme abordado por Santos (2025). Esse comportamento reafirma a magnitude do evento e justifica a necessidade de avaliar suas repercussões espaciais sobre o espelho d’água. A severidade da seca de 2024, está associada à intensificação de variabilidades climáticas de grande escala, como o ENSO, que reduziu de forma significativa a precipitação na Amazônia.</w:t>
      </w:r>
    </w:p>
    <w:p w14:paraId="0A68AB88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432" w:lineRule="auto"/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 análise preliminar das imagens do Sentinel-2 por meio da composição colorida permitiu identificar padrões gerais de ocupação hídrica e superfície exposta nos dois anos estudados. Entretanto, essa abordagem não forneceu detalhes suficientes para distinguir as alterações entre 2024 e 2025, uma vez que composições RGB são limitadas na detecção de variações sutis em ambientes hidrologicamente dinâmicos. </w:t>
      </w:r>
    </w:p>
    <w:p w14:paraId="6502E902" w14:textId="2A2AD123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432" w:lineRule="auto"/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Essa limitação é consistente com Santos e Macedo (2024) que demonstram que métodos baseados apenas em bandas visíveis podem subestimar ou confundir a presença de água, principalmente em regiões tropicais sujeitas a forte sazonalidade, reforçando a necessidade de </w:t>
      </w:r>
      <w:r>
        <w:rPr>
          <w:sz w:val="24"/>
          <w:szCs w:val="24"/>
        </w:rPr>
        <w:lastRenderedPageBreak/>
        <w:t>índices espectrais para aprimorar a diferença entre água e não-água.</w:t>
      </w:r>
      <w:r w:rsidR="00FA029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A aplicação do NDWI nas cenas de 2024 e 2025 (Figura </w:t>
      </w:r>
      <w:r w:rsidR="00FA029B">
        <w:rPr>
          <w:sz w:val="24"/>
          <w:szCs w:val="24"/>
        </w:rPr>
        <w:t>2</w:t>
      </w:r>
      <w:r>
        <w:rPr>
          <w:sz w:val="24"/>
          <w:szCs w:val="24"/>
        </w:rPr>
        <w:t xml:space="preserve">) evidenciou a distribuição dos corpos hídricos, permitindo diferenciar áreas alagadas com maior fidelidade espectral. </w:t>
      </w:r>
    </w:p>
    <w:p w14:paraId="17629797" w14:textId="77777777" w:rsidR="00A27EBA" w:rsidRDefault="00A27EBA" w:rsidP="00A27EBA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432" w:lineRule="auto"/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Os resultados mostram que, em 2024, houve retração do espelho d’água, enquanto em 2025 observou-se expansão, compatível com a projeção de uma estiagem menos severa. Ainda assim, as diferenças permanecem difíceis de delimitar visualmente, reforçando a necessidade do processo de limiarização. </w:t>
      </w:r>
    </w:p>
    <w:p w14:paraId="50DC769F" w14:textId="77777777" w:rsidR="00A27EBA" w:rsidRDefault="00A27EBA" w:rsidP="00A27EBA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432" w:lineRule="auto"/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>Essa necessidade também é destacada por Pegolo (2024), que demonstrou que métodos de limiarização são fundamentais para reduzir ambiguidades na detecção de superfícies hídricas em ambientes amazônicos, uma vez que variáveis atmosféricas e hidrodinâmicas podem afetar a precisão de classificações baseadas apenas em índices espectrais. A classificação binária gerada pela limiarização do NDWI (Figura 3) foi importante para diferenciar as áreas com presença hídrica a cada ano.</w:t>
      </w:r>
    </w:p>
    <w:p w14:paraId="5FB9D9B3" w14:textId="3A4A5645" w:rsidR="00A27EBA" w:rsidRDefault="00A27EBA" w:rsidP="00A27EBA">
      <w:pPr>
        <w:pBdr>
          <w:bottom w:val="none" w:sz="0" w:space="8" w:color="000000"/>
        </w:pBdr>
        <w:shd w:val="clear" w:color="auto" w:fill="FFFFFF"/>
        <w:tabs>
          <w:tab w:val="left" w:pos="2500"/>
        </w:tabs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2FA4824C" w14:textId="7D5B6134" w:rsidR="004B388C" w:rsidRDefault="00000000" w:rsidP="00A27EBA">
      <w:pPr>
        <w:pBdr>
          <w:bottom w:val="none" w:sz="0" w:space="8" w:color="000000"/>
        </w:pBdr>
        <w:shd w:val="clear" w:color="auto" w:fill="FFFFFF"/>
        <w:tabs>
          <w:tab w:val="left" w:pos="2500"/>
        </w:tabs>
        <w:ind w:firstLine="700"/>
        <w:jc w:val="both"/>
        <w:rPr>
          <w:color w:val="FF0000"/>
        </w:rPr>
      </w:pPr>
      <w:r>
        <w:t xml:space="preserve">Figura </w:t>
      </w:r>
      <w:r w:rsidR="00FA029B">
        <w:t>2</w:t>
      </w:r>
      <w:r>
        <w:t xml:space="preserve"> – Imagens do Sentinel-2 com aplicação de NDWI para 09/08/2024 e 30/07/2025.</w:t>
      </w:r>
    </w:p>
    <w:p w14:paraId="55276311" w14:textId="77777777" w:rsidR="004B388C" w:rsidRDefault="00000000" w:rsidP="00A27EBA">
      <w:pPr>
        <w:pBdr>
          <w:bottom w:val="none" w:sz="0" w:space="0" w:color="000000"/>
        </w:pBdr>
        <w:shd w:val="clear" w:color="auto" w:fill="FFFFFF"/>
        <w:tabs>
          <w:tab w:val="left" w:pos="2500"/>
        </w:tabs>
        <w:spacing w:before="240"/>
        <w:jc w:val="center"/>
        <w:rPr>
          <w:color w:val="FF0000"/>
        </w:rPr>
      </w:pPr>
      <w:r>
        <w:t>.</w:t>
      </w:r>
      <w:r>
        <w:rPr>
          <w:noProof/>
          <w:color w:val="FF0000"/>
        </w:rPr>
        <w:drawing>
          <wp:inline distT="114300" distB="114300" distL="114300" distR="114300" wp14:anchorId="7E811BD2" wp14:editId="3A1534D6">
            <wp:extent cx="3842548" cy="2704332"/>
            <wp:effectExtent l="0" t="0" r="0" b="0"/>
            <wp:docPr id="8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7"/>
                    <a:srcRect t="1597" r="2585"/>
                    <a:stretch>
                      <a:fillRect/>
                    </a:stretch>
                  </pic:blipFill>
                  <pic:spPr>
                    <a:xfrm>
                      <a:off x="0" y="0"/>
                      <a:ext cx="3842548" cy="27043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106BA0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2500"/>
        </w:tabs>
        <w:jc w:val="both"/>
      </w:pPr>
      <w:r>
        <w:rPr>
          <w:highlight w:val="white"/>
        </w:rPr>
        <w:t xml:space="preserve">Fonte: Autores, 2025. </w:t>
      </w:r>
    </w:p>
    <w:p w14:paraId="363583C5" w14:textId="77777777" w:rsidR="00A27EBA" w:rsidRDefault="00A27EBA">
      <w:pPr>
        <w:pBdr>
          <w:bottom w:val="none" w:sz="0" w:space="8" w:color="000000"/>
        </w:pBdr>
        <w:shd w:val="clear" w:color="auto" w:fill="FFFFFF"/>
        <w:tabs>
          <w:tab w:val="left" w:pos="2500"/>
        </w:tabs>
        <w:jc w:val="both"/>
      </w:pPr>
    </w:p>
    <w:p w14:paraId="2520E7EB" w14:textId="3C5E4B21" w:rsidR="004B388C" w:rsidRDefault="00000000" w:rsidP="00A27EBA">
      <w:pPr>
        <w:pBdr>
          <w:bottom w:val="none" w:sz="0" w:space="8" w:color="000000"/>
        </w:pBdr>
        <w:shd w:val="clear" w:color="auto" w:fill="FFFFFF"/>
        <w:tabs>
          <w:tab w:val="left" w:pos="2500"/>
        </w:tabs>
        <w:ind w:firstLine="700"/>
        <w:jc w:val="both"/>
        <w:rPr>
          <w:rFonts w:ascii="Times" w:eastAsia="Times" w:hAnsi="Times" w:cs="Times"/>
          <w:color w:val="FF0000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lastRenderedPageBreak/>
        <w:t xml:space="preserve">Figura </w:t>
      </w:r>
      <w:r w:rsidR="00FA029B">
        <w:rPr>
          <w:rFonts w:ascii="Times" w:eastAsia="Times" w:hAnsi="Times" w:cs="Times"/>
          <w:sz w:val="24"/>
          <w:szCs w:val="24"/>
        </w:rPr>
        <w:t>3</w:t>
      </w:r>
      <w:r>
        <w:rPr>
          <w:rFonts w:ascii="Times" w:eastAsia="Times" w:hAnsi="Times" w:cs="Times"/>
          <w:sz w:val="24"/>
          <w:szCs w:val="24"/>
        </w:rPr>
        <w:t xml:space="preserve"> – Imagem com limiar definido para 2024 e 2025.</w:t>
      </w:r>
    </w:p>
    <w:p w14:paraId="7A6DF89C" w14:textId="77777777" w:rsidR="004B388C" w:rsidRDefault="00000000" w:rsidP="00A27EBA">
      <w:pPr>
        <w:pBdr>
          <w:bottom w:val="none" w:sz="0" w:space="0" w:color="000000"/>
        </w:pBdr>
        <w:shd w:val="clear" w:color="auto" w:fill="FFFFFF"/>
        <w:tabs>
          <w:tab w:val="left" w:pos="2500"/>
        </w:tabs>
        <w:spacing w:before="240"/>
        <w:jc w:val="center"/>
        <w:rPr>
          <w:color w:val="FF0000"/>
        </w:rPr>
      </w:pPr>
      <w:r>
        <w:rPr>
          <w:noProof/>
          <w:color w:val="FF0000"/>
        </w:rPr>
        <w:drawing>
          <wp:inline distT="114300" distB="114300" distL="114300" distR="114300" wp14:anchorId="5A98D5B9" wp14:editId="344C0E32">
            <wp:extent cx="3736178" cy="2619826"/>
            <wp:effectExtent l="0" t="0" r="0" b="0"/>
            <wp:docPr id="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6178" cy="26198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E77B7F" w14:textId="77777777" w:rsidR="004B388C" w:rsidRDefault="00000000" w:rsidP="00A27EBA">
      <w:pPr>
        <w:pBdr>
          <w:bottom w:val="none" w:sz="0" w:space="8" w:color="000000"/>
        </w:pBdr>
        <w:shd w:val="clear" w:color="auto" w:fill="FFFFFF"/>
        <w:tabs>
          <w:tab w:val="left" w:pos="2500"/>
        </w:tabs>
        <w:jc w:val="both"/>
      </w:pPr>
      <w:r>
        <w:rPr>
          <w:highlight w:val="white"/>
        </w:rPr>
        <w:t xml:space="preserve">Fonte: Autores, 2025. </w:t>
      </w:r>
    </w:p>
    <w:p w14:paraId="0789BE64" w14:textId="77777777" w:rsidR="00FA029B" w:rsidRDefault="00FA029B" w:rsidP="00FA029B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432" w:lineRule="auto"/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Essa etapa evidenciou a extensão do recuo hídrico em 2024, com maiores superfícies expostas, enquanto 2025 apresentou recuperação substancial, refletindo condições hidrológicas menos extremas. </w:t>
      </w:r>
    </w:p>
    <w:p w14:paraId="24BD62DB" w14:textId="0E91CCA1" w:rsidR="004B388C" w:rsidRDefault="00FA029B" w:rsidP="00FA029B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432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  <w:r>
        <w:rPr>
          <w:sz w:val="24"/>
          <w:szCs w:val="24"/>
        </w:rPr>
        <w:t xml:space="preserve">Esse comportamento é coerente com estudos que apontam que eventos de El Niño muito fortes provocam redução das chuvas e da vazão na Amazônia, afetando o regime hidrológico regional, e que os anos subsequentes tendem a apresentar regularização progressiva dos níveis de água (De Oliveira et al., 2020). Assim, o padrão observado entre 2024 e 2025 é compatível com a resposta hidrológica característica de períodos pós-ENSO, indicando recomposição das condições hídricas na bacia do Rio Negro. Com isso, a análise multitemporal (Figura 4) abordou, em um único produto, as diferenças espaciais entre os anos avaliados. </w:t>
      </w:r>
    </w:p>
    <w:p w14:paraId="10862FF9" w14:textId="2B22FF60" w:rsidR="004B388C" w:rsidRDefault="00000000" w:rsidP="00A27EBA">
      <w:pPr>
        <w:pBdr>
          <w:bottom w:val="none" w:sz="0" w:space="0" w:color="000000"/>
        </w:pBdr>
        <w:shd w:val="clear" w:color="auto" w:fill="FFFFFF"/>
        <w:tabs>
          <w:tab w:val="left" w:pos="2500"/>
        </w:tabs>
        <w:spacing w:line="432" w:lineRule="auto"/>
        <w:jc w:val="center"/>
      </w:pPr>
      <w:r>
        <w:t xml:space="preserve">Figura </w:t>
      </w:r>
      <w:r w:rsidR="00FA029B">
        <w:t>4</w:t>
      </w:r>
      <w:r>
        <w:t xml:space="preserve"> –Análise Multitemporal entre  09/08/2024 e 30/07/2025.</w:t>
      </w:r>
    </w:p>
    <w:p w14:paraId="06EB10B8" w14:textId="77777777" w:rsidR="004B388C" w:rsidRDefault="00000000">
      <w:pPr>
        <w:pBdr>
          <w:bottom w:val="none" w:sz="0" w:space="0" w:color="000000"/>
        </w:pBdr>
        <w:shd w:val="clear" w:color="auto" w:fill="FFFFFF"/>
        <w:tabs>
          <w:tab w:val="left" w:pos="2500"/>
        </w:tabs>
        <w:spacing w:before="240" w:line="432" w:lineRule="auto"/>
        <w:jc w:val="center"/>
        <w:rPr>
          <w:color w:val="FF0000"/>
        </w:rPr>
      </w:pPr>
      <w:r>
        <w:rPr>
          <w:noProof/>
          <w:color w:val="FF0000"/>
        </w:rPr>
        <w:lastRenderedPageBreak/>
        <w:drawing>
          <wp:inline distT="114300" distB="114300" distL="114300" distR="114300" wp14:anchorId="64C974E5" wp14:editId="495579EF">
            <wp:extent cx="5678664" cy="3708000"/>
            <wp:effectExtent l="0" t="0" r="0" b="6985"/>
            <wp:docPr id="6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8664" cy="370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ED0B3C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2500"/>
        </w:tabs>
        <w:jc w:val="both"/>
        <w:rPr>
          <w:highlight w:val="white"/>
        </w:rPr>
      </w:pPr>
      <w:r>
        <w:rPr>
          <w:highlight w:val="white"/>
        </w:rPr>
        <w:t xml:space="preserve">Fonte: Autores, 2025. </w:t>
      </w:r>
    </w:p>
    <w:p w14:paraId="5AD4AC9A" w14:textId="77777777" w:rsidR="004B388C" w:rsidRDefault="004B388C">
      <w:pPr>
        <w:pBdr>
          <w:bottom w:val="none" w:sz="0" w:space="8" w:color="000000"/>
        </w:pBdr>
        <w:shd w:val="clear" w:color="auto" w:fill="FFFFFF"/>
        <w:tabs>
          <w:tab w:val="left" w:pos="2500"/>
        </w:tabs>
        <w:jc w:val="both"/>
        <w:rPr>
          <w:highlight w:val="white"/>
        </w:rPr>
      </w:pPr>
    </w:p>
    <w:p w14:paraId="0A63F510" w14:textId="5A743136" w:rsidR="00FA029B" w:rsidRDefault="00FA029B" w:rsidP="00FA029B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432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  <w:r>
        <w:rPr>
          <w:sz w:val="24"/>
          <w:szCs w:val="24"/>
        </w:rPr>
        <w:t xml:space="preserve">As áreas destacadas em verde representam regiões anteriormente expostas em 2024 que voltaram a ser inundadas em 2025, </w:t>
      </w:r>
      <w:r>
        <w:rPr>
          <w:rFonts w:ascii="Times" w:eastAsia="Times" w:hAnsi="Times" w:cs="Times"/>
          <w:sz w:val="24"/>
          <w:szCs w:val="24"/>
        </w:rPr>
        <w:t xml:space="preserve">demonstrando recuperação expressiva do espelho d’água. As áreas em vermelho, por sua vez, foram pouco representativas e correspondem a pequenas porções que perderam cobertura hídrica em 2025. </w:t>
      </w:r>
    </w:p>
    <w:p w14:paraId="37BD1F9C" w14:textId="77777777" w:rsidR="00FA029B" w:rsidRDefault="00FA029B" w:rsidP="00FA029B">
      <w:pPr>
        <w:pBdr>
          <w:bottom w:val="none" w:sz="0" w:space="8" w:color="000000"/>
        </w:pBdr>
        <w:shd w:val="clear" w:color="auto" w:fill="FFFFFF"/>
        <w:tabs>
          <w:tab w:val="left" w:pos="2500"/>
        </w:tabs>
        <w:spacing w:line="432" w:lineRule="auto"/>
        <w:ind w:firstLine="700"/>
        <w:jc w:val="both"/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>A predominância das áreas em verde confirma a excepcionalidade da seca de 2024, cuja magnitude levou a níveis mínimos, conforme mencionado anteriormente, além de evidenciar a eficácia dos métodos de sensoriamento remoto, coerente com o apontado por Britto, Baptista e Lima (2019) para detectar e interpretar mudanças hidrológicas em escala temporal.</w:t>
      </w:r>
    </w:p>
    <w:p w14:paraId="2BEE6571" w14:textId="3690CD71" w:rsidR="004B388C" w:rsidRDefault="00FA029B">
      <w:pPr>
        <w:pBdr>
          <w:bottom w:val="none" w:sz="0" w:space="8" w:color="000000"/>
        </w:pBdr>
        <w:shd w:val="clear" w:color="auto" w:fill="FFFFFF"/>
        <w:tabs>
          <w:tab w:val="left" w:pos="699"/>
        </w:tabs>
        <w:spacing w:line="360" w:lineRule="auto"/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ab/>
        <w:t xml:space="preserve">Esse comportamento converge com achados de </w:t>
      </w:r>
      <w:r>
        <w:rPr>
          <w:sz w:val="24"/>
          <w:szCs w:val="24"/>
        </w:rPr>
        <w:t xml:space="preserve">pesquisas que comprovam a sensibilidade de índices espectrais, como o NDWI, para identificar flutuações sazonais e compreender a dinâmica espaço-temporal de corpos d’água, em regiões tropicais </w:t>
      </w:r>
      <w:r>
        <w:rPr>
          <w:sz w:val="24"/>
          <w:szCs w:val="24"/>
          <w:highlight w:val="white"/>
        </w:rPr>
        <w:t xml:space="preserve">com forte variabilidade anual. </w:t>
      </w:r>
    </w:p>
    <w:p w14:paraId="73B67431" w14:textId="77777777" w:rsidR="004B388C" w:rsidRDefault="00000000">
      <w:pPr>
        <w:pBdr>
          <w:bottom w:val="none" w:sz="0" w:space="8" w:color="000000"/>
        </w:pBdr>
        <w:shd w:val="clear" w:color="auto" w:fill="FFFFFF"/>
        <w:tabs>
          <w:tab w:val="left" w:pos="699"/>
        </w:tabs>
        <w:spacing w:line="360" w:lineRule="auto"/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lastRenderedPageBreak/>
        <w:tab/>
        <w:t>Resultados semelhantes foram apresentados por Lima, Sousa e Santos (2021), que demonstraram que o NDWI é capaz de realçar reduções significativas no espelho d’água em períodos de seca extrema, evidenciando seu potencial como ferramenta importante para o monitoramento ambiental, avaliação de riscos e suporte ao manejo hídrico na Amazônia.</w:t>
      </w:r>
    </w:p>
    <w:p w14:paraId="39947B54" w14:textId="77777777" w:rsidR="004B388C" w:rsidRDefault="004B388C">
      <w:pPr>
        <w:shd w:val="clear" w:color="auto" w:fill="FFFFFF"/>
        <w:tabs>
          <w:tab w:val="left" w:pos="2500"/>
        </w:tabs>
        <w:spacing w:line="360" w:lineRule="auto"/>
        <w:rPr>
          <w:b/>
          <w:bCs/>
          <w:color w:val="FF0000"/>
          <w:sz w:val="24"/>
          <w:szCs w:val="24"/>
          <w:u w:val="single"/>
        </w:rPr>
      </w:pPr>
    </w:p>
    <w:p w14:paraId="104C255A" w14:textId="77777777" w:rsidR="004B388C" w:rsidRDefault="00000000">
      <w:pPr>
        <w:widowControl/>
        <w:tabs>
          <w:tab w:val="left" w:pos="1290"/>
        </w:tabs>
        <w:spacing w:after="160" w:line="360" w:lineRule="auto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4. CONSIDERAÇÕES FINAIS </w:t>
      </w:r>
      <w:r>
        <w:rPr>
          <w:sz w:val="24"/>
          <w:szCs w:val="24"/>
        </w:rPr>
        <w:tab/>
      </w:r>
    </w:p>
    <w:p w14:paraId="5441AD62" w14:textId="77777777" w:rsidR="004B388C" w:rsidRDefault="00000000">
      <w:pPr>
        <w:widowControl/>
        <w:tabs>
          <w:tab w:val="left" w:pos="699"/>
        </w:tabs>
        <w:spacing w:after="16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Os resultados demonstraram que a seca de 2024 provocou uma retração do espelho d’água do Rio Negro, identificada pelo NDWI limiarizado com a comparação multitemporal. Em 2025, observou-se recuperação hídrica compatível com um período menos severo, confirmando a utilidade do método aplicado. A abordagem empregada mostrou-se compatível para detectar mudanças hidrológicas em curta escala temporal. </w:t>
      </w:r>
    </w:p>
    <w:p w14:paraId="76A57193" w14:textId="77777777" w:rsidR="004B388C" w:rsidRDefault="00000000">
      <w:pPr>
        <w:widowControl/>
        <w:tabs>
          <w:tab w:val="left" w:pos="699"/>
        </w:tabs>
        <w:spacing w:after="16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>Apesar de simples, a metodologia adotada demonstra o potencial do sensoriamento remoto como ferramenta para análises ambientais e apoio à gestão hídrica na Amazônia. A identificação de áreas afetadas por secas contribui para ações preventivas e decisões de planejamento. O NDWI com a definição do limiar mostrou sensibilidade para captar variações sazonais. Dessa forma, o trabalho reforça a importância de ampliar estudos multitemporais frente ao aumento de eventos climáticos extremos.</w:t>
      </w:r>
    </w:p>
    <w:p w14:paraId="28D4C1B3" w14:textId="77777777" w:rsidR="00A27EBA" w:rsidRDefault="00A27EBA">
      <w:pPr>
        <w:widowControl/>
        <w:tabs>
          <w:tab w:val="left" w:pos="1290"/>
        </w:tabs>
        <w:spacing w:after="160" w:line="259" w:lineRule="auto"/>
        <w:jc w:val="both"/>
        <w:rPr>
          <w:b/>
          <w:bCs/>
          <w:sz w:val="24"/>
          <w:szCs w:val="24"/>
        </w:rPr>
      </w:pPr>
    </w:p>
    <w:p w14:paraId="423AD283" w14:textId="6F33947F" w:rsidR="004B388C" w:rsidRDefault="00000000">
      <w:pPr>
        <w:widowControl/>
        <w:tabs>
          <w:tab w:val="left" w:pos="1290"/>
        </w:tabs>
        <w:spacing w:after="160" w:line="259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REFERÊNCIAS </w:t>
      </w:r>
    </w:p>
    <w:p w14:paraId="351FEACA" w14:textId="5CA10D0F" w:rsidR="00624F97" w:rsidRDefault="00A27EBA" w:rsidP="00624F97">
      <w:pPr>
        <w:rPr>
          <w:rFonts w:ascii="Times" w:eastAsia="Times" w:hAnsi="Times" w:cs="Times"/>
          <w:sz w:val="24"/>
          <w:szCs w:val="24"/>
          <w:highlight w:val="white"/>
        </w:rPr>
      </w:pPr>
      <w:r w:rsidRPr="00624F97">
        <w:rPr>
          <w:rFonts w:ascii="Times" w:eastAsia="Times" w:hAnsi="Times" w:cs="Times"/>
          <w:sz w:val="24"/>
          <w:szCs w:val="24"/>
        </w:rPr>
        <w:t>ARAÚJO</w:t>
      </w:r>
      <w:r w:rsidR="00624F97">
        <w:rPr>
          <w:rFonts w:ascii="Times" w:eastAsia="Times" w:hAnsi="Times" w:cs="Times"/>
          <w:sz w:val="24"/>
          <w:szCs w:val="24"/>
        </w:rPr>
        <w:t xml:space="preserve">, </w:t>
      </w:r>
      <w:r w:rsidR="00624F97" w:rsidRPr="00624F97">
        <w:rPr>
          <w:rFonts w:ascii="Times" w:eastAsia="Times" w:hAnsi="Times" w:cs="Times"/>
          <w:sz w:val="24"/>
          <w:szCs w:val="24"/>
        </w:rPr>
        <w:t xml:space="preserve">Sara Raquel Vaz; </w:t>
      </w:r>
      <w:r w:rsidRPr="00624F97">
        <w:rPr>
          <w:rFonts w:ascii="Times" w:eastAsia="Times" w:hAnsi="Times" w:cs="Times"/>
          <w:sz w:val="24"/>
          <w:szCs w:val="24"/>
        </w:rPr>
        <w:t>LIMA</w:t>
      </w:r>
      <w:r w:rsidR="00624F97">
        <w:rPr>
          <w:rFonts w:ascii="Times" w:eastAsia="Times" w:hAnsi="Times" w:cs="Times"/>
          <w:sz w:val="24"/>
          <w:szCs w:val="24"/>
        </w:rPr>
        <w:t xml:space="preserve">, </w:t>
      </w:r>
      <w:r w:rsidR="00624F97" w:rsidRPr="00624F97">
        <w:rPr>
          <w:rFonts w:ascii="Times" w:eastAsia="Times" w:hAnsi="Times" w:cs="Times"/>
          <w:sz w:val="24"/>
          <w:szCs w:val="24"/>
        </w:rPr>
        <w:t xml:space="preserve">Aline Maria Meiguins; </w:t>
      </w:r>
      <w:r w:rsidRPr="00624F97">
        <w:rPr>
          <w:rFonts w:ascii="Times" w:eastAsia="Times" w:hAnsi="Times" w:cs="Times"/>
          <w:sz w:val="24"/>
          <w:szCs w:val="24"/>
        </w:rPr>
        <w:t>ROCHA</w:t>
      </w:r>
      <w:r w:rsidR="00624F97">
        <w:rPr>
          <w:rFonts w:ascii="Times" w:eastAsia="Times" w:hAnsi="Times" w:cs="Times"/>
          <w:sz w:val="24"/>
          <w:szCs w:val="24"/>
        </w:rPr>
        <w:t xml:space="preserve">, </w:t>
      </w:r>
      <w:r w:rsidR="00624F97" w:rsidRPr="00624F97">
        <w:rPr>
          <w:rFonts w:ascii="Times" w:eastAsia="Times" w:hAnsi="Times" w:cs="Times"/>
          <w:sz w:val="24"/>
          <w:szCs w:val="24"/>
        </w:rPr>
        <w:t xml:space="preserve">Edson José Paulino; </w:t>
      </w:r>
      <w:r w:rsidRPr="00624F97">
        <w:rPr>
          <w:rFonts w:ascii="Times" w:eastAsia="Times" w:hAnsi="Times" w:cs="Times"/>
          <w:sz w:val="24"/>
          <w:szCs w:val="24"/>
        </w:rPr>
        <w:t>FRANCO</w:t>
      </w:r>
      <w:r w:rsidR="00624F97">
        <w:rPr>
          <w:rFonts w:ascii="Times" w:eastAsia="Times" w:hAnsi="Times" w:cs="Times"/>
          <w:sz w:val="24"/>
          <w:szCs w:val="24"/>
        </w:rPr>
        <w:t xml:space="preserve">, </w:t>
      </w:r>
      <w:r w:rsidR="00624F97" w:rsidRPr="00624F97">
        <w:rPr>
          <w:rFonts w:ascii="Times" w:eastAsia="Times" w:hAnsi="Times" w:cs="Times"/>
          <w:sz w:val="24"/>
          <w:szCs w:val="24"/>
        </w:rPr>
        <w:t xml:space="preserve">Vania dos Santos. A bacia hidrográfica do rio negro e sua importância como afluente da bacia do rio Amazonas. </w:t>
      </w:r>
      <w:r w:rsidR="00624F97" w:rsidRPr="00A27EBA">
        <w:rPr>
          <w:rFonts w:ascii="Times" w:eastAsia="Times" w:hAnsi="Times" w:cs="Times"/>
          <w:i/>
          <w:iCs/>
          <w:sz w:val="24"/>
          <w:szCs w:val="24"/>
        </w:rPr>
        <w:t>In</w:t>
      </w:r>
      <w:r w:rsidR="00624F97" w:rsidRPr="00624F97">
        <w:rPr>
          <w:rFonts w:ascii="Times" w:eastAsia="Times" w:hAnsi="Times" w:cs="Times"/>
          <w:sz w:val="24"/>
          <w:szCs w:val="24"/>
        </w:rPr>
        <w:t xml:space="preserve">: </w:t>
      </w:r>
      <w:r w:rsidRPr="00624F97">
        <w:rPr>
          <w:rFonts w:ascii="Times" w:eastAsia="Times" w:hAnsi="Times" w:cs="Times"/>
          <w:sz w:val="24"/>
          <w:szCs w:val="24"/>
        </w:rPr>
        <w:t>PONTES</w:t>
      </w:r>
      <w:r w:rsidR="00624F97">
        <w:rPr>
          <w:rFonts w:ascii="Times" w:eastAsia="Times" w:hAnsi="Times" w:cs="Times"/>
          <w:sz w:val="24"/>
          <w:szCs w:val="24"/>
        </w:rPr>
        <w:t xml:space="preserve">, </w:t>
      </w:r>
      <w:r w:rsidR="00624F97" w:rsidRPr="00624F97">
        <w:rPr>
          <w:rFonts w:ascii="Times" w:eastAsia="Times" w:hAnsi="Times" w:cs="Times"/>
          <w:sz w:val="24"/>
          <w:szCs w:val="24"/>
        </w:rPr>
        <w:t>Altem Nascimento</w:t>
      </w:r>
      <w:r w:rsidR="00624F97">
        <w:rPr>
          <w:rFonts w:ascii="Times" w:eastAsia="Times" w:hAnsi="Times" w:cs="Times"/>
          <w:sz w:val="24"/>
          <w:szCs w:val="24"/>
        </w:rPr>
        <w:t>;</w:t>
      </w:r>
      <w:r w:rsidR="00624F97" w:rsidRPr="00624F97">
        <w:rPr>
          <w:rFonts w:ascii="Times" w:eastAsia="Times" w:hAnsi="Times" w:cs="Times"/>
          <w:sz w:val="24"/>
          <w:szCs w:val="24"/>
        </w:rPr>
        <w:t xml:space="preserve"> </w:t>
      </w:r>
      <w:r w:rsidRPr="00624F97">
        <w:rPr>
          <w:rFonts w:ascii="Times" w:eastAsia="Times" w:hAnsi="Times" w:cs="Times"/>
          <w:sz w:val="24"/>
          <w:szCs w:val="24"/>
        </w:rPr>
        <w:t>ROSÁRIO</w:t>
      </w:r>
      <w:r w:rsidR="00624F97">
        <w:rPr>
          <w:rFonts w:ascii="Times" w:eastAsia="Times" w:hAnsi="Times" w:cs="Times"/>
          <w:sz w:val="24"/>
          <w:szCs w:val="24"/>
        </w:rPr>
        <w:t xml:space="preserve">, </w:t>
      </w:r>
      <w:r w:rsidR="00624F97" w:rsidRPr="00624F97">
        <w:rPr>
          <w:rFonts w:ascii="Times" w:eastAsia="Times" w:hAnsi="Times" w:cs="Times"/>
          <w:sz w:val="24"/>
          <w:szCs w:val="24"/>
        </w:rPr>
        <w:t xml:space="preserve">Alessandro Silva. (Org.). </w:t>
      </w:r>
      <w:r w:rsidR="00624F97" w:rsidRPr="00A27EBA">
        <w:rPr>
          <w:rFonts w:ascii="Times" w:eastAsia="Times" w:hAnsi="Times" w:cs="Times"/>
          <w:b/>
          <w:bCs/>
          <w:sz w:val="24"/>
          <w:szCs w:val="24"/>
        </w:rPr>
        <w:t xml:space="preserve">Ciências </w:t>
      </w:r>
      <w:r w:rsidRPr="00A27EBA">
        <w:rPr>
          <w:rFonts w:ascii="Times" w:eastAsia="Times" w:hAnsi="Times" w:cs="Times"/>
          <w:b/>
          <w:bCs/>
          <w:sz w:val="24"/>
          <w:szCs w:val="24"/>
        </w:rPr>
        <w:t>Ambientais</w:t>
      </w:r>
      <w:r w:rsidR="00624F97" w:rsidRPr="00624F97">
        <w:rPr>
          <w:rFonts w:ascii="Times" w:eastAsia="Times" w:hAnsi="Times" w:cs="Times"/>
          <w:sz w:val="24"/>
          <w:szCs w:val="24"/>
        </w:rPr>
        <w:t>: climatologia, geotecnologias, mineração e estudos de monitoramento. 1ªed.Belém: UEPA, 2020, v. , p. 9-33.</w:t>
      </w:r>
    </w:p>
    <w:p w14:paraId="39A2ED2B" w14:textId="77777777" w:rsidR="00624F97" w:rsidRDefault="00624F97" w:rsidP="00624F97">
      <w:pPr>
        <w:rPr>
          <w:rFonts w:ascii="Times" w:eastAsia="Times" w:hAnsi="Times" w:cs="Times"/>
          <w:sz w:val="24"/>
          <w:szCs w:val="24"/>
          <w:highlight w:val="white"/>
        </w:rPr>
      </w:pPr>
    </w:p>
    <w:p w14:paraId="617F147D" w14:textId="375E3B91" w:rsidR="004B388C" w:rsidRDefault="00000000">
      <w:pPr>
        <w:rPr>
          <w:rFonts w:ascii="Times" w:eastAsia="Times" w:hAnsi="Times" w:cs="Times"/>
          <w:sz w:val="24"/>
          <w:szCs w:val="24"/>
          <w:highlight w:val="white"/>
        </w:rPr>
      </w:pPr>
      <w:r>
        <w:rPr>
          <w:rFonts w:ascii="Times" w:eastAsia="Times" w:hAnsi="Times" w:cs="Times"/>
          <w:sz w:val="24"/>
          <w:szCs w:val="24"/>
          <w:highlight w:val="white"/>
        </w:rPr>
        <w:t xml:space="preserve">ASHOK, Amgoth; RANI, Hari Ponnamma; JAYAKUMAR, K. V. </w:t>
      </w:r>
      <w:r>
        <w:rPr>
          <w:rFonts w:ascii="Times" w:eastAsia="Times" w:hAnsi="Times" w:cs="Times"/>
          <w:b/>
          <w:bCs/>
          <w:sz w:val="24"/>
          <w:szCs w:val="24"/>
          <w:highlight w:val="white"/>
        </w:rPr>
        <w:t>Monitoring of dynamic wetland changes using NDVI and NDWI based landsat imagery.</w:t>
      </w:r>
      <w:r>
        <w:rPr>
          <w:rFonts w:ascii="Times" w:eastAsia="Times" w:hAnsi="Times" w:cs="Times"/>
          <w:sz w:val="24"/>
          <w:szCs w:val="24"/>
          <w:highlight w:val="white"/>
        </w:rPr>
        <w:t xml:space="preserve"> Remote Sensing Applications: Society and Environment, v. 23, p. 100547, 2021.</w:t>
      </w:r>
    </w:p>
    <w:p w14:paraId="6341DEB8" w14:textId="77777777" w:rsidR="004B388C" w:rsidRDefault="004B388C">
      <w:pPr>
        <w:rPr>
          <w:rFonts w:ascii="Times" w:eastAsia="Times" w:hAnsi="Times" w:cs="Times"/>
          <w:sz w:val="24"/>
          <w:szCs w:val="24"/>
          <w:highlight w:val="white"/>
        </w:rPr>
      </w:pPr>
    </w:p>
    <w:p w14:paraId="710A147A" w14:textId="77777777" w:rsidR="004B388C" w:rsidRDefault="00000000">
      <w:pPr>
        <w:rPr>
          <w:rFonts w:ascii="Times" w:eastAsia="Times" w:hAnsi="Times" w:cs="Times"/>
          <w:sz w:val="24"/>
          <w:szCs w:val="24"/>
          <w:highlight w:val="white"/>
        </w:rPr>
      </w:pPr>
      <w:r>
        <w:rPr>
          <w:rFonts w:ascii="Times" w:eastAsia="Times" w:hAnsi="Times" w:cs="Times"/>
          <w:sz w:val="24"/>
          <w:szCs w:val="24"/>
          <w:highlight w:val="white"/>
        </w:rPr>
        <w:t xml:space="preserve">BRITTO, Marcela; DE MELLO BAPTISTA, Gustavo M.; DE LIMA, Erondina Azevedo. </w:t>
      </w:r>
      <w:r>
        <w:rPr>
          <w:rFonts w:ascii="Times" w:eastAsia="Times" w:hAnsi="Times" w:cs="Times"/>
          <w:b/>
          <w:bCs/>
          <w:sz w:val="24"/>
          <w:szCs w:val="24"/>
          <w:highlight w:val="white"/>
        </w:rPr>
        <w:t xml:space="preserve">O estudo dos componentes do ciclo hidrológico desde métodos tradicionais até o uso de sensoriamento remoto: uma revisão. </w:t>
      </w:r>
      <w:r>
        <w:rPr>
          <w:rFonts w:ascii="Times" w:eastAsia="Times" w:hAnsi="Times" w:cs="Times"/>
          <w:sz w:val="24"/>
          <w:szCs w:val="24"/>
          <w:highlight w:val="white"/>
        </w:rPr>
        <w:t>Paranoá, v. 12, n. 23, p. 127-146, 2019.</w:t>
      </w:r>
    </w:p>
    <w:p w14:paraId="2AC09225" w14:textId="77777777" w:rsidR="004B388C" w:rsidRDefault="004B388C">
      <w:pPr>
        <w:rPr>
          <w:rFonts w:ascii="Arial" w:eastAsia="Arial" w:hAnsi="Arial" w:cs="Arial"/>
          <w:color w:val="222222"/>
          <w:sz w:val="20"/>
          <w:szCs w:val="20"/>
          <w:highlight w:val="white"/>
        </w:rPr>
      </w:pPr>
    </w:p>
    <w:p w14:paraId="38B358CD" w14:textId="77777777" w:rsidR="004B388C" w:rsidRDefault="00000000">
      <w:pPr>
        <w:rPr>
          <w:rFonts w:ascii="Times" w:eastAsia="Times" w:hAnsi="Times" w:cs="Times"/>
          <w:sz w:val="24"/>
          <w:szCs w:val="24"/>
          <w:highlight w:val="white"/>
        </w:rPr>
      </w:pPr>
      <w:r>
        <w:rPr>
          <w:rFonts w:ascii="Times" w:eastAsia="Times" w:hAnsi="Times" w:cs="Times"/>
          <w:sz w:val="24"/>
          <w:szCs w:val="24"/>
          <w:highlight w:val="white"/>
        </w:rPr>
        <w:lastRenderedPageBreak/>
        <w:t xml:space="preserve">DE LIMA, Joelson Leal; SOUSA, Keid Nolan Silva; SANTOS, Paulo Roberto Brasil. </w:t>
      </w:r>
      <w:r>
        <w:rPr>
          <w:rFonts w:ascii="Times" w:eastAsia="Times" w:hAnsi="Times" w:cs="Times"/>
          <w:b/>
          <w:bCs/>
          <w:sz w:val="24"/>
          <w:szCs w:val="24"/>
          <w:highlight w:val="white"/>
        </w:rPr>
        <w:t xml:space="preserve">Detecção Remota Dos Potenciais Efeitos de Secas Intensas sobre a Sazonalidade da áGua no Complexo Fluvio-Lacustre do Curuaí, Rio Amazonas, Pará, Brasil. </w:t>
      </w:r>
      <w:r>
        <w:rPr>
          <w:rFonts w:ascii="Times" w:eastAsia="Times" w:hAnsi="Times" w:cs="Times"/>
          <w:sz w:val="24"/>
          <w:szCs w:val="24"/>
          <w:highlight w:val="white"/>
        </w:rPr>
        <w:t>Geo Uerj, n. 38, p. e42362-e42362, 2021.</w:t>
      </w:r>
    </w:p>
    <w:p w14:paraId="536295A0" w14:textId="77777777" w:rsidR="004B388C" w:rsidRDefault="004B388C">
      <w:pPr>
        <w:rPr>
          <w:rFonts w:ascii="Times" w:eastAsia="Times" w:hAnsi="Times" w:cs="Times"/>
          <w:sz w:val="24"/>
          <w:szCs w:val="24"/>
          <w:highlight w:val="white"/>
        </w:rPr>
      </w:pPr>
    </w:p>
    <w:p w14:paraId="0812FD36" w14:textId="77777777" w:rsidR="004B388C" w:rsidRDefault="00000000">
      <w:pPr>
        <w:rPr>
          <w:rFonts w:ascii="Times" w:eastAsia="Times" w:hAnsi="Times" w:cs="Times"/>
          <w:sz w:val="24"/>
          <w:szCs w:val="24"/>
          <w:highlight w:val="white"/>
        </w:rPr>
      </w:pPr>
      <w:r>
        <w:rPr>
          <w:rFonts w:ascii="Times" w:eastAsia="Times" w:hAnsi="Times" w:cs="Times"/>
          <w:sz w:val="24"/>
          <w:szCs w:val="24"/>
          <w:highlight w:val="white"/>
        </w:rPr>
        <w:t xml:space="preserve">DE OLIVEIRA, Tiago Henrique et al. </w:t>
      </w:r>
      <w:r>
        <w:rPr>
          <w:rFonts w:ascii="Times" w:eastAsia="Times" w:hAnsi="Times" w:cs="Times"/>
          <w:b/>
          <w:bCs/>
          <w:sz w:val="24"/>
          <w:szCs w:val="24"/>
          <w:highlight w:val="white"/>
        </w:rPr>
        <w:t>Índice de umidade (NDWI) e análise espaço-temporal do albedo da superfície da bacia hidrográfica do rio Moxotó-PE.</w:t>
      </w:r>
      <w:r>
        <w:rPr>
          <w:rFonts w:ascii="Times" w:eastAsia="Times" w:hAnsi="Times" w:cs="Times"/>
          <w:sz w:val="24"/>
          <w:szCs w:val="24"/>
          <w:highlight w:val="white"/>
        </w:rPr>
        <w:t xml:space="preserve"> Revista Brasileira de Geografia Física, v. 3, n. 2, p. 55-69, 2010.</w:t>
      </w:r>
    </w:p>
    <w:p w14:paraId="5B88AB2D" w14:textId="77777777" w:rsidR="004B388C" w:rsidRDefault="004B388C">
      <w:pPr>
        <w:rPr>
          <w:rFonts w:ascii="Times" w:eastAsia="Times" w:hAnsi="Times" w:cs="Times"/>
          <w:sz w:val="24"/>
          <w:szCs w:val="24"/>
          <w:highlight w:val="white"/>
        </w:rPr>
      </w:pPr>
    </w:p>
    <w:p w14:paraId="251BBDC8" w14:textId="77777777" w:rsidR="004B388C" w:rsidRDefault="00000000">
      <w:pPr>
        <w:rPr>
          <w:rFonts w:ascii="Times" w:eastAsia="Times" w:hAnsi="Times" w:cs="Times"/>
          <w:sz w:val="24"/>
          <w:szCs w:val="24"/>
          <w:highlight w:val="white"/>
        </w:rPr>
      </w:pPr>
      <w:r>
        <w:rPr>
          <w:rFonts w:ascii="Times" w:eastAsia="Times" w:hAnsi="Times" w:cs="Times"/>
          <w:sz w:val="24"/>
          <w:szCs w:val="24"/>
          <w:highlight w:val="white"/>
        </w:rPr>
        <w:t xml:space="preserve">DE OLIVEIRA, Leidiane Leão et al. </w:t>
      </w:r>
      <w:r>
        <w:rPr>
          <w:rFonts w:ascii="Times" w:eastAsia="Times" w:hAnsi="Times" w:cs="Times"/>
          <w:b/>
          <w:bCs/>
          <w:sz w:val="24"/>
          <w:szCs w:val="24"/>
          <w:highlight w:val="white"/>
        </w:rPr>
        <w:t xml:space="preserve">Influência do El Niño Oscilação Sul–ENOS–(2015/2016) no regime hidrológico e geração de energia na usina hidrelétrica de Curuá-Una, Amazônia central. </w:t>
      </w:r>
      <w:r>
        <w:rPr>
          <w:rFonts w:ascii="Times" w:eastAsia="Times" w:hAnsi="Times" w:cs="Times"/>
          <w:sz w:val="24"/>
          <w:szCs w:val="24"/>
          <w:highlight w:val="white"/>
        </w:rPr>
        <w:t>Revista Ibero-Americana de Ciências Ambientais, v. 11, n. 4, p. 136-144, 2020.</w:t>
      </w:r>
    </w:p>
    <w:p w14:paraId="344C72BB" w14:textId="77777777" w:rsidR="004B388C" w:rsidRDefault="004B388C">
      <w:pPr>
        <w:rPr>
          <w:rFonts w:ascii="Times" w:eastAsia="Times" w:hAnsi="Times" w:cs="Times"/>
          <w:sz w:val="24"/>
          <w:szCs w:val="24"/>
          <w:highlight w:val="white"/>
        </w:rPr>
      </w:pPr>
    </w:p>
    <w:p w14:paraId="73DA37F0" w14:textId="77777777" w:rsidR="004B388C" w:rsidRDefault="00000000">
      <w:pPr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 xml:space="preserve">DOS SANTOS, João Pedro; MACEDO, Diego Rodrigues. </w:t>
      </w:r>
      <w:r>
        <w:rPr>
          <w:rFonts w:ascii="Times" w:eastAsia="Times" w:hAnsi="Times" w:cs="Times"/>
          <w:b/>
          <w:bCs/>
          <w:sz w:val="24"/>
          <w:szCs w:val="24"/>
        </w:rPr>
        <w:t>Influências da composição e estrutura da paisagem sobre a qualidade da água em múltiplas extensões temporais e espaciais na unidade hidrológica do rio Doce em Minas Gerais.</w:t>
      </w:r>
      <w:r>
        <w:rPr>
          <w:rFonts w:ascii="Times" w:eastAsia="Times" w:hAnsi="Times" w:cs="Times"/>
          <w:sz w:val="24"/>
          <w:szCs w:val="24"/>
        </w:rPr>
        <w:t xml:space="preserve"> Revista Espinhaço, 2024.</w:t>
      </w:r>
    </w:p>
    <w:p w14:paraId="15A0E162" w14:textId="77777777" w:rsidR="004B388C" w:rsidRDefault="004B388C">
      <w:pPr>
        <w:rPr>
          <w:rFonts w:ascii="Times" w:eastAsia="Times" w:hAnsi="Times" w:cs="Times"/>
          <w:sz w:val="24"/>
          <w:szCs w:val="24"/>
          <w:highlight w:val="white"/>
        </w:rPr>
      </w:pPr>
    </w:p>
    <w:p w14:paraId="57F3355B" w14:textId="77777777" w:rsidR="004B388C" w:rsidRDefault="00000000">
      <w:pPr>
        <w:rPr>
          <w:rFonts w:ascii="Times" w:eastAsia="Times" w:hAnsi="Times" w:cs="Times"/>
          <w:sz w:val="24"/>
          <w:szCs w:val="24"/>
          <w:highlight w:val="white"/>
        </w:rPr>
      </w:pPr>
      <w:r>
        <w:rPr>
          <w:rFonts w:ascii="Times" w:eastAsia="Times" w:hAnsi="Times" w:cs="Times"/>
          <w:sz w:val="24"/>
          <w:szCs w:val="24"/>
          <w:highlight w:val="white"/>
        </w:rPr>
        <w:t xml:space="preserve">PEGOLO, Fellipe Lousada. </w:t>
      </w:r>
      <w:r>
        <w:rPr>
          <w:rFonts w:ascii="Times" w:eastAsia="Times" w:hAnsi="Times" w:cs="Times"/>
          <w:b/>
          <w:bCs/>
          <w:sz w:val="24"/>
          <w:szCs w:val="24"/>
          <w:highlight w:val="white"/>
        </w:rPr>
        <w:t xml:space="preserve">Avaliação de métodos de limiarização de imagens Sentinel-1 para o mapeamento de superfícies de águas abertas de lagos de várzea do baixo Rio Amazonas. </w:t>
      </w:r>
      <w:r>
        <w:rPr>
          <w:rFonts w:ascii="Times" w:eastAsia="Times" w:hAnsi="Times" w:cs="Times"/>
          <w:sz w:val="24"/>
          <w:szCs w:val="24"/>
          <w:highlight w:val="white"/>
        </w:rPr>
        <w:t>2024.</w:t>
      </w:r>
    </w:p>
    <w:p w14:paraId="2852CC36" w14:textId="77777777" w:rsidR="004B388C" w:rsidRDefault="004B388C">
      <w:pPr>
        <w:rPr>
          <w:rFonts w:ascii="Arial" w:eastAsia="Arial" w:hAnsi="Arial" w:cs="Arial"/>
          <w:color w:val="222222"/>
          <w:sz w:val="20"/>
          <w:szCs w:val="20"/>
          <w:highlight w:val="white"/>
        </w:rPr>
      </w:pPr>
    </w:p>
    <w:p w14:paraId="0B70F987" w14:textId="77777777" w:rsidR="004B388C" w:rsidRDefault="00000000">
      <w:pPr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 xml:space="preserve">PEREIRA, Luciana et al. </w:t>
      </w:r>
      <w:r>
        <w:rPr>
          <w:rFonts w:ascii="Times" w:eastAsia="Times" w:hAnsi="Times" w:cs="Times"/>
          <w:b/>
          <w:bCs/>
          <w:sz w:val="24"/>
          <w:szCs w:val="24"/>
        </w:rPr>
        <w:t>Análise Comparativa entre Métodos de Índice de Água por Diferença Normalizada (NDWI) em Área Úmida Continental.</w:t>
      </w:r>
      <w:r>
        <w:rPr>
          <w:rFonts w:ascii="Times" w:eastAsia="Times" w:hAnsi="Times" w:cs="Times"/>
          <w:sz w:val="24"/>
          <w:szCs w:val="24"/>
        </w:rPr>
        <w:t xml:space="preserve"> Anuário do Instituto de Geociências, v. 41, n. 2, 2018. </w:t>
      </w:r>
    </w:p>
    <w:p w14:paraId="08217595" w14:textId="77777777" w:rsidR="004B388C" w:rsidRDefault="004B388C">
      <w:pPr>
        <w:rPr>
          <w:rFonts w:ascii="Times" w:eastAsia="Times" w:hAnsi="Times" w:cs="Times"/>
          <w:sz w:val="24"/>
          <w:szCs w:val="24"/>
        </w:rPr>
      </w:pPr>
    </w:p>
    <w:p w14:paraId="06A877D3" w14:textId="77777777" w:rsidR="004B388C" w:rsidRDefault="00000000">
      <w:pPr>
        <w:rPr>
          <w:rFonts w:ascii="Times" w:eastAsia="Times" w:hAnsi="Times" w:cs="Times"/>
          <w:sz w:val="24"/>
          <w:szCs w:val="24"/>
          <w:highlight w:val="white"/>
        </w:rPr>
      </w:pPr>
      <w:r>
        <w:rPr>
          <w:rFonts w:ascii="Times" w:eastAsia="Times" w:hAnsi="Times" w:cs="Times"/>
          <w:sz w:val="24"/>
          <w:szCs w:val="24"/>
          <w:highlight w:val="white"/>
        </w:rPr>
        <w:t xml:space="preserve">RAUPP, Fabiano Maury; BEUREN, Ilse Maria. Metodologia da pesquisa aplicável às ciências. </w:t>
      </w:r>
      <w:r>
        <w:rPr>
          <w:rFonts w:ascii="Times" w:eastAsia="Times" w:hAnsi="Times" w:cs="Times"/>
          <w:b/>
          <w:bCs/>
          <w:sz w:val="24"/>
          <w:szCs w:val="24"/>
          <w:highlight w:val="white"/>
        </w:rPr>
        <w:t>Como elaborar trabalhos monográficos em contabilidade: teoria e prática. São Paulo: Atlas</w:t>
      </w:r>
      <w:r>
        <w:rPr>
          <w:rFonts w:ascii="Times" w:eastAsia="Times" w:hAnsi="Times" w:cs="Times"/>
          <w:sz w:val="24"/>
          <w:szCs w:val="24"/>
          <w:highlight w:val="white"/>
        </w:rPr>
        <w:t>, p. 76-97, 2006.</w:t>
      </w:r>
    </w:p>
    <w:p w14:paraId="080990F4" w14:textId="77777777" w:rsidR="004B388C" w:rsidRDefault="004B388C">
      <w:pPr>
        <w:rPr>
          <w:rFonts w:ascii="Times" w:eastAsia="Times" w:hAnsi="Times" w:cs="Times"/>
          <w:color w:val="222222"/>
          <w:sz w:val="24"/>
          <w:szCs w:val="24"/>
          <w:highlight w:val="white"/>
        </w:rPr>
      </w:pPr>
    </w:p>
    <w:p w14:paraId="720A9610" w14:textId="77777777" w:rsidR="004B388C" w:rsidRDefault="00000000">
      <w:pPr>
        <w:rPr>
          <w:rFonts w:ascii="Times" w:eastAsia="Times" w:hAnsi="Times" w:cs="Times"/>
          <w:sz w:val="24"/>
          <w:szCs w:val="24"/>
        </w:rPr>
      </w:pPr>
      <w:r>
        <w:rPr>
          <w:rFonts w:ascii="Times" w:eastAsia="Times" w:hAnsi="Times" w:cs="Times"/>
          <w:sz w:val="24"/>
          <w:szCs w:val="24"/>
        </w:rPr>
        <w:t xml:space="preserve">SANTOS, Marcus Suassuna et al. </w:t>
      </w:r>
      <w:r>
        <w:rPr>
          <w:rFonts w:ascii="Times" w:eastAsia="Times" w:hAnsi="Times" w:cs="Times"/>
          <w:b/>
          <w:bCs/>
          <w:sz w:val="24"/>
          <w:szCs w:val="24"/>
        </w:rPr>
        <w:t>Prognóstico de níveis do Rio Negro para o período de vazante de 2025: estação Manaus-Rio Negro: nota técnica</w:t>
      </w:r>
      <w:r>
        <w:rPr>
          <w:rFonts w:ascii="Times" w:eastAsia="Times" w:hAnsi="Times" w:cs="Times"/>
          <w:sz w:val="24"/>
          <w:szCs w:val="24"/>
        </w:rPr>
        <w:t>. Serviço Geológico do Brasil-SGB, 2025.Metodologia</w:t>
      </w:r>
    </w:p>
    <w:p w14:paraId="1B2BD136" w14:textId="77777777" w:rsidR="004B388C" w:rsidRDefault="004B388C">
      <w:pPr>
        <w:rPr>
          <w:rFonts w:ascii="Times" w:eastAsia="Times" w:hAnsi="Times" w:cs="Times"/>
          <w:sz w:val="24"/>
          <w:szCs w:val="24"/>
        </w:rPr>
      </w:pPr>
    </w:p>
    <w:p w14:paraId="7B05BF95" w14:textId="77777777" w:rsidR="004B388C" w:rsidRDefault="00000000">
      <w:pPr>
        <w:rPr>
          <w:rFonts w:ascii="Arial" w:eastAsia="Arial" w:hAnsi="Arial" w:cs="Arial"/>
          <w:sz w:val="24"/>
          <w:szCs w:val="24"/>
          <w:highlight w:val="white"/>
        </w:rPr>
      </w:pPr>
      <w:r>
        <w:rPr>
          <w:rFonts w:ascii="Times" w:eastAsia="Times" w:hAnsi="Times" w:cs="Times"/>
          <w:sz w:val="24"/>
          <w:szCs w:val="24"/>
          <w:highlight w:val="white"/>
        </w:rPr>
        <w:t xml:space="preserve">SOUSA, Ademar Almeida de et al. </w:t>
      </w:r>
      <w:r>
        <w:rPr>
          <w:rFonts w:ascii="Times" w:eastAsia="Times" w:hAnsi="Times" w:cs="Times"/>
          <w:b/>
          <w:bCs/>
          <w:sz w:val="24"/>
          <w:szCs w:val="24"/>
          <w:highlight w:val="white"/>
        </w:rPr>
        <w:t>Análise Multitemporal do Espelho d’água do Açude Jaburu I por Meio de Ferramentas de Sensoriamento Remoto nos Anos de 2013 a 2020.</w:t>
      </w:r>
      <w:r>
        <w:rPr>
          <w:rFonts w:ascii="Times" w:eastAsia="Times" w:hAnsi="Times" w:cs="Times"/>
          <w:sz w:val="24"/>
          <w:szCs w:val="24"/>
          <w:highlight w:val="white"/>
        </w:rPr>
        <w:t xml:space="preserve"> Revista Brasileira de Meteorologia, v. 37, p. 233-241, 2022.</w:t>
      </w:r>
    </w:p>
    <w:p w14:paraId="2693B576" w14:textId="77777777" w:rsidR="004B388C" w:rsidRDefault="00000000">
      <w:pPr>
        <w:rPr>
          <w:rFonts w:ascii="Times" w:eastAsia="Times" w:hAnsi="Times" w:cs="Times"/>
          <w:sz w:val="24"/>
          <w:szCs w:val="24"/>
          <w:highlight w:val="white"/>
        </w:rPr>
      </w:pPr>
      <w:r>
        <w:rPr>
          <w:rFonts w:ascii="Times" w:eastAsia="Times" w:hAnsi="Times" w:cs="Times"/>
          <w:sz w:val="24"/>
          <w:szCs w:val="24"/>
          <w:highlight w:val="white"/>
        </w:rPr>
        <w:t xml:space="preserve"> </w:t>
      </w:r>
    </w:p>
    <w:p w14:paraId="5C094C16" w14:textId="6BB8CE1E" w:rsidR="006C5334" w:rsidRDefault="00000000">
      <w:pPr>
        <w:rPr>
          <w:rFonts w:ascii="Times" w:eastAsia="Times" w:hAnsi="Times" w:cs="Times"/>
          <w:sz w:val="24"/>
          <w:szCs w:val="24"/>
          <w:highlight w:val="white"/>
        </w:rPr>
      </w:pPr>
      <w:r>
        <w:rPr>
          <w:rFonts w:ascii="Times" w:eastAsia="Times" w:hAnsi="Times" w:cs="Times"/>
          <w:sz w:val="24"/>
          <w:szCs w:val="24"/>
          <w:highlight w:val="white"/>
        </w:rPr>
        <w:t>WAGNER, Fabien H. et al. T</w:t>
      </w:r>
      <w:r>
        <w:rPr>
          <w:rFonts w:ascii="Times" w:eastAsia="Times" w:hAnsi="Times" w:cs="Times"/>
          <w:b/>
          <w:bCs/>
          <w:sz w:val="24"/>
          <w:szCs w:val="24"/>
          <w:highlight w:val="white"/>
        </w:rPr>
        <w:t>he Amazon’s 2023 drought: sentinel-1 reveals extreme rio negro river contraction.</w:t>
      </w:r>
      <w:r>
        <w:rPr>
          <w:rFonts w:ascii="Times" w:eastAsia="Times" w:hAnsi="Times" w:cs="Times"/>
          <w:sz w:val="24"/>
          <w:szCs w:val="24"/>
          <w:highlight w:val="white"/>
        </w:rPr>
        <w:t xml:space="preserve"> Remote Sensing, v. 16, n. 6, p. 1056, 2024.</w:t>
      </w:r>
    </w:p>
    <w:p w14:paraId="5AB9A816" w14:textId="77777777" w:rsidR="004B388C" w:rsidRDefault="004B388C">
      <w:pPr>
        <w:rPr>
          <w:rFonts w:ascii="Times" w:eastAsia="Times" w:hAnsi="Times" w:cs="Times"/>
          <w:sz w:val="24"/>
          <w:szCs w:val="24"/>
          <w:highlight w:val="white"/>
        </w:rPr>
      </w:pPr>
    </w:p>
    <w:p w14:paraId="1F7236FA" w14:textId="77777777" w:rsidR="004B388C" w:rsidRDefault="00000000">
      <w:pPr>
        <w:rPr>
          <w:rFonts w:ascii="Times" w:eastAsia="Times" w:hAnsi="Times" w:cs="Times"/>
          <w:sz w:val="24"/>
          <w:szCs w:val="24"/>
          <w:highlight w:val="white"/>
        </w:rPr>
      </w:pPr>
      <w:r>
        <w:rPr>
          <w:rFonts w:ascii="Arial" w:eastAsia="Arial" w:hAnsi="Arial" w:cs="Arial"/>
          <w:sz w:val="24"/>
          <w:szCs w:val="24"/>
          <w:highlight w:val="white"/>
        </w:rPr>
        <w:t xml:space="preserve"> </w:t>
      </w:r>
      <w:r>
        <w:rPr>
          <w:rFonts w:ascii="Times" w:eastAsia="Times" w:hAnsi="Times" w:cs="Times"/>
          <w:sz w:val="24"/>
          <w:szCs w:val="24"/>
          <w:highlight w:val="white"/>
        </w:rPr>
        <w:t xml:space="preserve">ZEIDEMANN, Vivian Karina. </w:t>
      </w:r>
      <w:r>
        <w:rPr>
          <w:rFonts w:ascii="Times" w:eastAsia="Times" w:hAnsi="Times" w:cs="Times"/>
          <w:b/>
          <w:bCs/>
          <w:sz w:val="24"/>
          <w:szCs w:val="24"/>
          <w:highlight w:val="white"/>
        </w:rPr>
        <w:t>O rio das Águas Negras.</w:t>
      </w:r>
      <w:r>
        <w:rPr>
          <w:rFonts w:ascii="Times" w:eastAsia="Times" w:hAnsi="Times" w:cs="Times"/>
          <w:sz w:val="24"/>
          <w:szCs w:val="24"/>
          <w:highlight w:val="white"/>
        </w:rPr>
        <w:t xml:space="preserve"> Florestas do Rio Negro. Companhia das Letras, São Paulo. 344p, p. 62-87, 2001.</w:t>
      </w:r>
    </w:p>
    <w:p w14:paraId="7BB3C645" w14:textId="77777777" w:rsidR="004B388C" w:rsidRDefault="004B388C">
      <w:pPr>
        <w:rPr>
          <w:rFonts w:ascii="Times" w:eastAsia="Times" w:hAnsi="Times" w:cs="Times"/>
          <w:sz w:val="24"/>
          <w:szCs w:val="24"/>
          <w:highlight w:val="white"/>
        </w:rPr>
      </w:pPr>
    </w:p>
    <w:p w14:paraId="3ACA40C6" w14:textId="77777777" w:rsidR="004B388C" w:rsidRDefault="004B388C">
      <w:pPr>
        <w:rPr>
          <w:rFonts w:ascii="Times" w:eastAsia="Times" w:hAnsi="Times" w:cs="Times"/>
          <w:sz w:val="24"/>
          <w:szCs w:val="24"/>
          <w:highlight w:val="white"/>
        </w:rPr>
      </w:pPr>
    </w:p>
    <w:sectPr w:rsidR="004B388C">
      <w:headerReference w:type="default" r:id="rId10"/>
      <w:footerReference w:type="default" r:id="rId11"/>
      <w:pgSz w:w="11910" w:h="16840"/>
      <w:pgMar w:top="1701" w:right="1134" w:bottom="1134" w:left="1701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861D04" w14:textId="77777777" w:rsidR="00B8169C" w:rsidRDefault="00B8169C">
      <w:r>
        <w:separator/>
      </w:r>
    </w:p>
  </w:endnote>
  <w:endnote w:type="continuationSeparator" w:id="0">
    <w:p w14:paraId="406D3859" w14:textId="77777777" w:rsidR="00B8169C" w:rsidRDefault="00B816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1" w:fontKey="{90C7C808-26B2-46D0-860E-8D06AA2257F6}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C410AD83-B956-4E4E-A172-65189C13F756}"/>
    <w:embedBold r:id="rId3" w:fontKey="{31F618D1-F56B-4E99-8EDD-A9BDFA1D6B07}"/>
    <w:embedItalic r:id="rId4" w:fontKey="{2165DB68-5E46-4677-96E8-F3516A4C233B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Italic r:id="rId5" w:fontKey="{F5B543C0-0432-4D02-9CE8-C95D6DDE413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222E7D11-A33C-4550-8449-FA1C6B35F78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3EBB4CB4-0CD2-409F-8D36-40E92D9916D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3FF301" w14:textId="77777777" w:rsidR="004B388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  <w:r>
      <w:rPr>
        <w:noProof/>
      </w:rPr>
      <w:drawing>
        <wp:anchor distT="0" distB="0" distL="114300" distR="114300" simplePos="0" relativeHeight="251658240" behindDoc="0" locked="0" layoutInCell="1" hidden="0" allowOverlap="1" wp14:anchorId="542BEB75" wp14:editId="33F4C5FD">
          <wp:simplePos x="0" y="0"/>
          <wp:positionH relativeFrom="column">
            <wp:posOffset>1</wp:posOffset>
          </wp:positionH>
          <wp:positionV relativeFrom="paragraph">
            <wp:posOffset>6350</wp:posOffset>
          </wp:positionV>
          <wp:extent cx="600075" cy="191770"/>
          <wp:effectExtent l="0" t="0" r="0" b="0"/>
          <wp:wrapSquare wrapText="bothSides" distT="0" distB="0" distL="114300" distR="114300"/>
          <wp:docPr id="10" name="image5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00075" cy="19177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hidden="0" allowOverlap="1" wp14:anchorId="505C569F" wp14:editId="0173F831">
          <wp:simplePos x="0" y="0"/>
          <wp:positionH relativeFrom="column">
            <wp:posOffset>850900</wp:posOffset>
          </wp:positionH>
          <wp:positionV relativeFrom="paragraph">
            <wp:posOffset>164465</wp:posOffset>
          </wp:positionV>
          <wp:extent cx="1231265" cy="384175"/>
          <wp:effectExtent l="0" t="0" r="0" b="0"/>
          <wp:wrapSquare wrapText="bothSides" distT="0" distB="0" distL="114300" distR="114300"/>
          <wp:docPr id="1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31265" cy="38417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0288" behindDoc="0" locked="0" layoutInCell="1" hidden="0" allowOverlap="1" wp14:anchorId="59052EE4" wp14:editId="36E4B86C">
          <wp:simplePos x="0" y="0"/>
          <wp:positionH relativeFrom="column">
            <wp:posOffset>2644140</wp:posOffset>
          </wp:positionH>
          <wp:positionV relativeFrom="paragraph">
            <wp:posOffset>0</wp:posOffset>
          </wp:positionV>
          <wp:extent cx="419100" cy="241935"/>
          <wp:effectExtent l="0" t="0" r="0" b="0"/>
          <wp:wrapSquare wrapText="bothSides" distT="0" distB="0" distL="114300" distR="114300"/>
          <wp:docPr id="2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19100" cy="24193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1312" behindDoc="0" locked="0" layoutInCell="1" hidden="0" allowOverlap="1" wp14:anchorId="7F83D322" wp14:editId="7F47BFA0">
          <wp:simplePos x="0" y="0"/>
          <wp:positionH relativeFrom="column">
            <wp:posOffset>3139440</wp:posOffset>
          </wp:positionH>
          <wp:positionV relativeFrom="paragraph">
            <wp:posOffset>184785</wp:posOffset>
          </wp:positionV>
          <wp:extent cx="542290" cy="384175"/>
          <wp:effectExtent l="0" t="0" r="0" b="0"/>
          <wp:wrapSquare wrapText="bothSides" distT="0" distB="0" distL="114300" distR="114300"/>
          <wp:docPr id="1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4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42290" cy="38417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hidden="0" allowOverlap="1" wp14:anchorId="7E8F5C20" wp14:editId="5CCE3355">
          <wp:simplePos x="0" y="0"/>
          <wp:positionH relativeFrom="column">
            <wp:posOffset>3910965</wp:posOffset>
          </wp:positionH>
          <wp:positionV relativeFrom="paragraph">
            <wp:posOffset>188595</wp:posOffset>
          </wp:positionV>
          <wp:extent cx="914400" cy="353695"/>
          <wp:effectExtent l="0" t="0" r="0" b="0"/>
          <wp:wrapSquare wrapText="bothSides" distT="0" distB="0" distL="114300" distR="114300"/>
          <wp:docPr id="9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5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14400" cy="35369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hidden="0" allowOverlap="1" wp14:anchorId="6D941985" wp14:editId="65A3F4C2">
          <wp:simplePos x="0" y="0"/>
          <wp:positionH relativeFrom="column">
            <wp:posOffset>5006340</wp:posOffset>
          </wp:positionH>
          <wp:positionV relativeFrom="paragraph">
            <wp:posOffset>194310</wp:posOffset>
          </wp:positionV>
          <wp:extent cx="756285" cy="335280"/>
          <wp:effectExtent l="0" t="0" r="0" b="0"/>
          <wp:wrapSquare wrapText="bothSides" distT="0" distB="0" distL="114300" distR="114300"/>
          <wp:docPr id="5" name="image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7.png"/>
                  <pic:cNvPicPr preferRelativeResize="0"/>
                </pic:nvPicPr>
                <pic:blipFill>
                  <a:blip r:embed="rId6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6285" cy="33528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303D85" w14:textId="77777777" w:rsidR="00B8169C" w:rsidRDefault="00B8169C">
      <w:r>
        <w:separator/>
      </w:r>
    </w:p>
  </w:footnote>
  <w:footnote w:type="continuationSeparator" w:id="0">
    <w:p w14:paraId="4A057D38" w14:textId="77777777" w:rsidR="00B8169C" w:rsidRDefault="00B816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33F5AF" w14:textId="77777777" w:rsidR="004B388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center"/>
      <w:rPr>
        <w:color w:val="000000"/>
      </w:rPr>
    </w:pPr>
    <w:r>
      <w:rPr>
        <w:noProof/>
        <w:color w:val="000000"/>
      </w:rPr>
      <w:drawing>
        <wp:inline distT="0" distB="0" distL="0" distR="0" wp14:anchorId="5D01F9A6" wp14:editId="2FD331D8">
          <wp:extent cx="3253105" cy="1610360"/>
          <wp:effectExtent l="0" t="0" r="0" b="0"/>
          <wp:docPr id="4" name="image11.png" descr="Logotipo, nome da empresa&#10;&#10;O conteúdo gerado por IA pode estar incorreto.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1.png" descr="Logotipo, nome da empresa&#10;&#10;O conteúdo gerado por IA pode estar incorreto."/>
                  <pic:cNvPicPr preferRelativeResize="0"/>
                </pic:nvPicPr>
                <pic:blipFill>
                  <a:blip r:embed="rId1"/>
                  <a:srcRect l="2865" t="33993" r="-2171" b="26667"/>
                  <a:stretch>
                    <a:fillRect/>
                  </a:stretch>
                </pic:blipFill>
                <pic:spPr>
                  <a:xfrm>
                    <a:off x="0" y="0"/>
                    <a:ext cx="3253105" cy="16103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388C"/>
    <w:rsid w:val="004B388C"/>
    <w:rsid w:val="00624F97"/>
    <w:rsid w:val="006C5334"/>
    <w:rsid w:val="00871843"/>
    <w:rsid w:val="00A27EBA"/>
    <w:rsid w:val="00B8169C"/>
    <w:rsid w:val="00B8364F"/>
    <w:rsid w:val="00DA5B95"/>
    <w:rsid w:val="00DC1D78"/>
    <w:rsid w:val="00F935C3"/>
    <w:rsid w:val="00FA0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45C495"/>
  <w15:docId w15:val="{A1DDA246-E3B9-4902-A894-8F24595C3D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2"/>
        <w:szCs w:val="22"/>
        <w:lang w:val="pt-PT" w:eastAsia="pt-BR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7.png"/><Relationship Id="rId1" Type="http://schemas.openxmlformats.org/officeDocument/2006/relationships/image" Target="media/image6.png"/><Relationship Id="rId6" Type="http://schemas.openxmlformats.org/officeDocument/2006/relationships/image" Target="media/image11.png"/><Relationship Id="rId5" Type="http://schemas.openxmlformats.org/officeDocument/2006/relationships/image" Target="media/image10.png"/><Relationship Id="rId4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</Pages>
  <Words>2652</Words>
  <Characters>14324</Characters>
  <Application>Microsoft Office Word</Application>
  <DocSecurity>0</DocSecurity>
  <Lines>119</Lines>
  <Paragraphs>33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Onix</dc:creator>
  <cp:lastModifiedBy>Juan Franc's</cp:lastModifiedBy>
  <cp:revision>3</cp:revision>
  <dcterms:created xsi:type="dcterms:W3CDTF">2025-11-30T18:09:00Z</dcterms:created>
  <dcterms:modified xsi:type="dcterms:W3CDTF">2025-11-30T18:13:00Z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lpwstr>2022-08-23T00:00:00Z</vt:lpwstr>
  </property>
  <property fmtid="{D5CDD505-2E9C-101B-9397-08002B2CF9AE}" pid="3" name="Creator">
    <vt:lpwstr>Microsoft® Word para Microsoft 365</vt:lpwstr>
  </property>
  <property fmtid="{D5CDD505-2E9C-101B-9397-08002B2CF9AE}" pid="4" name="LastSaved">
    <vt:lpwstr>2023-08-30T00:00:00Z</vt:lpwstr>
  </property>
</Properties>
</file>