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C457" w14:textId="61EAE8B1" w:rsidR="00E3782C" w:rsidRPr="00AD22F1" w:rsidRDefault="002B3076" w:rsidP="00E3782C">
      <w:pPr>
        <w:pStyle w:val="Ttulo"/>
      </w:pPr>
      <w:r w:rsidRPr="002B3076">
        <w:rPr>
          <w:spacing w:val="-2"/>
        </w:rPr>
        <w:t xml:space="preserve">DESAFIOS DO CONTROLE DE ESPÉCIES INVASORAS DO GÊNERO </w:t>
      </w:r>
      <w:r w:rsidRPr="002B3076">
        <w:rPr>
          <w:i/>
          <w:iCs/>
          <w:spacing w:val="-2"/>
        </w:rPr>
        <w:t>PINUS</w:t>
      </w:r>
      <w:r w:rsidRPr="002B3076">
        <w:rPr>
          <w:spacing w:val="-2"/>
        </w:rPr>
        <w:t xml:space="preserve"> EM UNIDADES DE CONSERVAÇÃO FEDERAIS DO BRASIL</w:t>
      </w:r>
    </w:p>
    <w:p w14:paraId="58281A71" w14:textId="64B17ADB" w:rsidR="00E3782C" w:rsidRPr="005F70B0" w:rsidRDefault="00E3782C" w:rsidP="00E3782C">
      <w:pPr>
        <w:pStyle w:val="Ttulo1"/>
        <w:spacing w:before="251" w:line="242" w:lineRule="auto"/>
        <w:ind w:left="75" w:right="214"/>
        <w:jc w:val="center"/>
        <w:rPr>
          <w:sz w:val="24"/>
          <w:szCs w:val="24"/>
        </w:rPr>
      </w:pPr>
      <w:bookmarkStart w:id="0" w:name="1Primeiro_Autor_com_nome_completo,_2Segu"/>
      <w:bookmarkEnd w:id="0"/>
      <w:r w:rsidRPr="005F70B0">
        <w:rPr>
          <w:sz w:val="24"/>
          <w:szCs w:val="24"/>
          <w:vertAlign w:val="superscript"/>
        </w:rPr>
        <w:t>1</w:t>
      </w:r>
      <w:r w:rsidR="0047103C">
        <w:rPr>
          <w:sz w:val="24"/>
          <w:szCs w:val="24"/>
        </w:rPr>
        <w:t>Laura Reis Couto</w:t>
      </w:r>
      <w:r w:rsidRPr="005F70B0">
        <w:rPr>
          <w:sz w:val="24"/>
          <w:szCs w:val="24"/>
        </w:rPr>
        <w:t>,</w:t>
      </w:r>
      <w:r w:rsidRPr="005F70B0">
        <w:rPr>
          <w:spacing w:val="-2"/>
          <w:sz w:val="24"/>
          <w:szCs w:val="24"/>
        </w:rPr>
        <w:t xml:space="preserve"> </w:t>
      </w:r>
      <w:r w:rsidRPr="005F70B0">
        <w:rPr>
          <w:sz w:val="24"/>
          <w:szCs w:val="24"/>
          <w:vertAlign w:val="superscript"/>
        </w:rPr>
        <w:t>2</w:t>
      </w:r>
      <w:r w:rsidR="0047103C">
        <w:rPr>
          <w:sz w:val="24"/>
          <w:szCs w:val="24"/>
        </w:rPr>
        <w:t xml:space="preserve">Maria Eduarda Peixoto, </w:t>
      </w:r>
      <w:r w:rsidRPr="005F70B0">
        <w:rPr>
          <w:sz w:val="24"/>
          <w:szCs w:val="24"/>
          <w:vertAlign w:val="superscript"/>
        </w:rPr>
        <w:t>3</w:t>
      </w:r>
      <w:r w:rsidR="0047103C">
        <w:rPr>
          <w:sz w:val="24"/>
          <w:szCs w:val="24"/>
        </w:rPr>
        <w:t>Marco Aurélio Leite Fontes</w:t>
      </w:r>
    </w:p>
    <w:p w14:paraId="158B3CEA" w14:textId="6E461BFC" w:rsidR="00E3782C" w:rsidRPr="005F70B0" w:rsidRDefault="00E3782C" w:rsidP="00E3782C">
      <w:pPr>
        <w:spacing w:line="228" w:lineRule="exact"/>
        <w:ind w:left="77" w:right="209"/>
        <w:jc w:val="center"/>
        <w:rPr>
          <w:i/>
          <w:spacing w:val="-2"/>
          <w:sz w:val="24"/>
          <w:szCs w:val="24"/>
        </w:rPr>
      </w:pPr>
      <w:r w:rsidRPr="005F70B0">
        <w:rPr>
          <w:i/>
          <w:sz w:val="24"/>
          <w:szCs w:val="24"/>
          <w:vertAlign w:val="superscript"/>
        </w:rPr>
        <w:t>1</w:t>
      </w:r>
      <w:r w:rsidR="0047103C">
        <w:rPr>
          <w:i/>
          <w:sz w:val="24"/>
          <w:szCs w:val="24"/>
        </w:rPr>
        <w:t>Universidade Federal de Lavras</w:t>
      </w:r>
      <w:r w:rsidRPr="005F70B0">
        <w:rPr>
          <w:i/>
          <w:sz w:val="24"/>
          <w:szCs w:val="24"/>
        </w:rPr>
        <w:t>, e-mail:</w:t>
      </w:r>
      <w:r w:rsidR="0047103C">
        <w:rPr>
          <w:i/>
          <w:sz w:val="24"/>
          <w:szCs w:val="24"/>
        </w:rPr>
        <w:t>laurarcouto@gmail.com</w:t>
      </w:r>
      <w:r w:rsidRPr="005F70B0">
        <w:rPr>
          <w:i/>
          <w:sz w:val="24"/>
          <w:szCs w:val="24"/>
        </w:rPr>
        <w:t>;</w:t>
      </w:r>
      <w:r w:rsidRPr="005F70B0">
        <w:rPr>
          <w:i/>
          <w:spacing w:val="-3"/>
          <w:sz w:val="24"/>
          <w:szCs w:val="24"/>
        </w:rPr>
        <w:t xml:space="preserve"> </w:t>
      </w:r>
      <w:r w:rsidRPr="005F70B0">
        <w:rPr>
          <w:i/>
          <w:sz w:val="24"/>
          <w:szCs w:val="24"/>
          <w:vertAlign w:val="superscript"/>
        </w:rPr>
        <w:t>2</w:t>
      </w:r>
      <w:r w:rsidR="0047103C">
        <w:rPr>
          <w:i/>
          <w:sz w:val="24"/>
          <w:szCs w:val="24"/>
        </w:rPr>
        <w:t xml:space="preserve">Universidade Federal de Lavras, </w:t>
      </w:r>
      <w:r w:rsidRPr="005F70B0">
        <w:rPr>
          <w:i/>
          <w:sz w:val="24"/>
          <w:szCs w:val="24"/>
        </w:rPr>
        <w:t>e-mail</w:t>
      </w:r>
      <w:r w:rsidR="0047103C">
        <w:rPr>
          <w:i/>
          <w:sz w:val="24"/>
          <w:szCs w:val="24"/>
        </w:rPr>
        <w:t>:</w:t>
      </w:r>
      <w:r w:rsidR="0047103C" w:rsidRPr="0047103C">
        <w:t xml:space="preserve"> </w:t>
      </w:r>
      <w:r w:rsidR="0047103C" w:rsidRPr="0047103C">
        <w:rPr>
          <w:i/>
          <w:sz w:val="24"/>
          <w:szCs w:val="24"/>
        </w:rPr>
        <w:t>meduardacpeixoto@gmail.com</w:t>
      </w:r>
      <w:r w:rsidRPr="005F70B0">
        <w:rPr>
          <w:i/>
          <w:sz w:val="24"/>
          <w:szCs w:val="24"/>
        </w:rPr>
        <w:t>;</w:t>
      </w:r>
      <w:r w:rsidRPr="005F70B0">
        <w:rPr>
          <w:i/>
          <w:spacing w:val="-3"/>
          <w:sz w:val="24"/>
          <w:szCs w:val="24"/>
        </w:rPr>
        <w:t xml:space="preserve"> </w:t>
      </w:r>
      <w:r w:rsidRPr="005F70B0">
        <w:rPr>
          <w:i/>
          <w:sz w:val="24"/>
          <w:szCs w:val="24"/>
          <w:vertAlign w:val="superscript"/>
        </w:rPr>
        <w:t>3</w:t>
      </w:r>
      <w:r w:rsidR="0047103C">
        <w:rPr>
          <w:i/>
          <w:sz w:val="24"/>
          <w:szCs w:val="24"/>
        </w:rPr>
        <w:t>Universidade Federal de Lavras</w:t>
      </w:r>
      <w:r w:rsidRPr="005F70B0">
        <w:rPr>
          <w:i/>
          <w:sz w:val="24"/>
          <w:szCs w:val="24"/>
        </w:rPr>
        <w:t>,</w:t>
      </w:r>
      <w:r w:rsidRPr="005F70B0">
        <w:rPr>
          <w:i/>
          <w:spacing w:val="-1"/>
          <w:sz w:val="24"/>
          <w:szCs w:val="24"/>
        </w:rPr>
        <w:t xml:space="preserve"> </w:t>
      </w:r>
      <w:r w:rsidRPr="005F70B0">
        <w:rPr>
          <w:i/>
          <w:sz w:val="24"/>
          <w:szCs w:val="24"/>
        </w:rPr>
        <w:t>e</w:t>
      </w:r>
      <w:r w:rsidR="00CA497F">
        <w:rPr>
          <w:i/>
          <w:sz w:val="24"/>
          <w:szCs w:val="24"/>
        </w:rPr>
        <w:t>-</w:t>
      </w:r>
      <w:r w:rsidRPr="005F70B0">
        <w:rPr>
          <w:i/>
          <w:sz w:val="24"/>
          <w:szCs w:val="24"/>
        </w:rPr>
        <w:t>mail:</w:t>
      </w:r>
      <w:r w:rsidRPr="005F70B0">
        <w:rPr>
          <w:i/>
          <w:spacing w:val="-3"/>
          <w:sz w:val="24"/>
          <w:szCs w:val="24"/>
        </w:rPr>
        <w:t xml:space="preserve"> </w:t>
      </w:r>
      <w:r w:rsidR="0047103C">
        <w:rPr>
          <w:i/>
          <w:spacing w:val="-2"/>
          <w:sz w:val="24"/>
          <w:szCs w:val="24"/>
        </w:rPr>
        <w:t>fontes@ufla.br</w:t>
      </w:r>
    </w:p>
    <w:p w14:paraId="19ACAB03" w14:textId="77777777" w:rsidR="00E3782C" w:rsidRPr="005F70B0" w:rsidRDefault="00E3782C" w:rsidP="00E3782C">
      <w:pPr>
        <w:spacing w:line="228" w:lineRule="exact"/>
        <w:ind w:left="77" w:right="209"/>
        <w:jc w:val="center"/>
        <w:rPr>
          <w:i/>
          <w:spacing w:val="-2"/>
          <w:sz w:val="24"/>
          <w:szCs w:val="24"/>
        </w:rPr>
      </w:pPr>
    </w:p>
    <w:p w14:paraId="1DE69F93" w14:textId="29D70796" w:rsidR="0047103C" w:rsidRDefault="0047103C" w:rsidP="0072498A">
      <w:pPr>
        <w:spacing w:line="228" w:lineRule="exact"/>
        <w:ind w:left="77" w:right="209"/>
        <w:jc w:val="right"/>
        <w:rPr>
          <w:b/>
          <w:bCs/>
          <w:i/>
          <w:spacing w:val="-2"/>
          <w:sz w:val="24"/>
          <w:szCs w:val="24"/>
        </w:rPr>
      </w:pPr>
      <w:r w:rsidRPr="0047103C">
        <w:rPr>
          <w:b/>
          <w:bCs/>
          <w:i/>
          <w:spacing w:val="-2"/>
          <w:sz w:val="24"/>
          <w:szCs w:val="24"/>
        </w:rPr>
        <w:t>Gestão</w:t>
      </w:r>
      <w:r w:rsidR="0072498A">
        <w:rPr>
          <w:b/>
          <w:bCs/>
          <w:i/>
          <w:spacing w:val="-2"/>
          <w:sz w:val="24"/>
          <w:szCs w:val="24"/>
        </w:rPr>
        <w:t xml:space="preserve"> </w:t>
      </w:r>
      <w:r w:rsidRPr="0047103C">
        <w:rPr>
          <w:b/>
          <w:bCs/>
          <w:i/>
          <w:spacing w:val="-2"/>
          <w:sz w:val="24"/>
          <w:szCs w:val="24"/>
        </w:rPr>
        <w:t>Ambiental e Politícas</w:t>
      </w:r>
      <w:r w:rsidR="0072498A">
        <w:rPr>
          <w:b/>
          <w:bCs/>
          <w:i/>
          <w:spacing w:val="-2"/>
          <w:sz w:val="24"/>
          <w:szCs w:val="24"/>
        </w:rPr>
        <w:t xml:space="preserve"> </w:t>
      </w:r>
      <w:r w:rsidRPr="0047103C">
        <w:rPr>
          <w:b/>
          <w:bCs/>
          <w:i/>
          <w:spacing w:val="-2"/>
          <w:sz w:val="24"/>
          <w:szCs w:val="24"/>
        </w:rPr>
        <w:t>Ambientais</w:t>
      </w:r>
    </w:p>
    <w:p w14:paraId="1ADFF788" w14:textId="673FA6A2" w:rsidR="00E3782C" w:rsidRPr="0047103C" w:rsidRDefault="0047103C" w:rsidP="0047103C">
      <w:pPr>
        <w:spacing w:line="228" w:lineRule="exact"/>
        <w:ind w:left="77" w:right="209"/>
        <w:jc w:val="right"/>
        <w:rPr>
          <w:b/>
          <w:bCs/>
          <w:i/>
          <w:spacing w:val="-2"/>
          <w:sz w:val="24"/>
          <w:szCs w:val="24"/>
        </w:rPr>
      </w:pPr>
      <w:r w:rsidRPr="0047103C">
        <w:rPr>
          <w:b/>
          <w:bCs/>
          <w:i/>
          <w:spacing w:val="-2"/>
          <w:sz w:val="24"/>
          <w:szCs w:val="24"/>
        </w:rPr>
        <w:t>Gestão integrada na legislação de recursos</w:t>
      </w:r>
      <w:r>
        <w:rPr>
          <w:b/>
          <w:bCs/>
          <w:i/>
          <w:spacing w:val="-2"/>
          <w:sz w:val="24"/>
          <w:szCs w:val="24"/>
        </w:rPr>
        <w:t xml:space="preserve"> </w:t>
      </w:r>
      <w:r w:rsidRPr="0047103C">
        <w:rPr>
          <w:b/>
          <w:bCs/>
          <w:i/>
          <w:spacing w:val="-2"/>
          <w:sz w:val="24"/>
          <w:szCs w:val="24"/>
        </w:rPr>
        <w:t>naturais.</w:t>
      </w:r>
    </w:p>
    <w:p w14:paraId="0436152D" w14:textId="77777777" w:rsidR="0072498A" w:rsidRDefault="0072498A" w:rsidP="00E3782C">
      <w:pPr>
        <w:spacing w:line="228" w:lineRule="exact"/>
        <w:ind w:left="77" w:right="209"/>
        <w:jc w:val="center"/>
        <w:rPr>
          <w:b/>
          <w:bCs/>
          <w:iCs/>
          <w:sz w:val="28"/>
          <w:szCs w:val="28"/>
        </w:rPr>
      </w:pPr>
    </w:p>
    <w:p w14:paraId="1C41F88F" w14:textId="7DA874CD" w:rsidR="00E3782C" w:rsidRPr="002B3076" w:rsidRDefault="00E3782C" w:rsidP="002B3076">
      <w:pPr>
        <w:spacing w:line="228" w:lineRule="exact"/>
        <w:ind w:left="77" w:right="209"/>
        <w:jc w:val="center"/>
        <w:rPr>
          <w:b/>
          <w:bCs/>
          <w:iCs/>
          <w:sz w:val="28"/>
          <w:szCs w:val="28"/>
        </w:rPr>
      </w:pPr>
      <w:r w:rsidRPr="005F70B0">
        <w:rPr>
          <w:b/>
          <w:bCs/>
          <w:iCs/>
          <w:sz w:val="28"/>
          <w:szCs w:val="28"/>
        </w:rPr>
        <w:t>Resumo</w:t>
      </w:r>
    </w:p>
    <w:p w14:paraId="762F9B08" w14:textId="3AE291BB" w:rsidR="00E3782C" w:rsidRPr="005F70B0" w:rsidRDefault="00B05A92" w:rsidP="00E3782C">
      <w:pPr>
        <w:jc w:val="both"/>
        <w:rPr>
          <w:b/>
          <w:sz w:val="24"/>
          <w:szCs w:val="24"/>
        </w:rPr>
      </w:pPr>
      <w:r w:rsidRPr="00B05A92">
        <w:rPr>
          <w:iCs/>
          <w:sz w:val="24"/>
          <w:szCs w:val="24"/>
        </w:rPr>
        <w:t xml:space="preserve">As espécies exóticas invasoras representam uma das principais ameaças à biodiversidade em Unidades de Conservação, com destaque para as árvores do gênero </w:t>
      </w:r>
      <w:r w:rsidRPr="002B3076">
        <w:rPr>
          <w:i/>
          <w:sz w:val="24"/>
          <w:szCs w:val="24"/>
        </w:rPr>
        <w:t>Pinus</w:t>
      </w:r>
      <w:r w:rsidRPr="00B05A92">
        <w:rPr>
          <w:iCs/>
          <w:sz w:val="24"/>
          <w:szCs w:val="24"/>
        </w:rPr>
        <w:t xml:space="preserve">, capazes de causarem impactos significativos nos ecossistemas e paisagens naturais. Este estudo buscou mapear a ocorrência dos pínus em Unidades de Conservação federais brasileiras e identificar os desafios enfrentados no </w:t>
      </w:r>
      <w:r w:rsidR="002B3076">
        <w:rPr>
          <w:iCs/>
          <w:sz w:val="24"/>
          <w:szCs w:val="24"/>
        </w:rPr>
        <w:t>manejo do gênero</w:t>
      </w:r>
      <w:r w:rsidRPr="00B05A92">
        <w:rPr>
          <w:iCs/>
          <w:sz w:val="24"/>
          <w:szCs w:val="24"/>
        </w:rPr>
        <w:t>. A pesquisa baseou-se em entrevistas com servidores de 15 unidades distribuídas nos biomas Mata Atlântica, Cerrado e Marinho Costeiro, utilizando uma abordagem metodológica que integrou a análise qualitativa com apoio do software IRaMuTeQ e a análise quantitativa realizada por meio de estatísticas descritivas.</w:t>
      </w:r>
      <w:r w:rsidR="00CA497F">
        <w:rPr>
          <w:iCs/>
          <w:sz w:val="24"/>
          <w:szCs w:val="24"/>
        </w:rPr>
        <w:t xml:space="preserve"> </w:t>
      </w:r>
      <w:r w:rsidRPr="00B05A92">
        <w:rPr>
          <w:iCs/>
          <w:sz w:val="24"/>
          <w:szCs w:val="24"/>
        </w:rPr>
        <w:t>Os</w:t>
      </w:r>
      <w:r w:rsidR="00CA497F">
        <w:rPr>
          <w:iCs/>
          <w:sz w:val="24"/>
          <w:szCs w:val="24"/>
        </w:rPr>
        <w:t xml:space="preserve"> </w:t>
      </w:r>
      <w:r w:rsidRPr="00B05A92">
        <w:rPr>
          <w:iCs/>
          <w:sz w:val="24"/>
          <w:szCs w:val="24"/>
        </w:rPr>
        <w:t>resultados demonstraram que a carência de mão de obra especializada foi apontada como o principal desafio, mencionada por 60% das unidades, seguida pela insuficiência de recursos financeiros, citada por 20% dos respondentes. Conclui-se que, embora existam técnicas de controle efetivas, a aplicação é limitada por restrições orçamentárias e operacionais. Para reverter esse cenário, recomenda-se a criação de brigadas regionais voluntárias ou remuneradas para viabilizar as ações coordenadas de controle de múltiplas EEIs em UCs de diferentes esferas administrativas.</w:t>
      </w:r>
    </w:p>
    <w:p w14:paraId="107291DB" w14:textId="77777777" w:rsidR="00B05A92" w:rsidRDefault="00B05A92" w:rsidP="009C4B75">
      <w:pPr>
        <w:jc w:val="both"/>
        <w:rPr>
          <w:b/>
          <w:sz w:val="24"/>
          <w:szCs w:val="24"/>
        </w:rPr>
      </w:pPr>
    </w:p>
    <w:p w14:paraId="006243D2" w14:textId="14887062" w:rsidR="009C4B75" w:rsidRDefault="00E3782C" w:rsidP="009C4B75">
      <w:pPr>
        <w:jc w:val="both"/>
        <w:rPr>
          <w:spacing w:val="-2"/>
          <w:sz w:val="24"/>
          <w:szCs w:val="24"/>
        </w:rPr>
      </w:pPr>
      <w:r w:rsidRPr="005F70B0">
        <w:rPr>
          <w:b/>
          <w:sz w:val="24"/>
          <w:szCs w:val="24"/>
        </w:rPr>
        <w:t>Palavras-chave:</w:t>
      </w:r>
      <w:r w:rsidRPr="005F70B0">
        <w:rPr>
          <w:b/>
          <w:spacing w:val="-2"/>
          <w:sz w:val="24"/>
          <w:szCs w:val="24"/>
        </w:rPr>
        <w:t xml:space="preserve"> </w:t>
      </w:r>
      <w:r w:rsidR="002B3076">
        <w:rPr>
          <w:sz w:val="24"/>
          <w:szCs w:val="24"/>
        </w:rPr>
        <w:t>Áreas Protegidas</w:t>
      </w:r>
      <w:r w:rsidRPr="005F70B0">
        <w:rPr>
          <w:spacing w:val="-2"/>
          <w:sz w:val="24"/>
          <w:szCs w:val="24"/>
        </w:rPr>
        <w:t xml:space="preserve">; </w:t>
      </w:r>
      <w:r w:rsidR="002B3076">
        <w:rPr>
          <w:spacing w:val="-2"/>
          <w:sz w:val="24"/>
          <w:szCs w:val="24"/>
        </w:rPr>
        <w:t>Invasões Biológicas</w:t>
      </w:r>
      <w:r w:rsidRPr="005F70B0">
        <w:rPr>
          <w:spacing w:val="-2"/>
          <w:sz w:val="24"/>
          <w:szCs w:val="24"/>
        </w:rPr>
        <w:t xml:space="preserve">; </w:t>
      </w:r>
      <w:r w:rsidR="002B3076">
        <w:rPr>
          <w:spacing w:val="-2"/>
          <w:sz w:val="24"/>
          <w:szCs w:val="24"/>
        </w:rPr>
        <w:t>Coníferas</w:t>
      </w:r>
      <w:r w:rsidRPr="005F70B0">
        <w:rPr>
          <w:spacing w:val="-2"/>
          <w:sz w:val="24"/>
          <w:szCs w:val="24"/>
        </w:rPr>
        <w:t>.</w:t>
      </w:r>
    </w:p>
    <w:p w14:paraId="0F7CD38A" w14:textId="77777777" w:rsidR="009C4B75" w:rsidRDefault="009C4B75" w:rsidP="009C4B75">
      <w:pPr>
        <w:jc w:val="both"/>
        <w:rPr>
          <w:b/>
          <w:bCs/>
          <w:spacing w:val="-2"/>
          <w:sz w:val="28"/>
          <w:szCs w:val="28"/>
        </w:rPr>
      </w:pPr>
    </w:p>
    <w:p w14:paraId="5E270B86" w14:textId="4A21B00D" w:rsidR="009C4B75" w:rsidRPr="00CE4FF1" w:rsidRDefault="00E3782C" w:rsidP="00CE4FF1">
      <w:pPr>
        <w:spacing w:line="360" w:lineRule="auto"/>
        <w:jc w:val="both"/>
        <w:rPr>
          <w:b/>
          <w:bCs/>
          <w:spacing w:val="-2"/>
          <w:sz w:val="28"/>
          <w:szCs w:val="28"/>
        </w:rPr>
      </w:pPr>
      <w:r w:rsidRPr="005F70B0">
        <w:rPr>
          <w:b/>
          <w:bCs/>
          <w:spacing w:val="-2"/>
          <w:sz w:val="28"/>
          <w:szCs w:val="28"/>
        </w:rPr>
        <w:t>Introdução</w:t>
      </w:r>
    </w:p>
    <w:p w14:paraId="739A6BD3" w14:textId="45117BA7" w:rsidR="00DD37B6" w:rsidRPr="00DD37B6" w:rsidRDefault="00DD37B6" w:rsidP="00936710">
      <w:pPr>
        <w:pStyle w:val="Corpodetexto"/>
        <w:spacing w:before="1" w:line="360" w:lineRule="auto"/>
        <w:ind w:firstLine="709"/>
        <w:jc w:val="both"/>
        <w:rPr>
          <w:sz w:val="24"/>
          <w:szCs w:val="24"/>
        </w:rPr>
      </w:pPr>
      <w:r w:rsidRPr="00DD37B6">
        <w:rPr>
          <w:sz w:val="24"/>
          <w:szCs w:val="24"/>
        </w:rPr>
        <w:t xml:space="preserve">As Unidades de Conservação (UCs) são instrumentos fundamentais de proteção dos ecossistemas, por meio da manutenção da biodiversidade e regulação do uso dos recursos naturais. A consolidação dessas Áreas Protegidas (APs) compõe mosaicos florestais essenciais para a provisão de serviços ecossistêmicos (HASSLER, 2005), constituindo também uma relevante ferramenta econômica (MEDEIROS; YOUNG, 2011). Contudo, a integridade dessas APs é constantemente desafiada por pressões antrópicas e ambientais, entre as quais se destacam as espécies exóticas invasoras (EEIs), que se proliferam de forma descontrolada e representam uma das maiores causas da perda de biodiversidade nativa na contemporaneidade (DECHOUM </w:t>
      </w:r>
      <w:r w:rsidRPr="00DD37B6">
        <w:rPr>
          <w:i/>
          <w:iCs/>
          <w:sz w:val="24"/>
          <w:szCs w:val="24"/>
        </w:rPr>
        <w:t>et al</w:t>
      </w:r>
      <w:r w:rsidRPr="00DD37B6">
        <w:rPr>
          <w:sz w:val="24"/>
          <w:szCs w:val="24"/>
        </w:rPr>
        <w:t>., 2024).</w:t>
      </w:r>
    </w:p>
    <w:p w14:paraId="2381EB04" w14:textId="06277551" w:rsidR="00CE4FF1" w:rsidRDefault="00DD37B6" w:rsidP="00936710">
      <w:pPr>
        <w:pStyle w:val="Corpodetexto"/>
        <w:spacing w:before="1" w:line="360" w:lineRule="auto"/>
        <w:ind w:firstLine="709"/>
        <w:jc w:val="both"/>
        <w:rPr>
          <w:sz w:val="24"/>
          <w:szCs w:val="24"/>
        </w:rPr>
      </w:pPr>
      <w:r w:rsidRPr="00DD37B6">
        <w:rPr>
          <w:sz w:val="24"/>
          <w:szCs w:val="24"/>
        </w:rPr>
        <w:t xml:space="preserve">Nesse contexto, espécies arbóreas do gênero </w:t>
      </w:r>
      <w:r w:rsidRPr="00DD37B6">
        <w:rPr>
          <w:i/>
          <w:iCs/>
          <w:sz w:val="24"/>
          <w:szCs w:val="24"/>
        </w:rPr>
        <w:t>Pinus</w:t>
      </w:r>
      <w:r w:rsidRPr="00DD37B6">
        <w:rPr>
          <w:sz w:val="24"/>
          <w:szCs w:val="24"/>
        </w:rPr>
        <w:t xml:space="preserve"> emergem como um caso digno de atenção no Brasil. Os pínus são capazes de alterar o funcionamento dos ecossistemas nativos, </w:t>
      </w:r>
      <w:r w:rsidRPr="00DD37B6">
        <w:rPr>
          <w:sz w:val="24"/>
          <w:szCs w:val="24"/>
        </w:rPr>
        <w:lastRenderedPageBreak/>
        <w:t xml:space="preserve">homogeneizar paisagens e ocasionar a perda de biodiversidade, comprometendo os objetivos de conservação das UCs (BOULET </w:t>
      </w:r>
      <w:r w:rsidRPr="00DD37B6">
        <w:rPr>
          <w:i/>
          <w:iCs/>
          <w:sz w:val="24"/>
          <w:szCs w:val="24"/>
        </w:rPr>
        <w:t>et al</w:t>
      </w:r>
      <w:r w:rsidRPr="00DD37B6">
        <w:rPr>
          <w:sz w:val="24"/>
          <w:szCs w:val="24"/>
        </w:rPr>
        <w:t xml:space="preserve">., 2021; MESACASA </w:t>
      </w:r>
      <w:r w:rsidRPr="00DD37B6">
        <w:rPr>
          <w:i/>
          <w:iCs/>
          <w:sz w:val="24"/>
          <w:szCs w:val="24"/>
        </w:rPr>
        <w:t>et al</w:t>
      </w:r>
      <w:r w:rsidRPr="00DD37B6">
        <w:rPr>
          <w:sz w:val="24"/>
          <w:szCs w:val="24"/>
        </w:rPr>
        <w:t>., 2022). Ademais, a dificuldade de controle devido à escassez de recursos financeiros e de mão de obra especializada (MACHADO; CLAUZET; YOUNG, 2018) agrava o cenário, permitindo a expansão contínua do gênero. Desse modo, os objetivos deste trabalho foram mapear as UCs federais com registros de ocorrência de Pinus por bioma e compreender os possíveis desafios e limitações do controle do gênero invasor nessas áreas.</w:t>
      </w:r>
    </w:p>
    <w:p w14:paraId="64CDC528" w14:textId="77777777" w:rsidR="00DD37B6" w:rsidRPr="005F70B0" w:rsidRDefault="00DD37B6" w:rsidP="00DD37B6">
      <w:pPr>
        <w:pStyle w:val="Corpodetexto"/>
        <w:spacing w:before="1" w:line="360" w:lineRule="auto"/>
        <w:ind w:firstLine="720"/>
        <w:jc w:val="both"/>
        <w:rPr>
          <w:sz w:val="24"/>
          <w:szCs w:val="24"/>
        </w:rPr>
      </w:pPr>
    </w:p>
    <w:p w14:paraId="208760B7" w14:textId="653A6907" w:rsidR="00E3782C" w:rsidRPr="005F70B0" w:rsidRDefault="00E3782C" w:rsidP="009C4B75">
      <w:pPr>
        <w:pStyle w:val="Corpodetexto"/>
        <w:spacing w:before="1" w:line="360" w:lineRule="auto"/>
        <w:jc w:val="both"/>
        <w:rPr>
          <w:b/>
          <w:bCs/>
          <w:sz w:val="28"/>
          <w:szCs w:val="28"/>
        </w:rPr>
      </w:pPr>
      <w:r w:rsidRPr="005F70B0">
        <w:rPr>
          <w:b/>
          <w:bCs/>
          <w:sz w:val="28"/>
          <w:szCs w:val="28"/>
        </w:rPr>
        <w:t>Metodologia</w:t>
      </w:r>
    </w:p>
    <w:p w14:paraId="5E2CE767" w14:textId="78234A07" w:rsidR="00B76016" w:rsidRDefault="00CE4FF1" w:rsidP="00936710">
      <w:pPr>
        <w:pStyle w:val="Corpodetexto"/>
        <w:spacing w:before="1" w:line="360" w:lineRule="auto"/>
        <w:ind w:firstLine="709"/>
        <w:jc w:val="both"/>
        <w:rPr>
          <w:sz w:val="24"/>
          <w:szCs w:val="24"/>
        </w:rPr>
      </w:pPr>
      <w:r w:rsidRPr="00CE4FF1">
        <w:rPr>
          <w:sz w:val="24"/>
          <w:szCs w:val="24"/>
        </w:rPr>
        <w:t xml:space="preserve">Para a realização desta pesquisa, foram coletados dados de 15 UCs de esfera federal com relatos de presença de </w:t>
      </w:r>
      <w:r w:rsidRPr="00CA497F">
        <w:rPr>
          <w:i/>
          <w:iCs/>
          <w:sz w:val="24"/>
          <w:szCs w:val="24"/>
        </w:rPr>
        <w:t>Pinus</w:t>
      </w:r>
      <w:r w:rsidRPr="00CE4FF1">
        <w:rPr>
          <w:sz w:val="24"/>
          <w:szCs w:val="24"/>
        </w:rPr>
        <w:t xml:space="preserve"> em três biomas distintos: Mata Atlântica, Cerrado e Marinho Costeiro.</w:t>
      </w:r>
    </w:p>
    <w:p w14:paraId="2E0FD35A" w14:textId="2924B543" w:rsidR="00B76016" w:rsidRPr="00B76016" w:rsidRDefault="00B76016" w:rsidP="00B76016">
      <w:pPr>
        <w:jc w:val="center"/>
        <w:rPr>
          <w:b/>
          <w:bCs/>
          <w:sz w:val="20"/>
          <w:szCs w:val="20"/>
        </w:rPr>
      </w:pPr>
      <w:r w:rsidRPr="00B76016">
        <w:rPr>
          <w:b/>
          <w:bCs/>
          <w:sz w:val="20"/>
          <w:szCs w:val="20"/>
        </w:rPr>
        <w:t>Tabela</w:t>
      </w:r>
      <w:r w:rsidRPr="00B76016">
        <w:rPr>
          <w:b/>
          <w:bCs/>
          <w:sz w:val="20"/>
          <w:szCs w:val="20"/>
        </w:rPr>
        <w:t xml:space="preserve"> 1 – Lista das Unidades de Conservação analisadas</w:t>
      </w:r>
    </w:p>
    <w:tbl>
      <w:tblPr>
        <w:tblStyle w:val="TabeladeLista2"/>
        <w:tblW w:w="8846" w:type="dxa"/>
        <w:tblLayout w:type="fixed"/>
        <w:tblLook w:val="0600" w:firstRow="0" w:lastRow="0" w:firstColumn="0" w:lastColumn="0" w:noHBand="1" w:noVBand="1"/>
      </w:tblPr>
      <w:tblGrid>
        <w:gridCol w:w="5106"/>
        <w:gridCol w:w="1605"/>
        <w:gridCol w:w="2135"/>
      </w:tblGrid>
      <w:tr w:rsidR="00B76016" w:rsidRPr="002D28EC" w14:paraId="26E141C4" w14:textId="77777777" w:rsidTr="002D28EC">
        <w:trPr>
          <w:trHeight w:val="322"/>
        </w:trPr>
        <w:tc>
          <w:tcPr>
            <w:tcW w:w="5446" w:type="dxa"/>
          </w:tcPr>
          <w:p w14:paraId="302BEFAD" w14:textId="77777777" w:rsidR="00B76016" w:rsidRPr="002D28EC" w:rsidRDefault="00B76016" w:rsidP="00EA1AB0">
            <w:pPr>
              <w:spacing w:line="276" w:lineRule="auto"/>
              <w:jc w:val="center"/>
              <w:rPr>
                <w:rFonts w:eastAsia="Arial"/>
                <w:sz w:val="20"/>
                <w:szCs w:val="20"/>
              </w:rPr>
            </w:pPr>
            <w:r w:rsidRPr="002D28EC">
              <w:rPr>
                <w:b/>
                <w:sz w:val="20"/>
                <w:szCs w:val="20"/>
              </w:rPr>
              <w:t>Unidade de Conservação</w:t>
            </w:r>
          </w:p>
        </w:tc>
        <w:tc>
          <w:tcPr>
            <w:tcW w:w="1701" w:type="dxa"/>
          </w:tcPr>
          <w:p w14:paraId="20967A5E" w14:textId="77777777" w:rsidR="00B76016" w:rsidRPr="002D28EC" w:rsidRDefault="00B76016" w:rsidP="00EA1AB0">
            <w:pPr>
              <w:spacing w:line="276" w:lineRule="auto"/>
              <w:jc w:val="center"/>
              <w:rPr>
                <w:rFonts w:eastAsia="Arial"/>
                <w:sz w:val="20"/>
                <w:szCs w:val="20"/>
              </w:rPr>
            </w:pPr>
            <w:r w:rsidRPr="002D28EC">
              <w:rPr>
                <w:b/>
                <w:sz w:val="20"/>
                <w:szCs w:val="20"/>
              </w:rPr>
              <w:t>Categoria</w:t>
            </w:r>
          </w:p>
        </w:tc>
        <w:tc>
          <w:tcPr>
            <w:tcW w:w="2268" w:type="dxa"/>
          </w:tcPr>
          <w:p w14:paraId="47E13CAB" w14:textId="77777777" w:rsidR="00B76016" w:rsidRPr="002D28EC" w:rsidRDefault="00B76016" w:rsidP="00EA1AB0">
            <w:pPr>
              <w:spacing w:line="276" w:lineRule="auto"/>
              <w:jc w:val="center"/>
              <w:rPr>
                <w:rFonts w:eastAsia="Arial"/>
                <w:sz w:val="20"/>
                <w:szCs w:val="20"/>
              </w:rPr>
            </w:pPr>
            <w:r w:rsidRPr="002D28EC">
              <w:rPr>
                <w:b/>
                <w:sz w:val="20"/>
                <w:szCs w:val="20"/>
              </w:rPr>
              <w:t>Bioma</w:t>
            </w:r>
          </w:p>
        </w:tc>
      </w:tr>
      <w:tr w:rsidR="00B76016" w:rsidRPr="002D28EC" w14:paraId="57F549DE" w14:textId="77777777" w:rsidTr="002D28EC">
        <w:trPr>
          <w:trHeight w:val="322"/>
        </w:trPr>
        <w:tc>
          <w:tcPr>
            <w:tcW w:w="5446" w:type="dxa"/>
          </w:tcPr>
          <w:p w14:paraId="2AA4C748" w14:textId="77777777" w:rsidR="00B76016" w:rsidRPr="002D28EC" w:rsidRDefault="00B76016" w:rsidP="00EA1AB0">
            <w:pPr>
              <w:spacing w:line="276" w:lineRule="auto"/>
              <w:rPr>
                <w:rFonts w:eastAsia="Arial"/>
                <w:sz w:val="20"/>
                <w:szCs w:val="20"/>
              </w:rPr>
            </w:pPr>
            <w:r w:rsidRPr="002D28EC">
              <w:rPr>
                <w:sz w:val="20"/>
                <w:szCs w:val="20"/>
              </w:rPr>
              <w:t>Parque Nacional da Serra da Bocaina</w:t>
            </w:r>
          </w:p>
        </w:tc>
        <w:tc>
          <w:tcPr>
            <w:tcW w:w="1701" w:type="dxa"/>
            <w:vMerge w:val="restart"/>
          </w:tcPr>
          <w:p w14:paraId="0E7DEF26" w14:textId="77777777" w:rsidR="00B76016" w:rsidRPr="002D28EC" w:rsidRDefault="00B76016" w:rsidP="00EA1AB0">
            <w:pPr>
              <w:spacing w:line="276" w:lineRule="auto"/>
              <w:jc w:val="center"/>
              <w:rPr>
                <w:sz w:val="20"/>
                <w:szCs w:val="20"/>
              </w:rPr>
            </w:pPr>
            <w:r w:rsidRPr="002D28EC">
              <w:rPr>
                <w:sz w:val="20"/>
                <w:szCs w:val="20"/>
              </w:rPr>
              <w:t>Proteção Integral</w:t>
            </w:r>
          </w:p>
        </w:tc>
        <w:tc>
          <w:tcPr>
            <w:tcW w:w="2268" w:type="dxa"/>
            <w:vMerge w:val="restart"/>
          </w:tcPr>
          <w:p w14:paraId="104C3E0E" w14:textId="77777777" w:rsidR="00B76016" w:rsidRPr="002D28EC" w:rsidRDefault="00B76016" w:rsidP="00EA1AB0">
            <w:pPr>
              <w:spacing w:line="276" w:lineRule="auto"/>
              <w:jc w:val="center"/>
              <w:rPr>
                <w:sz w:val="20"/>
                <w:szCs w:val="20"/>
              </w:rPr>
            </w:pPr>
            <w:r w:rsidRPr="002D28EC">
              <w:rPr>
                <w:sz w:val="20"/>
                <w:szCs w:val="20"/>
              </w:rPr>
              <w:t>Mata Atlântica</w:t>
            </w:r>
          </w:p>
        </w:tc>
      </w:tr>
      <w:tr w:rsidR="00B76016" w:rsidRPr="002D28EC" w14:paraId="3CF5EF67" w14:textId="77777777" w:rsidTr="002D28EC">
        <w:trPr>
          <w:trHeight w:val="322"/>
        </w:trPr>
        <w:tc>
          <w:tcPr>
            <w:tcW w:w="5446" w:type="dxa"/>
          </w:tcPr>
          <w:p w14:paraId="781FBEFC" w14:textId="77777777" w:rsidR="00B76016" w:rsidRPr="002D28EC" w:rsidRDefault="00B76016" w:rsidP="00EA1AB0">
            <w:pPr>
              <w:spacing w:line="276" w:lineRule="auto"/>
              <w:rPr>
                <w:rFonts w:eastAsia="Arial"/>
                <w:sz w:val="20"/>
                <w:szCs w:val="20"/>
              </w:rPr>
            </w:pPr>
            <w:r w:rsidRPr="002D28EC">
              <w:rPr>
                <w:sz w:val="20"/>
                <w:szCs w:val="20"/>
              </w:rPr>
              <w:t>Parque Nacional Aparados da Serra</w:t>
            </w:r>
          </w:p>
        </w:tc>
        <w:tc>
          <w:tcPr>
            <w:tcW w:w="1701" w:type="dxa"/>
            <w:vMerge/>
          </w:tcPr>
          <w:p w14:paraId="74EEB49E" w14:textId="77777777" w:rsidR="00B76016" w:rsidRPr="002D28EC" w:rsidRDefault="00B76016" w:rsidP="00EA1AB0">
            <w:pPr>
              <w:spacing w:line="276" w:lineRule="auto"/>
              <w:rPr>
                <w:rFonts w:eastAsia="Arial"/>
                <w:sz w:val="20"/>
                <w:szCs w:val="20"/>
              </w:rPr>
            </w:pPr>
          </w:p>
        </w:tc>
        <w:tc>
          <w:tcPr>
            <w:tcW w:w="2268" w:type="dxa"/>
            <w:vMerge/>
          </w:tcPr>
          <w:p w14:paraId="049400F8" w14:textId="77777777" w:rsidR="00B76016" w:rsidRPr="002D28EC" w:rsidRDefault="00B76016" w:rsidP="00EA1AB0">
            <w:pPr>
              <w:spacing w:line="276" w:lineRule="auto"/>
              <w:rPr>
                <w:rFonts w:eastAsia="Arial"/>
                <w:sz w:val="20"/>
                <w:szCs w:val="20"/>
              </w:rPr>
            </w:pPr>
          </w:p>
        </w:tc>
      </w:tr>
      <w:tr w:rsidR="00B76016" w:rsidRPr="002D28EC" w14:paraId="25FC2AB7" w14:textId="77777777" w:rsidTr="002D28EC">
        <w:trPr>
          <w:trHeight w:val="322"/>
        </w:trPr>
        <w:tc>
          <w:tcPr>
            <w:tcW w:w="5446" w:type="dxa"/>
          </w:tcPr>
          <w:p w14:paraId="41EE1CEE" w14:textId="77777777" w:rsidR="00B76016" w:rsidRPr="002D28EC" w:rsidRDefault="00B76016" w:rsidP="00EA1AB0">
            <w:pPr>
              <w:spacing w:line="276" w:lineRule="auto"/>
              <w:rPr>
                <w:rFonts w:eastAsia="Arial"/>
                <w:sz w:val="20"/>
                <w:szCs w:val="20"/>
              </w:rPr>
            </w:pPr>
            <w:r w:rsidRPr="002D28EC">
              <w:rPr>
                <w:sz w:val="20"/>
                <w:szCs w:val="20"/>
              </w:rPr>
              <w:t>Parque Nacional das Araucárias</w:t>
            </w:r>
          </w:p>
        </w:tc>
        <w:tc>
          <w:tcPr>
            <w:tcW w:w="1701" w:type="dxa"/>
            <w:vMerge/>
          </w:tcPr>
          <w:p w14:paraId="66D8C07C" w14:textId="77777777" w:rsidR="00B76016" w:rsidRPr="002D28EC" w:rsidRDefault="00B76016" w:rsidP="00EA1AB0">
            <w:pPr>
              <w:spacing w:line="276" w:lineRule="auto"/>
              <w:rPr>
                <w:rFonts w:eastAsia="Arial"/>
                <w:sz w:val="20"/>
                <w:szCs w:val="20"/>
              </w:rPr>
            </w:pPr>
          </w:p>
        </w:tc>
        <w:tc>
          <w:tcPr>
            <w:tcW w:w="2268" w:type="dxa"/>
            <w:vMerge/>
          </w:tcPr>
          <w:p w14:paraId="245D2FB6" w14:textId="77777777" w:rsidR="00B76016" w:rsidRPr="002D28EC" w:rsidRDefault="00B76016" w:rsidP="00EA1AB0">
            <w:pPr>
              <w:spacing w:line="276" w:lineRule="auto"/>
              <w:rPr>
                <w:rFonts w:eastAsia="Arial"/>
                <w:sz w:val="20"/>
                <w:szCs w:val="20"/>
              </w:rPr>
            </w:pPr>
          </w:p>
        </w:tc>
      </w:tr>
      <w:tr w:rsidR="00B76016" w:rsidRPr="002D28EC" w14:paraId="13BDF121" w14:textId="77777777" w:rsidTr="002D28EC">
        <w:trPr>
          <w:trHeight w:val="322"/>
        </w:trPr>
        <w:tc>
          <w:tcPr>
            <w:tcW w:w="5446" w:type="dxa"/>
          </w:tcPr>
          <w:p w14:paraId="55FF80E7" w14:textId="77777777" w:rsidR="00B76016" w:rsidRPr="002D28EC" w:rsidRDefault="00B76016" w:rsidP="00EA1AB0">
            <w:pPr>
              <w:spacing w:line="276" w:lineRule="auto"/>
              <w:rPr>
                <w:rFonts w:eastAsia="Arial"/>
                <w:sz w:val="20"/>
                <w:szCs w:val="20"/>
              </w:rPr>
            </w:pPr>
            <w:r w:rsidRPr="002D28EC">
              <w:rPr>
                <w:sz w:val="20"/>
                <w:szCs w:val="20"/>
              </w:rPr>
              <w:t>Refúgio de Vida Silvestre dos Campos de Palmas</w:t>
            </w:r>
          </w:p>
        </w:tc>
        <w:tc>
          <w:tcPr>
            <w:tcW w:w="1701" w:type="dxa"/>
            <w:vMerge/>
          </w:tcPr>
          <w:p w14:paraId="4600F044" w14:textId="77777777" w:rsidR="00B76016" w:rsidRPr="002D28EC" w:rsidRDefault="00B76016" w:rsidP="00EA1AB0">
            <w:pPr>
              <w:spacing w:line="276" w:lineRule="auto"/>
              <w:rPr>
                <w:rFonts w:eastAsia="Arial"/>
                <w:sz w:val="20"/>
                <w:szCs w:val="20"/>
              </w:rPr>
            </w:pPr>
          </w:p>
        </w:tc>
        <w:tc>
          <w:tcPr>
            <w:tcW w:w="2268" w:type="dxa"/>
            <w:vMerge/>
          </w:tcPr>
          <w:p w14:paraId="2D0E2C15" w14:textId="77777777" w:rsidR="00B76016" w:rsidRPr="002D28EC" w:rsidRDefault="00B76016" w:rsidP="00EA1AB0">
            <w:pPr>
              <w:spacing w:line="276" w:lineRule="auto"/>
              <w:rPr>
                <w:rFonts w:eastAsia="Arial"/>
                <w:sz w:val="20"/>
                <w:szCs w:val="20"/>
              </w:rPr>
            </w:pPr>
          </w:p>
        </w:tc>
      </w:tr>
      <w:tr w:rsidR="00B76016" w:rsidRPr="002D28EC" w14:paraId="06EAAA9F" w14:textId="77777777" w:rsidTr="002D28EC">
        <w:trPr>
          <w:trHeight w:val="322"/>
        </w:trPr>
        <w:tc>
          <w:tcPr>
            <w:tcW w:w="5446" w:type="dxa"/>
          </w:tcPr>
          <w:p w14:paraId="78D84E1C" w14:textId="77777777" w:rsidR="00B76016" w:rsidRPr="002D28EC" w:rsidRDefault="00B76016" w:rsidP="00EA1AB0">
            <w:pPr>
              <w:spacing w:line="276" w:lineRule="auto"/>
              <w:rPr>
                <w:rFonts w:eastAsia="Arial"/>
                <w:sz w:val="20"/>
                <w:szCs w:val="20"/>
              </w:rPr>
            </w:pPr>
            <w:r w:rsidRPr="002D28EC">
              <w:rPr>
                <w:sz w:val="20"/>
                <w:szCs w:val="20"/>
              </w:rPr>
              <w:t>Parque Nacional de São Joaquim</w:t>
            </w:r>
          </w:p>
        </w:tc>
        <w:tc>
          <w:tcPr>
            <w:tcW w:w="1701" w:type="dxa"/>
            <w:vMerge/>
          </w:tcPr>
          <w:p w14:paraId="1D39812F" w14:textId="77777777" w:rsidR="00B76016" w:rsidRPr="002D28EC" w:rsidRDefault="00B76016" w:rsidP="00EA1AB0">
            <w:pPr>
              <w:spacing w:line="276" w:lineRule="auto"/>
              <w:rPr>
                <w:rFonts w:eastAsia="Arial"/>
                <w:sz w:val="20"/>
                <w:szCs w:val="20"/>
              </w:rPr>
            </w:pPr>
          </w:p>
        </w:tc>
        <w:tc>
          <w:tcPr>
            <w:tcW w:w="2268" w:type="dxa"/>
            <w:vMerge/>
          </w:tcPr>
          <w:p w14:paraId="421DA90A" w14:textId="77777777" w:rsidR="00B76016" w:rsidRPr="002D28EC" w:rsidRDefault="00B76016" w:rsidP="00EA1AB0">
            <w:pPr>
              <w:spacing w:line="276" w:lineRule="auto"/>
              <w:rPr>
                <w:rFonts w:eastAsia="Arial"/>
                <w:sz w:val="20"/>
                <w:szCs w:val="20"/>
              </w:rPr>
            </w:pPr>
          </w:p>
        </w:tc>
      </w:tr>
      <w:tr w:rsidR="00B76016" w:rsidRPr="002D28EC" w14:paraId="3FBD8DB3" w14:textId="77777777" w:rsidTr="002D28EC">
        <w:trPr>
          <w:trHeight w:val="322"/>
        </w:trPr>
        <w:tc>
          <w:tcPr>
            <w:tcW w:w="5446" w:type="dxa"/>
          </w:tcPr>
          <w:p w14:paraId="73A03BE6" w14:textId="77777777" w:rsidR="00B76016" w:rsidRPr="002D28EC" w:rsidRDefault="00B76016" w:rsidP="00EA1AB0">
            <w:pPr>
              <w:spacing w:line="276" w:lineRule="auto"/>
              <w:rPr>
                <w:rFonts w:eastAsia="Arial"/>
                <w:sz w:val="20"/>
                <w:szCs w:val="20"/>
              </w:rPr>
            </w:pPr>
            <w:r w:rsidRPr="002D28EC">
              <w:rPr>
                <w:sz w:val="20"/>
                <w:szCs w:val="20"/>
              </w:rPr>
              <w:t>Estação Ecológica Aracuri Esmeralda</w:t>
            </w:r>
          </w:p>
        </w:tc>
        <w:tc>
          <w:tcPr>
            <w:tcW w:w="1701" w:type="dxa"/>
            <w:vMerge/>
          </w:tcPr>
          <w:p w14:paraId="6526D1DA" w14:textId="77777777" w:rsidR="00B76016" w:rsidRPr="002D28EC" w:rsidRDefault="00B76016" w:rsidP="00EA1AB0">
            <w:pPr>
              <w:spacing w:line="276" w:lineRule="auto"/>
              <w:rPr>
                <w:rFonts w:eastAsia="Arial"/>
                <w:sz w:val="20"/>
                <w:szCs w:val="20"/>
              </w:rPr>
            </w:pPr>
          </w:p>
        </w:tc>
        <w:tc>
          <w:tcPr>
            <w:tcW w:w="2268" w:type="dxa"/>
            <w:vMerge/>
          </w:tcPr>
          <w:p w14:paraId="1D4D763C" w14:textId="77777777" w:rsidR="00B76016" w:rsidRPr="002D28EC" w:rsidRDefault="00B76016" w:rsidP="00EA1AB0">
            <w:pPr>
              <w:spacing w:line="276" w:lineRule="auto"/>
              <w:rPr>
                <w:rFonts w:eastAsia="Arial"/>
                <w:sz w:val="20"/>
                <w:szCs w:val="20"/>
              </w:rPr>
            </w:pPr>
          </w:p>
        </w:tc>
      </w:tr>
      <w:tr w:rsidR="00B76016" w:rsidRPr="002D28EC" w14:paraId="7F49C618" w14:textId="77777777" w:rsidTr="002D28EC">
        <w:trPr>
          <w:trHeight w:val="322"/>
        </w:trPr>
        <w:tc>
          <w:tcPr>
            <w:tcW w:w="5446" w:type="dxa"/>
          </w:tcPr>
          <w:p w14:paraId="65F1E4D1" w14:textId="77777777" w:rsidR="00B76016" w:rsidRPr="002D28EC" w:rsidRDefault="00B76016" w:rsidP="00EA1AB0">
            <w:pPr>
              <w:spacing w:line="276" w:lineRule="auto"/>
              <w:rPr>
                <w:rFonts w:eastAsia="Arial"/>
                <w:sz w:val="20"/>
                <w:szCs w:val="20"/>
              </w:rPr>
            </w:pPr>
            <w:r w:rsidRPr="002D28EC">
              <w:rPr>
                <w:sz w:val="20"/>
                <w:szCs w:val="20"/>
              </w:rPr>
              <w:t>Parque Nacional do Iguaçu</w:t>
            </w:r>
          </w:p>
        </w:tc>
        <w:tc>
          <w:tcPr>
            <w:tcW w:w="1701" w:type="dxa"/>
            <w:vMerge/>
          </w:tcPr>
          <w:p w14:paraId="0BE40922" w14:textId="77777777" w:rsidR="00B76016" w:rsidRPr="002D28EC" w:rsidRDefault="00B76016" w:rsidP="00EA1AB0">
            <w:pPr>
              <w:spacing w:line="276" w:lineRule="auto"/>
              <w:rPr>
                <w:rFonts w:eastAsia="Arial"/>
                <w:sz w:val="20"/>
                <w:szCs w:val="20"/>
              </w:rPr>
            </w:pPr>
          </w:p>
        </w:tc>
        <w:tc>
          <w:tcPr>
            <w:tcW w:w="2268" w:type="dxa"/>
            <w:vMerge/>
          </w:tcPr>
          <w:p w14:paraId="463F23B6" w14:textId="77777777" w:rsidR="00B76016" w:rsidRPr="002D28EC" w:rsidRDefault="00B76016" w:rsidP="00EA1AB0">
            <w:pPr>
              <w:spacing w:line="276" w:lineRule="auto"/>
              <w:rPr>
                <w:rFonts w:eastAsia="Arial"/>
                <w:sz w:val="20"/>
                <w:szCs w:val="20"/>
              </w:rPr>
            </w:pPr>
          </w:p>
        </w:tc>
      </w:tr>
      <w:tr w:rsidR="00B76016" w:rsidRPr="002D28EC" w14:paraId="2D227F96" w14:textId="77777777" w:rsidTr="002D28EC">
        <w:trPr>
          <w:trHeight w:val="322"/>
        </w:trPr>
        <w:tc>
          <w:tcPr>
            <w:tcW w:w="5446" w:type="dxa"/>
          </w:tcPr>
          <w:p w14:paraId="4C4183C6" w14:textId="77777777" w:rsidR="00B76016" w:rsidRPr="002D28EC" w:rsidRDefault="00B76016" w:rsidP="00EA1AB0">
            <w:pPr>
              <w:spacing w:line="276" w:lineRule="auto"/>
              <w:rPr>
                <w:rFonts w:eastAsia="Arial"/>
                <w:sz w:val="20"/>
                <w:szCs w:val="20"/>
              </w:rPr>
            </w:pPr>
            <w:r w:rsidRPr="002D28EC">
              <w:rPr>
                <w:sz w:val="20"/>
                <w:szCs w:val="20"/>
              </w:rPr>
              <w:t>Floresta Nacional de Capão Bonito</w:t>
            </w:r>
          </w:p>
        </w:tc>
        <w:tc>
          <w:tcPr>
            <w:tcW w:w="1701" w:type="dxa"/>
            <w:vMerge w:val="restart"/>
          </w:tcPr>
          <w:p w14:paraId="086922EB" w14:textId="77777777" w:rsidR="00B76016" w:rsidRPr="002D28EC" w:rsidRDefault="00B76016" w:rsidP="00EA1AB0">
            <w:pPr>
              <w:spacing w:line="276" w:lineRule="auto"/>
              <w:jc w:val="center"/>
              <w:rPr>
                <w:sz w:val="20"/>
                <w:szCs w:val="20"/>
              </w:rPr>
            </w:pPr>
            <w:r w:rsidRPr="002D28EC">
              <w:rPr>
                <w:sz w:val="20"/>
                <w:szCs w:val="20"/>
              </w:rPr>
              <w:t>Uso Sustentável</w:t>
            </w:r>
          </w:p>
        </w:tc>
        <w:tc>
          <w:tcPr>
            <w:tcW w:w="2268" w:type="dxa"/>
            <w:vMerge/>
          </w:tcPr>
          <w:p w14:paraId="446D38A2" w14:textId="77777777" w:rsidR="00B76016" w:rsidRPr="002D28EC" w:rsidRDefault="00B76016" w:rsidP="00EA1AB0">
            <w:pPr>
              <w:spacing w:line="276" w:lineRule="auto"/>
              <w:rPr>
                <w:rFonts w:eastAsia="Arial"/>
                <w:sz w:val="20"/>
                <w:szCs w:val="20"/>
              </w:rPr>
            </w:pPr>
          </w:p>
        </w:tc>
      </w:tr>
      <w:tr w:rsidR="00B76016" w:rsidRPr="002D28EC" w14:paraId="40757426" w14:textId="77777777" w:rsidTr="002D28EC">
        <w:trPr>
          <w:trHeight w:val="322"/>
        </w:trPr>
        <w:tc>
          <w:tcPr>
            <w:tcW w:w="5446" w:type="dxa"/>
          </w:tcPr>
          <w:p w14:paraId="1F856414" w14:textId="77777777" w:rsidR="00B76016" w:rsidRPr="002D28EC" w:rsidRDefault="00B76016" w:rsidP="00EA1AB0">
            <w:pPr>
              <w:spacing w:line="276" w:lineRule="auto"/>
              <w:rPr>
                <w:rFonts w:eastAsia="Arial"/>
                <w:sz w:val="20"/>
                <w:szCs w:val="20"/>
              </w:rPr>
            </w:pPr>
            <w:r w:rsidRPr="002D28EC">
              <w:rPr>
                <w:sz w:val="20"/>
                <w:szCs w:val="20"/>
              </w:rPr>
              <w:t>Floresta Nacional de Ipanema</w:t>
            </w:r>
          </w:p>
        </w:tc>
        <w:tc>
          <w:tcPr>
            <w:tcW w:w="1701" w:type="dxa"/>
            <w:vMerge/>
          </w:tcPr>
          <w:p w14:paraId="5B5D0AC9" w14:textId="77777777" w:rsidR="00B76016" w:rsidRPr="002D28EC" w:rsidRDefault="00B76016" w:rsidP="00EA1AB0">
            <w:pPr>
              <w:spacing w:line="276" w:lineRule="auto"/>
              <w:rPr>
                <w:rFonts w:eastAsia="Arial"/>
                <w:sz w:val="20"/>
                <w:szCs w:val="20"/>
              </w:rPr>
            </w:pPr>
          </w:p>
        </w:tc>
        <w:tc>
          <w:tcPr>
            <w:tcW w:w="2268" w:type="dxa"/>
            <w:vMerge/>
          </w:tcPr>
          <w:p w14:paraId="1B73B1B7" w14:textId="77777777" w:rsidR="00B76016" w:rsidRPr="002D28EC" w:rsidRDefault="00B76016" w:rsidP="00EA1AB0">
            <w:pPr>
              <w:spacing w:line="276" w:lineRule="auto"/>
              <w:rPr>
                <w:rFonts w:eastAsia="Arial"/>
                <w:sz w:val="20"/>
                <w:szCs w:val="20"/>
              </w:rPr>
            </w:pPr>
          </w:p>
        </w:tc>
      </w:tr>
      <w:tr w:rsidR="00B76016" w:rsidRPr="002D28EC" w14:paraId="0C7C7904" w14:textId="77777777" w:rsidTr="002D28EC">
        <w:trPr>
          <w:trHeight w:val="322"/>
        </w:trPr>
        <w:tc>
          <w:tcPr>
            <w:tcW w:w="5446" w:type="dxa"/>
          </w:tcPr>
          <w:p w14:paraId="74F5B842" w14:textId="77777777" w:rsidR="00B76016" w:rsidRPr="002D28EC" w:rsidRDefault="00B76016" w:rsidP="00EA1AB0">
            <w:pPr>
              <w:spacing w:line="276" w:lineRule="auto"/>
              <w:rPr>
                <w:rFonts w:eastAsia="Arial"/>
                <w:sz w:val="20"/>
                <w:szCs w:val="20"/>
              </w:rPr>
            </w:pPr>
            <w:r w:rsidRPr="002D28EC">
              <w:rPr>
                <w:sz w:val="20"/>
                <w:szCs w:val="20"/>
              </w:rPr>
              <w:t>Floresta Nacional de Passo Fundo</w:t>
            </w:r>
          </w:p>
        </w:tc>
        <w:tc>
          <w:tcPr>
            <w:tcW w:w="1701" w:type="dxa"/>
            <w:vMerge/>
          </w:tcPr>
          <w:p w14:paraId="11AAAFBE" w14:textId="77777777" w:rsidR="00B76016" w:rsidRPr="002D28EC" w:rsidRDefault="00B76016" w:rsidP="00EA1AB0">
            <w:pPr>
              <w:spacing w:line="276" w:lineRule="auto"/>
              <w:rPr>
                <w:rFonts w:eastAsia="Arial"/>
                <w:sz w:val="20"/>
                <w:szCs w:val="20"/>
              </w:rPr>
            </w:pPr>
          </w:p>
        </w:tc>
        <w:tc>
          <w:tcPr>
            <w:tcW w:w="2268" w:type="dxa"/>
            <w:vMerge/>
          </w:tcPr>
          <w:p w14:paraId="5C24D7ED" w14:textId="77777777" w:rsidR="00B76016" w:rsidRPr="002D28EC" w:rsidRDefault="00B76016" w:rsidP="00EA1AB0">
            <w:pPr>
              <w:spacing w:line="276" w:lineRule="auto"/>
              <w:rPr>
                <w:rFonts w:eastAsia="Arial"/>
                <w:sz w:val="20"/>
                <w:szCs w:val="20"/>
              </w:rPr>
            </w:pPr>
          </w:p>
        </w:tc>
      </w:tr>
      <w:tr w:rsidR="00B76016" w:rsidRPr="002D28EC" w14:paraId="033C7202" w14:textId="77777777" w:rsidTr="002D28EC">
        <w:trPr>
          <w:trHeight w:val="322"/>
        </w:trPr>
        <w:tc>
          <w:tcPr>
            <w:tcW w:w="5446" w:type="dxa"/>
          </w:tcPr>
          <w:p w14:paraId="1E3B40BB" w14:textId="77777777" w:rsidR="00B76016" w:rsidRPr="002D28EC" w:rsidRDefault="00B76016" w:rsidP="00EA1AB0">
            <w:pPr>
              <w:spacing w:line="276" w:lineRule="auto"/>
              <w:rPr>
                <w:rFonts w:eastAsia="Arial"/>
                <w:sz w:val="20"/>
                <w:szCs w:val="20"/>
              </w:rPr>
            </w:pPr>
            <w:r w:rsidRPr="002D28EC">
              <w:rPr>
                <w:sz w:val="20"/>
                <w:szCs w:val="20"/>
              </w:rPr>
              <w:t>Floresta Nacional de Lorena</w:t>
            </w:r>
          </w:p>
        </w:tc>
        <w:tc>
          <w:tcPr>
            <w:tcW w:w="1701" w:type="dxa"/>
            <w:vMerge/>
          </w:tcPr>
          <w:p w14:paraId="622F1B33" w14:textId="77777777" w:rsidR="00B76016" w:rsidRPr="002D28EC" w:rsidRDefault="00B76016" w:rsidP="00EA1AB0">
            <w:pPr>
              <w:spacing w:line="276" w:lineRule="auto"/>
              <w:rPr>
                <w:rFonts w:eastAsia="Arial"/>
                <w:sz w:val="20"/>
                <w:szCs w:val="20"/>
              </w:rPr>
            </w:pPr>
          </w:p>
        </w:tc>
        <w:tc>
          <w:tcPr>
            <w:tcW w:w="2268" w:type="dxa"/>
            <w:vMerge/>
          </w:tcPr>
          <w:p w14:paraId="4433687E" w14:textId="77777777" w:rsidR="00B76016" w:rsidRPr="002D28EC" w:rsidRDefault="00B76016" w:rsidP="00EA1AB0">
            <w:pPr>
              <w:spacing w:line="276" w:lineRule="auto"/>
              <w:rPr>
                <w:rFonts w:eastAsia="Arial"/>
                <w:sz w:val="20"/>
                <w:szCs w:val="20"/>
              </w:rPr>
            </w:pPr>
          </w:p>
        </w:tc>
      </w:tr>
      <w:tr w:rsidR="00B76016" w:rsidRPr="002D28EC" w14:paraId="059CB176" w14:textId="77777777" w:rsidTr="002D28EC">
        <w:trPr>
          <w:trHeight w:val="322"/>
        </w:trPr>
        <w:tc>
          <w:tcPr>
            <w:tcW w:w="5446" w:type="dxa"/>
          </w:tcPr>
          <w:p w14:paraId="40EE6E19" w14:textId="77777777" w:rsidR="00B76016" w:rsidRPr="002D28EC" w:rsidRDefault="00B76016" w:rsidP="00EA1AB0">
            <w:pPr>
              <w:spacing w:line="276" w:lineRule="auto"/>
              <w:rPr>
                <w:rFonts w:eastAsia="Arial"/>
                <w:sz w:val="20"/>
                <w:szCs w:val="20"/>
              </w:rPr>
            </w:pPr>
            <w:r w:rsidRPr="002D28EC">
              <w:rPr>
                <w:sz w:val="20"/>
                <w:szCs w:val="20"/>
              </w:rPr>
              <w:t>Parque Nacional da Lagoa do Peixe</w:t>
            </w:r>
          </w:p>
        </w:tc>
        <w:tc>
          <w:tcPr>
            <w:tcW w:w="1701" w:type="dxa"/>
          </w:tcPr>
          <w:p w14:paraId="160297D8" w14:textId="77777777" w:rsidR="00B76016" w:rsidRPr="002D28EC" w:rsidRDefault="00B76016" w:rsidP="00EA1AB0">
            <w:pPr>
              <w:spacing w:line="276" w:lineRule="auto"/>
              <w:jc w:val="center"/>
              <w:rPr>
                <w:rFonts w:eastAsia="Arial"/>
                <w:sz w:val="20"/>
                <w:szCs w:val="20"/>
              </w:rPr>
            </w:pPr>
            <w:r w:rsidRPr="002D28EC">
              <w:rPr>
                <w:sz w:val="20"/>
                <w:szCs w:val="20"/>
              </w:rPr>
              <w:t>Proteção Integral</w:t>
            </w:r>
          </w:p>
        </w:tc>
        <w:tc>
          <w:tcPr>
            <w:tcW w:w="2268" w:type="dxa"/>
          </w:tcPr>
          <w:p w14:paraId="7C87ED04" w14:textId="12D09661" w:rsidR="00B76016" w:rsidRPr="002D28EC" w:rsidRDefault="00B76016" w:rsidP="00EA1AB0">
            <w:pPr>
              <w:spacing w:line="276" w:lineRule="auto"/>
              <w:jc w:val="center"/>
              <w:rPr>
                <w:rFonts w:eastAsia="Arial"/>
                <w:sz w:val="20"/>
                <w:szCs w:val="20"/>
              </w:rPr>
            </w:pPr>
            <w:r w:rsidRPr="002D28EC">
              <w:rPr>
                <w:sz w:val="20"/>
                <w:szCs w:val="20"/>
              </w:rPr>
              <w:t>Marinho</w:t>
            </w:r>
            <w:r w:rsidR="00DD37B6">
              <w:rPr>
                <w:sz w:val="20"/>
                <w:szCs w:val="20"/>
              </w:rPr>
              <w:t xml:space="preserve"> </w:t>
            </w:r>
            <w:r w:rsidRPr="002D28EC">
              <w:rPr>
                <w:sz w:val="20"/>
                <w:szCs w:val="20"/>
              </w:rPr>
              <w:t>Costeiro</w:t>
            </w:r>
          </w:p>
        </w:tc>
      </w:tr>
      <w:tr w:rsidR="00B76016" w:rsidRPr="002D28EC" w14:paraId="43629C27" w14:textId="77777777" w:rsidTr="002D28EC">
        <w:trPr>
          <w:trHeight w:val="322"/>
        </w:trPr>
        <w:tc>
          <w:tcPr>
            <w:tcW w:w="5446" w:type="dxa"/>
          </w:tcPr>
          <w:p w14:paraId="6750AAD8" w14:textId="77777777" w:rsidR="00B76016" w:rsidRPr="002D28EC" w:rsidRDefault="00B76016" w:rsidP="00EA1AB0">
            <w:pPr>
              <w:spacing w:line="276" w:lineRule="auto"/>
              <w:rPr>
                <w:rFonts w:eastAsia="Arial"/>
                <w:sz w:val="20"/>
                <w:szCs w:val="20"/>
              </w:rPr>
            </w:pPr>
            <w:r w:rsidRPr="002D28EC">
              <w:rPr>
                <w:sz w:val="20"/>
                <w:szCs w:val="20"/>
              </w:rPr>
              <w:t>Parque Nacional de Brasília</w:t>
            </w:r>
          </w:p>
        </w:tc>
        <w:tc>
          <w:tcPr>
            <w:tcW w:w="1701" w:type="dxa"/>
            <w:vMerge w:val="restart"/>
          </w:tcPr>
          <w:p w14:paraId="1CB71C67" w14:textId="77777777" w:rsidR="00B76016" w:rsidRPr="002D28EC" w:rsidRDefault="00B76016" w:rsidP="00EA1AB0">
            <w:pPr>
              <w:spacing w:line="276" w:lineRule="auto"/>
              <w:jc w:val="center"/>
              <w:rPr>
                <w:sz w:val="20"/>
                <w:szCs w:val="20"/>
              </w:rPr>
            </w:pPr>
            <w:r w:rsidRPr="002D28EC">
              <w:rPr>
                <w:sz w:val="20"/>
                <w:szCs w:val="20"/>
              </w:rPr>
              <w:t>Proteção Integral</w:t>
            </w:r>
          </w:p>
        </w:tc>
        <w:tc>
          <w:tcPr>
            <w:tcW w:w="2268" w:type="dxa"/>
            <w:vMerge w:val="restart"/>
          </w:tcPr>
          <w:p w14:paraId="37C95F87" w14:textId="77777777" w:rsidR="00B76016" w:rsidRPr="002D28EC" w:rsidRDefault="00B76016" w:rsidP="00EA1AB0">
            <w:pPr>
              <w:spacing w:line="276" w:lineRule="auto"/>
              <w:jc w:val="center"/>
              <w:rPr>
                <w:sz w:val="20"/>
                <w:szCs w:val="20"/>
              </w:rPr>
            </w:pPr>
            <w:r w:rsidRPr="002D28EC">
              <w:rPr>
                <w:sz w:val="20"/>
                <w:szCs w:val="20"/>
              </w:rPr>
              <w:t>Cerrado</w:t>
            </w:r>
          </w:p>
        </w:tc>
      </w:tr>
      <w:tr w:rsidR="00B76016" w:rsidRPr="002D28EC" w14:paraId="65FE303D" w14:textId="77777777" w:rsidTr="002D28EC">
        <w:trPr>
          <w:trHeight w:val="322"/>
        </w:trPr>
        <w:tc>
          <w:tcPr>
            <w:tcW w:w="5446" w:type="dxa"/>
          </w:tcPr>
          <w:p w14:paraId="390D6367" w14:textId="77777777" w:rsidR="00B76016" w:rsidRPr="002D28EC" w:rsidRDefault="00B76016" w:rsidP="00EA1AB0">
            <w:pPr>
              <w:spacing w:line="276" w:lineRule="auto"/>
              <w:rPr>
                <w:rFonts w:eastAsia="Arial"/>
                <w:sz w:val="20"/>
                <w:szCs w:val="20"/>
              </w:rPr>
            </w:pPr>
            <w:r w:rsidRPr="002D28EC">
              <w:rPr>
                <w:sz w:val="20"/>
                <w:szCs w:val="20"/>
              </w:rPr>
              <w:t>Parque Nacional da Serra da Canastra</w:t>
            </w:r>
          </w:p>
        </w:tc>
        <w:tc>
          <w:tcPr>
            <w:tcW w:w="1701" w:type="dxa"/>
            <w:vMerge/>
          </w:tcPr>
          <w:p w14:paraId="51AB3B16" w14:textId="77777777" w:rsidR="00B76016" w:rsidRPr="002D28EC" w:rsidRDefault="00B76016" w:rsidP="00EA1AB0">
            <w:pPr>
              <w:spacing w:line="276" w:lineRule="auto"/>
              <w:rPr>
                <w:rFonts w:eastAsia="Arial"/>
                <w:sz w:val="20"/>
                <w:szCs w:val="20"/>
              </w:rPr>
            </w:pPr>
          </w:p>
        </w:tc>
        <w:tc>
          <w:tcPr>
            <w:tcW w:w="2268" w:type="dxa"/>
            <w:vMerge/>
          </w:tcPr>
          <w:p w14:paraId="31069E93" w14:textId="77777777" w:rsidR="00B76016" w:rsidRPr="002D28EC" w:rsidRDefault="00B76016" w:rsidP="00EA1AB0">
            <w:pPr>
              <w:spacing w:line="276" w:lineRule="auto"/>
              <w:rPr>
                <w:rFonts w:eastAsia="Arial"/>
                <w:sz w:val="20"/>
                <w:szCs w:val="20"/>
              </w:rPr>
            </w:pPr>
          </w:p>
        </w:tc>
      </w:tr>
      <w:tr w:rsidR="00B76016" w:rsidRPr="002D28EC" w14:paraId="17742409" w14:textId="77777777" w:rsidTr="002D28EC">
        <w:trPr>
          <w:trHeight w:val="322"/>
        </w:trPr>
        <w:tc>
          <w:tcPr>
            <w:tcW w:w="5446" w:type="dxa"/>
          </w:tcPr>
          <w:p w14:paraId="638D6EE5" w14:textId="77777777" w:rsidR="00B76016" w:rsidRPr="002D28EC" w:rsidRDefault="00B76016" w:rsidP="00EA1AB0">
            <w:pPr>
              <w:spacing w:line="276" w:lineRule="auto"/>
              <w:rPr>
                <w:rFonts w:eastAsia="Arial"/>
                <w:sz w:val="20"/>
                <w:szCs w:val="20"/>
              </w:rPr>
            </w:pPr>
            <w:r w:rsidRPr="002D28EC">
              <w:rPr>
                <w:sz w:val="20"/>
                <w:szCs w:val="20"/>
              </w:rPr>
              <w:t>Área de Proteção Ambiental Veredas do Oeste Baiano</w:t>
            </w:r>
          </w:p>
        </w:tc>
        <w:tc>
          <w:tcPr>
            <w:tcW w:w="1701" w:type="dxa"/>
          </w:tcPr>
          <w:p w14:paraId="43E4461F" w14:textId="77777777" w:rsidR="00B76016" w:rsidRPr="002D28EC" w:rsidRDefault="00B76016" w:rsidP="00EA1AB0">
            <w:pPr>
              <w:spacing w:line="276" w:lineRule="auto"/>
              <w:jc w:val="center"/>
              <w:rPr>
                <w:rFonts w:eastAsia="Arial"/>
                <w:sz w:val="20"/>
                <w:szCs w:val="20"/>
              </w:rPr>
            </w:pPr>
            <w:r w:rsidRPr="002D28EC">
              <w:rPr>
                <w:sz w:val="20"/>
                <w:szCs w:val="20"/>
              </w:rPr>
              <w:t>Uso Sustentável</w:t>
            </w:r>
          </w:p>
        </w:tc>
        <w:tc>
          <w:tcPr>
            <w:tcW w:w="2268" w:type="dxa"/>
            <w:vMerge/>
          </w:tcPr>
          <w:p w14:paraId="2762E190" w14:textId="77777777" w:rsidR="00B76016" w:rsidRPr="002D28EC" w:rsidRDefault="00B76016" w:rsidP="00EA1AB0">
            <w:pPr>
              <w:spacing w:line="276" w:lineRule="auto"/>
              <w:rPr>
                <w:rFonts w:eastAsia="Arial"/>
                <w:sz w:val="20"/>
                <w:szCs w:val="20"/>
              </w:rPr>
            </w:pPr>
          </w:p>
        </w:tc>
      </w:tr>
    </w:tbl>
    <w:p w14:paraId="17EE5A6D" w14:textId="094D2480" w:rsidR="00B76016" w:rsidRPr="00CA497F" w:rsidRDefault="00B76016" w:rsidP="00CA497F">
      <w:pPr>
        <w:rPr>
          <w:sz w:val="20"/>
          <w:szCs w:val="20"/>
        </w:rPr>
      </w:pPr>
      <w:r w:rsidRPr="00B76016">
        <w:rPr>
          <w:sz w:val="20"/>
          <w:szCs w:val="20"/>
        </w:rPr>
        <w:t xml:space="preserve">Fonte: </w:t>
      </w:r>
      <w:r w:rsidRPr="00B76016">
        <w:rPr>
          <w:sz w:val="20"/>
          <w:szCs w:val="20"/>
        </w:rPr>
        <w:t>Elaborado pelos autores.</w:t>
      </w:r>
    </w:p>
    <w:p w14:paraId="01AEA57C" w14:textId="3845D4D1" w:rsidR="00CE4FF1" w:rsidRDefault="00CE4FF1" w:rsidP="00936710">
      <w:pPr>
        <w:pStyle w:val="Corpodetexto"/>
        <w:spacing w:before="1" w:line="360" w:lineRule="auto"/>
        <w:ind w:firstLine="709"/>
        <w:jc w:val="both"/>
        <w:rPr>
          <w:sz w:val="24"/>
          <w:szCs w:val="24"/>
        </w:rPr>
      </w:pPr>
      <w:r w:rsidRPr="00CE4FF1">
        <w:rPr>
          <w:sz w:val="24"/>
          <w:szCs w:val="24"/>
        </w:rPr>
        <w:t xml:space="preserve">A identificação da presença de </w:t>
      </w:r>
      <w:r w:rsidRPr="00CA497F">
        <w:rPr>
          <w:i/>
          <w:iCs/>
          <w:sz w:val="24"/>
          <w:szCs w:val="24"/>
        </w:rPr>
        <w:t>Pinus</w:t>
      </w:r>
      <w:r w:rsidRPr="00CE4FF1">
        <w:rPr>
          <w:sz w:val="24"/>
          <w:szCs w:val="24"/>
        </w:rPr>
        <w:t xml:space="preserve"> nas UCs estudadas baseou-se em registros científicos prévios e em dados oficiais.</w:t>
      </w:r>
      <w:r w:rsidR="00BB3E56">
        <w:rPr>
          <w:sz w:val="24"/>
          <w:szCs w:val="24"/>
        </w:rPr>
        <w:t xml:space="preserve"> </w:t>
      </w:r>
      <w:r w:rsidRPr="00CE4FF1">
        <w:rPr>
          <w:sz w:val="24"/>
          <w:szCs w:val="24"/>
        </w:rPr>
        <w:t>A coleta de dados</w:t>
      </w:r>
      <w:r w:rsidR="00A11F3C">
        <w:rPr>
          <w:sz w:val="24"/>
          <w:szCs w:val="24"/>
        </w:rPr>
        <w:t xml:space="preserve"> </w:t>
      </w:r>
      <w:r w:rsidRPr="00CE4FF1">
        <w:rPr>
          <w:sz w:val="24"/>
          <w:szCs w:val="24"/>
        </w:rPr>
        <w:t xml:space="preserve">foi realizada por meio de entrevistas conduzidas de forma remota via </w:t>
      </w:r>
      <w:r w:rsidRPr="00CA497F">
        <w:rPr>
          <w:i/>
          <w:iCs/>
          <w:sz w:val="24"/>
          <w:szCs w:val="24"/>
        </w:rPr>
        <w:t>Google Meet</w:t>
      </w:r>
      <w:r w:rsidRPr="00CE4FF1">
        <w:rPr>
          <w:sz w:val="24"/>
          <w:szCs w:val="24"/>
        </w:rPr>
        <w:t xml:space="preserve">. Para tanto, foi elaborado e aplicado um questionário semiestruturado específico para esta pesquisa. </w:t>
      </w:r>
    </w:p>
    <w:p w14:paraId="358E0584" w14:textId="6E0F64FB" w:rsidR="00A11F3C" w:rsidRDefault="00A11F3C" w:rsidP="00936710">
      <w:pPr>
        <w:pStyle w:val="Corpodetexto"/>
        <w:spacing w:before="1" w:line="360" w:lineRule="auto"/>
        <w:ind w:firstLine="709"/>
        <w:jc w:val="both"/>
        <w:rPr>
          <w:sz w:val="24"/>
          <w:szCs w:val="24"/>
        </w:rPr>
      </w:pPr>
      <w:r w:rsidRPr="00A11F3C">
        <w:rPr>
          <w:sz w:val="24"/>
          <w:szCs w:val="24"/>
        </w:rPr>
        <w:t>Para uma melhor compreensão dos dados, adotou-se uma análise mista, contemplando tanto aspectos quantitativos quanto qualitativos. A análise qualitativa dos dados foi realizada por</w:t>
      </w:r>
      <w:r>
        <w:rPr>
          <w:sz w:val="24"/>
          <w:szCs w:val="24"/>
        </w:rPr>
        <w:t xml:space="preserve"> </w:t>
      </w:r>
      <w:r w:rsidRPr="00A11F3C">
        <w:rPr>
          <w:sz w:val="24"/>
          <w:szCs w:val="24"/>
        </w:rPr>
        <w:t>meio</w:t>
      </w:r>
      <w:r>
        <w:rPr>
          <w:sz w:val="24"/>
          <w:szCs w:val="24"/>
        </w:rPr>
        <w:t xml:space="preserve"> </w:t>
      </w:r>
      <w:r w:rsidRPr="00A11F3C">
        <w:rPr>
          <w:sz w:val="24"/>
          <w:szCs w:val="24"/>
        </w:rPr>
        <w:t>da Análise</w:t>
      </w:r>
      <w:r>
        <w:rPr>
          <w:sz w:val="24"/>
          <w:szCs w:val="24"/>
        </w:rPr>
        <w:t xml:space="preserve"> </w:t>
      </w:r>
      <w:r w:rsidRPr="00A11F3C">
        <w:rPr>
          <w:sz w:val="24"/>
          <w:szCs w:val="24"/>
        </w:rPr>
        <w:t>de</w:t>
      </w:r>
      <w:r>
        <w:rPr>
          <w:sz w:val="24"/>
          <w:szCs w:val="24"/>
        </w:rPr>
        <w:t xml:space="preserve"> </w:t>
      </w:r>
      <w:r w:rsidRPr="00A11F3C">
        <w:rPr>
          <w:sz w:val="24"/>
          <w:szCs w:val="24"/>
        </w:rPr>
        <w:t>Similitude</w:t>
      </w:r>
      <w:r>
        <w:rPr>
          <w:sz w:val="24"/>
          <w:szCs w:val="24"/>
        </w:rPr>
        <w:t xml:space="preserve"> </w:t>
      </w:r>
      <w:r w:rsidRPr="00A11F3C">
        <w:rPr>
          <w:sz w:val="24"/>
          <w:szCs w:val="24"/>
        </w:rPr>
        <w:t>no programa</w:t>
      </w:r>
      <w:r>
        <w:rPr>
          <w:sz w:val="24"/>
          <w:szCs w:val="24"/>
        </w:rPr>
        <w:t xml:space="preserve"> </w:t>
      </w:r>
      <w:r w:rsidRPr="00CA497F">
        <w:rPr>
          <w:i/>
          <w:iCs/>
          <w:sz w:val="24"/>
          <w:szCs w:val="24"/>
        </w:rPr>
        <w:t>Interface</w:t>
      </w:r>
      <w:r w:rsidRPr="00CA497F">
        <w:rPr>
          <w:i/>
          <w:iCs/>
          <w:sz w:val="24"/>
          <w:szCs w:val="24"/>
        </w:rPr>
        <w:t xml:space="preserve"> </w:t>
      </w:r>
      <w:r w:rsidRPr="00CA497F">
        <w:rPr>
          <w:i/>
          <w:iCs/>
          <w:sz w:val="24"/>
          <w:szCs w:val="24"/>
        </w:rPr>
        <w:t>de</w:t>
      </w:r>
      <w:r w:rsidRPr="00CA497F">
        <w:rPr>
          <w:i/>
          <w:iCs/>
          <w:sz w:val="24"/>
          <w:szCs w:val="24"/>
        </w:rPr>
        <w:t xml:space="preserve"> </w:t>
      </w:r>
      <w:r w:rsidRPr="00CA497F">
        <w:rPr>
          <w:i/>
          <w:iCs/>
          <w:sz w:val="24"/>
          <w:szCs w:val="24"/>
        </w:rPr>
        <w:t>R</w:t>
      </w:r>
      <w:r w:rsidRPr="00CA497F">
        <w:rPr>
          <w:i/>
          <w:iCs/>
          <w:sz w:val="24"/>
          <w:szCs w:val="24"/>
        </w:rPr>
        <w:t xml:space="preserve"> </w:t>
      </w:r>
      <w:r w:rsidRPr="00CA497F">
        <w:rPr>
          <w:i/>
          <w:iCs/>
          <w:sz w:val="24"/>
          <w:szCs w:val="24"/>
        </w:rPr>
        <w:t>pour</w:t>
      </w:r>
      <w:r w:rsidRPr="00CA497F">
        <w:rPr>
          <w:i/>
          <w:iCs/>
          <w:sz w:val="24"/>
          <w:szCs w:val="24"/>
        </w:rPr>
        <w:t xml:space="preserve"> </w:t>
      </w:r>
      <w:r w:rsidRPr="00CA497F">
        <w:rPr>
          <w:i/>
          <w:iCs/>
          <w:sz w:val="24"/>
          <w:szCs w:val="24"/>
        </w:rPr>
        <w:t>les</w:t>
      </w:r>
      <w:r w:rsidRPr="00CA497F">
        <w:rPr>
          <w:i/>
          <w:iCs/>
          <w:sz w:val="24"/>
          <w:szCs w:val="24"/>
        </w:rPr>
        <w:t xml:space="preserve"> </w:t>
      </w:r>
      <w:r w:rsidRPr="00CA497F">
        <w:rPr>
          <w:i/>
          <w:iCs/>
          <w:sz w:val="24"/>
          <w:szCs w:val="24"/>
        </w:rPr>
        <w:t>Analyses</w:t>
      </w:r>
      <w:r w:rsidRPr="00CA497F">
        <w:rPr>
          <w:i/>
          <w:iCs/>
          <w:sz w:val="24"/>
          <w:szCs w:val="24"/>
        </w:rPr>
        <w:t xml:space="preserve"> </w:t>
      </w:r>
      <w:r w:rsidRPr="00CA497F">
        <w:rPr>
          <w:i/>
          <w:iCs/>
          <w:sz w:val="24"/>
          <w:szCs w:val="24"/>
        </w:rPr>
        <w:lastRenderedPageBreak/>
        <w:t>Multidimensionnelles</w:t>
      </w:r>
      <w:r w:rsidRPr="00CA497F">
        <w:rPr>
          <w:i/>
          <w:iCs/>
          <w:sz w:val="24"/>
          <w:szCs w:val="24"/>
        </w:rPr>
        <w:t xml:space="preserve"> </w:t>
      </w:r>
      <w:r w:rsidRPr="00CA497F">
        <w:rPr>
          <w:i/>
          <w:iCs/>
          <w:sz w:val="24"/>
          <w:szCs w:val="24"/>
        </w:rPr>
        <w:t>de</w:t>
      </w:r>
      <w:r w:rsidRPr="00CA497F">
        <w:rPr>
          <w:i/>
          <w:iCs/>
          <w:sz w:val="24"/>
          <w:szCs w:val="24"/>
        </w:rPr>
        <w:t xml:space="preserve"> </w:t>
      </w:r>
      <w:r w:rsidRPr="00CA497F">
        <w:rPr>
          <w:i/>
          <w:iCs/>
          <w:sz w:val="24"/>
          <w:szCs w:val="24"/>
        </w:rPr>
        <w:t>Textes</w:t>
      </w:r>
      <w:r w:rsidRPr="00CA497F">
        <w:rPr>
          <w:i/>
          <w:iCs/>
          <w:sz w:val="24"/>
          <w:szCs w:val="24"/>
        </w:rPr>
        <w:t xml:space="preserve"> </w:t>
      </w:r>
      <w:r w:rsidRPr="00CA497F">
        <w:rPr>
          <w:i/>
          <w:iCs/>
          <w:sz w:val="24"/>
          <w:szCs w:val="24"/>
        </w:rPr>
        <w:t>et</w:t>
      </w:r>
      <w:r w:rsidRPr="00CA497F">
        <w:rPr>
          <w:i/>
          <w:iCs/>
          <w:sz w:val="24"/>
          <w:szCs w:val="24"/>
        </w:rPr>
        <w:t xml:space="preserve"> </w:t>
      </w:r>
      <w:r w:rsidRPr="00CA497F">
        <w:rPr>
          <w:i/>
          <w:iCs/>
          <w:sz w:val="24"/>
          <w:szCs w:val="24"/>
        </w:rPr>
        <w:t>de</w:t>
      </w:r>
      <w:r w:rsidRPr="00CA497F">
        <w:rPr>
          <w:i/>
          <w:iCs/>
          <w:sz w:val="24"/>
          <w:szCs w:val="24"/>
        </w:rPr>
        <w:t xml:space="preserve"> </w:t>
      </w:r>
      <w:r w:rsidRPr="00CA497F">
        <w:rPr>
          <w:i/>
          <w:iCs/>
          <w:sz w:val="24"/>
          <w:szCs w:val="24"/>
        </w:rPr>
        <w:t>Questionnaires</w:t>
      </w:r>
      <w:r w:rsidRPr="00A11F3C">
        <w:rPr>
          <w:sz w:val="24"/>
          <w:szCs w:val="24"/>
        </w:rPr>
        <w:t xml:space="preserve"> (IRaMuTeQ). Também foram realizadas análises</w:t>
      </w:r>
      <w:r>
        <w:rPr>
          <w:sz w:val="24"/>
          <w:szCs w:val="24"/>
        </w:rPr>
        <w:t xml:space="preserve"> </w:t>
      </w:r>
      <w:r w:rsidRPr="00A11F3C">
        <w:rPr>
          <w:sz w:val="24"/>
          <w:szCs w:val="24"/>
        </w:rPr>
        <w:t>estatísticas descritivas que buscaram obter</w:t>
      </w:r>
      <w:r>
        <w:rPr>
          <w:sz w:val="24"/>
          <w:szCs w:val="24"/>
        </w:rPr>
        <w:t xml:space="preserve"> </w:t>
      </w:r>
      <w:r w:rsidRPr="00A11F3C">
        <w:rPr>
          <w:sz w:val="24"/>
          <w:szCs w:val="24"/>
        </w:rPr>
        <w:t>o percentual de UCs que enfrentam desafios operacionais específicos</w:t>
      </w:r>
      <w:r>
        <w:rPr>
          <w:sz w:val="24"/>
          <w:szCs w:val="24"/>
        </w:rPr>
        <w:t xml:space="preserve"> e quais as potencialidades de melhora no manejo</w:t>
      </w:r>
      <w:r w:rsidR="00CA497F">
        <w:rPr>
          <w:sz w:val="24"/>
          <w:szCs w:val="24"/>
        </w:rPr>
        <w:t xml:space="preserve"> de EEIs</w:t>
      </w:r>
      <w:r w:rsidRPr="00A11F3C">
        <w:rPr>
          <w:sz w:val="24"/>
          <w:szCs w:val="24"/>
        </w:rPr>
        <w:t xml:space="preserve">. </w:t>
      </w:r>
    </w:p>
    <w:p w14:paraId="4E9DF4F5" w14:textId="77777777" w:rsidR="00CE4FF1" w:rsidRPr="005F70B0" w:rsidRDefault="00CE4FF1" w:rsidP="00E3782C">
      <w:pPr>
        <w:pStyle w:val="Corpodetexto"/>
        <w:spacing w:before="1" w:line="360" w:lineRule="auto"/>
        <w:rPr>
          <w:sz w:val="24"/>
          <w:szCs w:val="24"/>
        </w:rPr>
      </w:pPr>
    </w:p>
    <w:p w14:paraId="71573541" w14:textId="4E79BD08"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602AC794" w14:textId="195FC2C0" w:rsidR="00B76016" w:rsidRDefault="00B76016" w:rsidP="00B76016">
      <w:pPr>
        <w:pStyle w:val="Corpodetexto"/>
        <w:spacing w:before="1" w:line="360" w:lineRule="auto"/>
        <w:ind w:firstLine="720"/>
        <w:jc w:val="both"/>
        <w:rPr>
          <w:sz w:val="24"/>
          <w:szCs w:val="24"/>
        </w:rPr>
      </w:pPr>
      <w:r w:rsidRPr="00B76016">
        <w:rPr>
          <w:sz w:val="24"/>
          <w:szCs w:val="24"/>
        </w:rPr>
        <w:t>A análise de similitude é um método de análise textual que mapeia a coocorrência entre palavras no corpus textual, e representa os resultados obtidos em grafos, onde as palavras compõem os vértices e a relação entre elas constitui as arestas. A espessura das arestas indica a intensidade da relação entre as palavras</w:t>
      </w:r>
      <w:r w:rsidR="006031DD">
        <w:rPr>
          <w:sz w:val="24"/>
          <w:szCs w:val="24"/>
        </w:rPr>
        <w:t xml:space="preserve"> </w:t>
      </w:r>
      <w:r w:rsidRPr="00B76016">
        <w:rPr>
          <w:sz w:val="24"/>
          <w:szCs w:val="24"/>
        </w:rPr>
        <w:t>(CAMARGO; JUSTO, 2013). Portanto, o grafo resultante evidencia os termos mais frequentemente empregados e as conexões mais significativas entre eles no conjunto das entrevistas analisadas.</w:t>
      </w:r>
    </w:p>
    <w:p w14:paraId="3BD16D50" w14:textId="700D20D9" w:rsidR="00B76016" w:rsidRPr="00B76016" w:rsidRDefault="00B76016" w:rsidP="00B76016">
      <w:pPr>
        <w:pStyle w:val="Corpodetexto"/>
        <w:spacing w:before="1" w:line="360" w:lineRule="auto"/>
        <w:jc w:val="center"/>
      </w:pPr>
      <w:r w:rsidRPr="00B76016">
        <w:t>Figura 1 – Análise de similitude das entrevistas.</w:t>
      </w:r>
    </w:p>
    <w:p w14:paraId="0F930BAD" w14:textId="0AF72A54" w:rsidR="00B76016" w:rsidRPr="00B76016" w:rsidRDefault="00B76016" w:rsidP="00B76016">
      <w:pPr>
        <w:pStyle w:val="Corpodetexto"/>
        <w:spacing w:before="1" w:line="360" w:lineRule="auto"/>
        <w:jc w:val="center"/>
        <w:rPr>
          <w:sz w:val="24"/>
          <w:szCs w:val="24"/>
        </w:rPr>
      </w:pPr>
      <w:r>
        <w:rPr>
          <w:noProof/>
          <w:sz w:val="24"/>
          <w:szCs w:val="24"/>
        </w:rPr>
        <w:drawing>
          <wp:inline distT="0" distB="0" distL="0" distR="0" wp14:anchorId="7221982D" wp14:editId="160016F5">
            <wp:extent cx="3812400" cy="3600000"/>
            <wp:effectExtent l="0" t="0" r="0" b="635"/>
            <wp:docPr id="120934687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346871" name="Imagem 1209346871"/>
                    <pic:cNvPicPr/>
                  </pic:nvPicPr>
                  <pic:blipFill rotWithShape="1">
                    <a:blip r:embed="rId8" cstate="print">
                      <a:extLst>
                        <a:ext uri="{28A0092B-C50C-407E-A947-70E740481C1C}">
                          <a14:useLocalDpi xmlns:a14="http://schemas.microsoft.com/office/drawing/2010/main" val="0"/>
                        </a:ext>
                      </a:extLst>
                    </a:blip>
                    <a:srcRect l="3669" t="5598" r="1737" b="5019"/>
                    <a:stretch>
                      <a:fillRect/>
                    </a:stretch>
                  </pic:blipFill>
                  <pic:spPr bwMode="auto">
                    <a:xfrm>
                      <a:off x="0" y="0"/>
                      <a:ext cx="3812400" cy="3600000"/>
                    </a:xfrm>
                    <a:prstGeom prst="rect">
                      <a:avLst/>
                    </a:prstGeom>
                    <a:ln>
                      <a:noFill/>
                    </a:ln>
                    <a:extLst>
                      <a:ext uri="{53640926-AAD7-44D8-BBD7-CCE9431645EC}">
                        <a14:shadowObscured xmlns:a14="http://schemas.microsoft.com/office/drawing/2010/main"/>
                      </a:ext>
                    </a:extLst>
                  </pic:spPr>
                </pic:pic>
              </a:graphicData>
            </a:graphic>
          </wp:inline>
        </w:drawing>
      </w:r>
    </w:p>
    <w:p w14:paraId="19B036FE" w14:textId="0B053AE3" w:rsidR="00BA33D7" w:rsidRPr="00BA33D7" w:rsidRDefault="00B76016" w:rsidP="00BA33D7">
      <w:pPr>
        <w:spacing w:line="360" w:lineRule="auto"/>
        <w:rPr>
          <w:sz w:val="20"/>
          <w:szCs w:val="20"/>
        </w:rPr>
      </w:pPr>
      <w:r w:rsidRPr="00B76016">
        <w:rPr>
          <w:sz w:val="20"/>
          <w:szCs w:val="20"/>
        </w:rPr>
        <w:t>Fonte: Elaborado pelos autores.</w:t>
      </w:r>
    </w:p>
    <w:p w14:paraId="54F10756" w14:textId="3620E644" w:rsidR="00B76016" w:rsidRDefault="00B76016" w:rsidP="00B76016">
      <w:pPr>
        <w:pStyle w:val="Corpodetexto"/>
        <w:spacing w:before="1" w:line="360" w:lineRule="auto"/>
        <w:ind w:firstLine="720"/>
        <w:jc w:val="both"/>
        <w:rPr>
          <w:sz w:val="24"/>
          <w:szCs w:val="24"/>
        </w:rPr>
      </w:pPr>
      <w:r w:rsidRPr="00B76016">
        <w:rPr>
          <w:sz w:val="24"/>
          <w:szCs w:val="24"/>
        </w:rPr>
        <w:t>Por meio do resultado obtido</w:t>
      </w:r>
      <w:r>
        <w:rPr>
          <w:sz w:val="24"/>
          <w:szCs w:val="24"/>
        </w:rPr>
        <w:t xml:space="preserve">, </w:t>
      </w:r>
      <w:r w:rsidRPr="00B76016">
        <w:rPr>
          <w:sz w:val="24"/>
          <w:szCs w:val="24"/>
        </w:rPr>
        <w:t>verifica-se que o corpus textual foi dividido em três núcleos, tendo como palavras principais “</w:t>
      </w:r>
      <w:r w:rsidRPr="00CA497F">
        <w:rPr>
          <w:i/>
          <w:iCs/>
          <w:sz w:val="24"/>
          <w:szCs w:val="24"/>
        </w:rPr>
        <w:t>Pinus</w:t>
      </w:r>
      <w:r w:rsidRPr="00B76016">
        <w:rPr>
          <w:sz w:val="24"/>
          <w:szCs w:val="24"/>
        </w:rPr>
        <w:t xml:space="preserve">”, “controle” e “corte”. Essas palavras foram destacadas e apresentaram forte correlação pela natureza da </w:t>
      </w:r>
      <w:r>
        <w:rPr>
          <w:sz w:val="24"/>
          <w:szCs w:val="24"/>
        </w:rPr>
        <w:t>entrevista</w:t>
      </w:r>
      <w:r w:rsidRPr="00B76016">
        <w:rPr>
          <w:sz w:val="24"/>
          <w:szCs w:val="24"/>
        </w:rPr>
        <w:t>, que busca</w:t>
      </w:r>
      <w:r>
        <w:rPr>
          <w:sz w:val="24"/>
          <w:szCs w:val="24"/>
        </w:rPr>
        <w:t>va também</w:t>
      </w:r>
      <w:r w:rsidRPr="00B76016">
        <w:rPr>
          <w:sz w:val="24"/>
          <w:szCs w:val="24"/>
        </w:rPr>
        <w:t xml:space="preserve"> compreender as técnicas de controle dos pínus dentro de APs.</w:t>
      </w:r>
    </w:p>
    <w:p w14:paraId="7F935F02" w14:textId="77777777" w:rsidR="00BA33D7" w:rsidRPr="00BA33D7" w:rsidRDefault="00BA33D7" w:rsidP="00BA33D7">
      <w:pPr>
        <w:pStyle w:val="Corpodetexto"/>
        <w:spacing w:before="1" w:line="360" w:lineRule="auto"/>
        <w:ind w:firstLine="720"/>
        <w:jc w:val="both"/>
        <w:rPr>
          <w:sz w:val="24"/>
          <w:szCs w:val="24"/>
        </w:rPr>
      </w:pPr>
      <w:r w:rsidRPr="00BA33D7">
        <w:rPr>
          <w:sz w:val="24"/>
          <w:szCs w:val="24"/>
        </w:rPr>
        <w:t xml:space="preserve">Os principais desafios para o controle efetivo do </w:t>
      </w:r>
      <w:r w:rsidRPr="00CA497F">
        <w:rPr>
          <w:i/>
          <w:iCs/>
          <w:sz w:val="24"/>
          <w:szCs w:val="24"/>
        </w:rPr>
        <w:t>Pinus</w:t>
      </w:r>
      <w:r w:rsidRPr="00BA33D7">
        <w:rPr>
          <w:sz w:val="24"/>
          <w:szCs w:val="24"/>
        </w:rPr>
        <w:t xml:space="preserve"> e as necessidades para a otimização do manejo foram compilados para todas as UCs analisadas, sem distinção de </w:t>
      </w:r>
      <w:r w:rsidRPr="00BA33D7">
        <w:rPr>
          <w:sz w:val="24"/>
          <w:szCs w:val="24"/>
        </w:rPr>
        <w:lastRenderedPageBreak/>
        <w:t>categoria ou bioma. Para todos os relatos de não ocorrência, foi usado como identificador de resposta “N/A”, indicando “não aplicável".</w:t>
      </w:r>
    </w:p>
    <w:p w14:paraId="53B0BB06" w14:textId="74266409" w:rsidR="00BA33D7" w:rsidRPr="00BA33D7" w:rsidRDefault="00BA33D7" w:rsidP="00BA33D7">
      <w:pPr>
        <w:pStyle w:val="Corpodetexto"/>
        <w:spacing w:before="1" w:line="360" w:lineRule="auto"/>
        <w:jc w:val="center"/>
      </w:pPr>
      <w:r w:rsidRPr="00B76016">
        <w:t xml:space="preserve">Figura </w:t>
      </w:r>
      <w:r>
        <w:t>2</w:t>
      </w:r>
      <w:r w:rsidRPr="00B76016">
        <w:t xml:space="preserve"> – </w:t>
      </w:r>
      <w:r w:rsidRPr="00BA33D7">
        <w:t xml:space="preserve">Análise dos principais desafios enfrentados no controle de </w:t>
      </w:r>
      <w:r w:rsidRPr="00CA497F">
        <w:rPr>
          <w:i/>
          <w:iCs/>
        </w:rPr>
        <w:t>Pinus</w:t>
      </w:r>
      <w:r w:rsidRPr="00BA33D7">
        <w:t xml:space="preserve"> em UCs federais</w:t>
      </w:r>
      <w:r w:rsidRPr="00B76016">
        <w:t>.</w:t>
      </w:r>
    </w:p>
    <w:p w14:paraId="6158960D" w14:textId="6ABB8C01" w:rsidR="00BA33D7" w:rsidRDefault="00BA33D7" w:rsidP="00DD37B6">
      <w:pPr>
        <w:pStyle w:val="Corpodetexto"/>
        <w:spacing w:before="1" w:line="360" w:lineRule="auto"/>
        <w:jc w:val="center"/>
        <w:rPr>
          <w:sz w:val="24"/>
          <w:szCs w:val="24"/>
        </w:rPr>
      </w:pPr>
      <w:r>
        <w:rPr>
          <w:noProof/>
          <w:sz w:val="24"/>
          <w:szCs w:val="24"/>
        </w:rPr>
        <w:drawing>
          <wp:inline distT="0" distB="0" distL="0" distR="0" wp14:anchorId="37F6FE98" wp14:editId="3A726EFF">
            <wp:extent cx="3816000" cy="2160000"/>
            <wp:effectExtent l="0" t="0" r="0" b="0"/>
            <wp:docPr id="70560242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602424" name="Imagem 705602424"/>
                    <pic:cNvPicPr/>
                  </pic:nvPicPr>
                  <pic:blipFill>
                    <a:blip r:embed="rId9">
                      <a:extLst>
                        <a:ext uri="{28A0092B-C50C-407E-A947-70E740481C1C}">
                          <a14:useLocalDpi xmlns:a14="http://schemas.microsoft.com/office/drawing/2010/main" val="0"/>
                        </a:ext>
                      </a:extLst>
                    </a:blip>
                    <a:stretch>
                      <a:fillRect/>
                    </a:stretch>
                  </pic:blipFill>
                  <pic:spPr>
                    <a:xfrm>
                      <a:off x="0" y="0"/>
                      <a:ext cx="3816000" cy="2160000"/>
                    </a:xfrm>
                    <a:prstGeom prst="rect">
                      <a:avLst/>
                    </a:prstGeom>
                  </pic:spPr>
                </pic:pic>
              </a:graphicData>
            </a:graphic>
          </wp:inline>
        </w:drawing>
      </w:r>
    </w:p>
    <w:p w14:paraId="63804C2D" w14:textId="01DC095F" w:rsidR="00BA33D7" w:rsidRPr="00BA33D7" w:rsidRDefault="00BA33D7" w:rsidP="00BA33D7">
      <w:pPr>
        <w:spacing w:line="360" w:lineRule="auto"/>
        <w:rPr>
          <w:sz w:val="20"/>
          <w:szCs w:val="20"/>
        </w:rPr>
      </w:pPr>
      <w:r w:rsidRPr="00B76016">
        <w:rPr>
          <w:sz w:val="20"/>
          <w:szCs w:val="20"/>
        </w:rPr>
        <w:t>Fonte: Elaborado pelos autores.</w:t>
      </w:r>
    </w:p>
    <w:p w14:paraId="76053E81" w14:textId="5276A3FB" w:rsidR="00B76016" w:rsidRPr="00B76016" w:rsidRDefault="00B76016" w:rsidP="00936710">
      <w:pPr>
        <w:pStyle w:val="Corpodetexto"/>
        <w:spacing w:line="360" w:lineRule="auto"/>
        <w:ind w:firstLine="709"/>
        <w:jc w:val="both"/>
        <w:rPr>
          <w:sz w:val="24"/>
          <w:szCs w:val="24"/>
        </w:rPr>
      </w:pPr>
      <w:r w:rsidRPr="00B76016">
        <w:rPr>
          <w:sz w:val="24"/>
          <w:szCs w:val="24"/>
        </w:rPr>
        <w:t>Ao observar os resultados obtidos na análise de similitude</w:t>
      </w:r>
      <w:r w:rsidR="00BA33D7">
        <w:rPr>
          <w:sz w:val="24"/>
          <w:szCs w:val="24"/>
        </w:rPr>
        <w:t xml:space="preserve"> (Figura 1)</w:t>
      </w:r>
      <w:r w:rsidRPr="00B76016">
        <w:rPr>
          <w:sz w:val="24"/>
          <w:szCs w:val="24"/>
        </w:rPr>
        <w:t xml:space="preserve">, a correlação entre “mão de obra” e “desafio” torna-se evidente, uma vez que 60% das UCs relataram não ter o corpo técnico necessário para o manejo, enquanto a relação com “agentes temporários ambientais” pode ser explicada pela contratação frequente desses profissionais como uma alternativa para viabilizar as ações de controle. </w:t>
      </w:r>
      <w:r w:rsidR="00DD37B6" w:rsidRPr="00DD37B6">
        <w:rPr>
          <w:sz w:val="24"/>
          <w:szCs w:val="24"/>
        </w:rPr>
        <w:t xml:space="preserve">Esse esvaziamento do corpo técnico especializado dentro das instituições decorre, principalmente a partir de 2019, da militarização dos órgãos ambientais (OLIVEIRA FILHO, 2024; PEREIRA </w:t>
      </w:r>
      <w:r w:rsidR="00DD37B6" w:rsidRPr="00DD37B6">
        <w:rPr>
          <w:i/>
          <w:iCs/>
          <w:sz w:val="24"/>
          <w:szCs w:val="24"/>
        </w:rPr>
        <w:t>et al</w:t>
      </w:r>
      <w:r w:rsidR="00DD37B6" w:rsidRPr="00DD37B6">
        <w:rPr>
          <w:sz w:val="24"/>
          <w:szCs w:val="24"/>
        </w:rPr>
        <w:t>., 2024).</w:t>
      </w:r>
    </w:p>
    <w:p w14:paraId="325F5340" w14:textId="7CCD14B9" w:rsidR="00B76016" w:rsidRDefault="00B76016" w:rsidP="00936710">
      <w:pPr>
        <w:pStyle w:val="Corpodetexto"/>
        <w:spacing w:line="360" w:lineRule="auto"/>
        <w:ind w:firstLine="709"/>
        <w:jc w:val="both"/>
        <w:rPr>
          <w:sz w:val="24"/>
          <w:szCs w:val="24"/>
        </w:rPr>
      </w:pPr>
      <w:r w:rsidRPr="00B76016">
        <w:rPr>
          <w:sz w:val="24"/>
          <w:szCs w:val="24"/>
        </w:rPr>
        <w:t>Por outro lado, apesar de a regularização fundiária ter sido apontada como um</w:t>
      </w:r>
      <w:r w:rsidR="00936710">
        <w:rPr>
          <w:sz w:val="24"/>
          <w:szCs w:val="24"/>
        </w:rPr>
        <w:t xml:space="preserve"> óbice ao controle</w:t>
      </w:r>
      <w:r w:rsidRPr="00B76016">
        <w:rPr>
          <w:sz w:val="24"/>
          <w:szCs w:val="24"/>
        </w:rPr>
        <w:t>, a desconexão entre “propriedades particulares” e “desafio” pode ser explicada pelo fato de que foram analisadas ta</w:t>
      </w:r>
      <w:r w:rsidR="00936710">
        <w:rPr>
          <w:sz w:val="24"/>
          <w:szCs w:val="24"/>
        </w:rPr>
        <w:t>mbém</w:t>
      </w:r>
      <w:r w:rsidRPr="00B76016">
        <w:rPr>
          <w:sz w:val="24"/>
          <w:szCs w:val="24"/>
        </w:rPr>
        <w:t xml:space="preserve"> UCs </w:t>
      </w:r>
      <w:r w:rsidR="00936710">
        <w:rPr>
          <w:sz w:val="24"/>
          <w:szCs w:val="24"/>
        </w:rPr>
        <w:t>que admitem</w:t>
      </w:r>
      <w:r w:rsidRPr="00B76016">
        <w:rPr>
          <w:sz w:val="24"/>
          <w:szCs w:val="24"/>
        </w:rPr>
        <w:t xml:space="preserve"> áreas privadas em seus limites. A regularização fundiária é uma ferramenta essencial para que as APs cumpram sua finalidade de conservação, e deve ser a maior prioridade no destino de recursos obtidos por UCs de Proteção Integral (BRASIL, 2002). Apesar de esforços recentes do ICMBio para facilitar os procedimentos de regularização fundiária (BRASIL, 2025), mais de 20 milhões de hectares em UCs permanecem não regularizados (CMA/CNMP, 2025). </w:t>
      </w:r>
    </w:p>
    <w:p w14:paraId="58B6BB9A" w14:textId="0CE5DA8B" w:rsidR="006031DD" w:rsidRDefault="006031DD" w:rsidP="00936710">
      <w:pPr>
        <w:pStyle w:val="Corpodetexto"/>
        <w:spacing w:line="360" w:lineRule="auto"/>
        <w:ind w:firstLine="709"/>
        <w:jc w:val="both"/>
        <w:rPr>
          <w:sz w:val="24"/>
          <w:szCs w:val="24"/>
        </w:rPr>
      </w:pPr>
      <w:r w:rsidRPr="006031DD">
        <w:rPr>
          <w:sz w:val="24"/>
          <w:szCs w:val="24"/>
        </w:rPr>
        <w:t xml:space="preserve">Os desafios relatados não decorrem de limitações técnicas, mas da escassez de recursos financeiros e humanos. O déficit de pessoal é evidente, com uma média nacional de apenas 0,001 servidor por </w:t>
      </w:r>
      <w:r w:rsidR="00C66DE4">
        <w:rPr>
          <w:sz w:val="24"/>
          <w:szCs w:val="24"/>
        </w:rPr>
        <w:t>quilômetro quadrado</w:t>
      </w:r>
      <w:r w:rsidRPr="006031DD">
        <w:rPr>
          <w:sz w:val="24"/>
          <w:szCs w:val="24"/>
        </w:rPr>
        <w:t xml:space="preserve"> </w:t>
      </w:r>
      <w:r>
        <w:rPr>
          <w:sz w:val="24"/>
          <w:szCs w:val="24"/>
        </w:rPr>
        <w:t xml:space="preserve">de UC </w:t>
      </w:r>
      <w:r w:rsidRPr="006031DD">
        <w:rPr>
          <w:sz w:val="24"/>
          <w:szCs w:val="24"/>
        </w:rPr>
        <w:t xml:space="preserve">(ICMBio, 2025). Mesmo nas regiões Sul e Sudeste, que possuem UCs menores e maior </w:t>
      </w:r>
      <w:r>
        <w:rPr>
          <w:sz w:val="24"/>
          <w:szCs w:val="24"/>
        </w:rPr>
        <w:t>corpo técnico</w:t>
      </w:r>
      <w:r w:rsidRPr="006031DD">
        <w:rPr>
          <w:sz w:val="24"/>
          <w:szCs w:val="24"/>
        </w:rPr>
        <w:t xml:space="preserve"> (DRUMMOND; FRANCO; OLIVEIRA, 2010; GREENSTEIN, 2025), a restrição orçamentária inviabiliza o manejo (WITT </w:t>
      </w:r>
      <w:r w:rsidRPr="006031DD">
        <w:rPr>
          <w:i/>
          <w:iCs/>
          <w:sz w:val="24"/>
          <w:szCs w:val="24"/>
        </w:rPr>
        <w:t>et al</w:t>
      </w:r>
      <w:r w:rsidRPr="006031DD">
        <w:rPr>
          <w:sz w:val="24"/>
          <w:szCs w:val="24"/>
        </w:rPr>
        <w:t xml:space="preserve">., 2023), demonstrando que a presença de profissionais sem infraestrutura não garante o </w:t>
      </w:r>
      <w:r w:rsidRPr="006031DD">
        <w:rPr>
          <w:sz w:val="24"/>
          <w:szCs w:val="24"/>
        </w:rPr>
        <w:lastRenderedPageBreak/>
        <w:t>controle de EEIs. Somado a isso, a vasta dimensão territorial de muitas UCs impõe severos obstáculos logísticos, tornando o deslocamento e o monitoramento atividades complexas e onerosas.</w:t>
      </w:r>
    </w:p>
    <w:p w14:paraId="23AFEA7B" w14:textId="1167DDDA" w:rsidR="00B76016" w:rsidRDefault="002D28EC" w:rsidP="00936710">
      <w:pPr>
        <w:pStyle w:val="Corpodetexto"/>
        <w:spacing w:line="360" w:lineRule="auto"/>
        <w:ind w:firstLine="709"/>
        <w:jc w:val="both"/>
        <w:rPr>
          <w:sz w:val="24"/>
          <w:szCs w:val="24"/>
        </w:rPr>
      </w:pPr>
      <w:r w:rsidRPr="002D28EC">
        <w:rPr>
          <w:sz w:val="24"/>
          <w:szCs w:val="24"/>
        </w:rPr>
        <w:t xml:space="preserve">Para contornar essa escassez de recursos humanos e financeiros, propõe-se a criação de brigadas regionais </w:t>
      </w:r>
      <w:r>
        <w:rPr>
          <w:sz w:val="24"/>
          <w:szCs w:val="24"/>
        </w:rPr>
        <w:t xml:space="preserve">voluntárias ou remuneradas </w:t>
      </w:r>
      <w:r w:rsidRPr="002D28EC">
        <w:rPr>
          <w:sz w:val="24"/>
          <w:szCs w:val="24"/>
        </w:rPr>
        <w:t>que atuem de forma integrada em múltiplas esferas de gestão. A atuação em escala regional otimizaria o compartilhamento de equipamentos e conhecimentos, viabilizando intervenções em áreas maiores e garantindo um controle mais efetivo de EEIs.</w:t>
      </w:r>
    </w:p>
    <w:p w14:paraId="021079D3" w14:textId="77777777" w:rsidR="00243512" w:rsidRPr="005F70B0" w:rsidRDefault="00243512" w:rsidP="00936710">
      <w:pPr>
        <w:pStyle w:val="Corpodetexto"/>
        <w:spacing w:line="360" w:lineRule="auto"/>
        <w:jc w:val="both"/>
        <w:rPr>
          <w:sz w:val="24"/>
          <w:szCs w:val="24"/>
        </w:rPr>
      </w:pPr>
    </w:p>
    <w:p w14:paraId="1C25DF7A" w14:textId="1C3EDB50" w:rsidR="00243512" w:rsidRPr="005F70B0" w:rsidRDefault="00243512" w:rsidP="009C4B75">
      <w:pPr>
        <w:pStyle w:val="Corpodetexto"/>
        <w:spacing w:line="360" w:lineRule="auto"/>
        <w:jc w:val="both"/>
        <w:rPr>
          <w:b/>
          <w:bCs/>
          <w:sz w:val="28"/>
          <w:szCs w:val="28"/>
        </w:rPr>
      </w:pPr>
      <w:r w:rsidRPr="005F70B0">
        <w:rPr>
          <w:b/>
          <w:bCs/>
          <w:sz w:val="28"/>
          <w:szCs w:val="28"/>
        </w:rPr>
        <w:t>Con</w:t>
      </w:r>
      <w:r w:rsidR="00C66DE4">
        <w:rPr>
          <w:b/>
          <w:bCs/>
          <w:sz w:val="28"/>
          <w:szCs w:val="28"/>
        </w:rPr>
        <w:t>clusão</w:t>
      </w:r>
    </w:p>
    <w:p w14:paraId="63A9D7E7" w14:textId="1E059C54" w:rsidR="00BA33D7" w:rsidRDefault="0072498A" w:rsidP="00936710">
      <w:pPr>
        <w:pStyle w:val="Corpodetexto"/>
        <w:spacing w:line="360" w:lineRule="auto"/>
        <w:ind w:firstLine="709"/>
        <w:jc w:val="both"/>
        <w:rPr>
          <w:sz w:val="24"/>
          <w:szCs w:val="24"/>
        </w:rPr>
      </w:pPr>
      <w:r>
        <w:rPr>
          <w:sz w:val="24"/>
          <w:szCs w:val="24"/>
        </w:rPr>
        <w:t xml:space="preserve">A pesquisa evidenciou que </w:t>
      </w:r>
      <w:r w:rsidRPr="0072498A">
        <w:rPr>
          <w:sz w:val="24"/>
          <w:szCs w:val="24"/>
        </w:rPr>
        <w:t>o control</w:t>
      </w:r>
      <w:r>
        <w:rPr>
          <w:sz w:val="24"/>
          <w:szCs w:val="24"/>
        </w:rPr>
        <w:t>e</w:t>
      </w:r>
      <w:r w:rsidRPr="0072498A">
        <w:rPr>
          <w:sz w:val="24"/>
          <w:szCs w:val="24"/>
        </w:rPr>
        <w:t xml:space="preserve"> do </w:t>
      </w:r>
      <w:r w:rsidR="00CA497F">
        <w:rPr>
          <w:sz w:val="24"/>
          <w:szCs w:val="24"/>
        </w:rPr>
        <w:t xml:space="preserve">pínus </w:t>
      </w:r>
      <w:r w:rsidRPr="0072498A">
        <w:rPr>
          <w:sz w:val="24"/>
          <w:szCs w:val="24"/>
        </w:rPr>
        <w:t xml:space="preserve">nas </w:t>
      </w:r>
      <w:r>
        <w:rPr>
          <w:sz w:val="24"/>
          <w:szCs w:val="24"/>
        </w:rPr>
        <w:t>UCs</w:t>
      </w:r>
      <w:r w:rsidRPr="0072498A">
        <w:rPr>
          <w:sz w:val="24"/>
          <w:szCs w:val="24"/>
        </w:rPr>
        <w:t xml:space="preserve"> federais é limitado por restrições operacionais e orçament</w:t>
      </w:r>
      <w:r>
        <w:rPr>
          <w:sz w:val="24"/>
          <w:szCs w:val="24"/>
        </w:rPr>
        <w:t>árias</w:t>
      </w:r>
      <w:r w:rsidRPr="0072498A">
        <w:rPr>
          <w:sz w:val="24"/>
          <w:szCs w:val="24"/>
        </w:rPr>
        <w:t xml:space="preserve">. A carência de mão de obra e a escassez de recursos financeiros dificultam a manutenção das ações de </w:t>
      </w:r>
      <w:r>
        <w:rPr>
          <w:sz w:val="24"/>
          <w:szCs w:val="24"/>
        </w:rPr>
        <w:t>controle</w:t>
      </w:r>
      <w:r w:rsidRPr="0072498A">
        <w:rPr>
          <w:sz w:val="24"/>
          <w:szCs w:val="24"/>
        </w:rPr>
        <w:t>.</w:t>
      </w:r>
      <w:r>
        <w:rPr>
          <w:sz w:val="24"/>
          <w:szCs w:val="24"/>
        </w:rPr>
        <w:t xml:space="preserve"> </w:t>
      </w:r>
      <w:r w:rsidR="00BA33D7" w:rsidRPr="00BA33D7">
        <w:rPr>
          <w:sz w:val="24"/>
          <w:szCs w:val="24"/>
        </w:rPr>
        <w:t xml:space="preserve">Para otimizar os esforços de manejo de EEIs em UCs federais, em especial as do gênero </w:t>
      </w:r>
      <w:r w:rsidR="00BA33D7" w:rsidRPr="00CA497F">
        <w:rPr>
          <w:i/>
          <w:iCs/>
          <w:sz w:val="24"/>
          <w:szCs w:val="24"/>
        </w:rPr>
        <w:t>Pinus</w:t>
      </w:r>
      <w:r w:rsidR="00BA33D7" w:rsidRPr="00BA33D7">
        <w:rPr>
          <w:sz w:val="24"/>
          <w:szCs w:val="24"/>
        </w:rPr>
        <w:t>, é fundamental que as políticas de gestão priorizem a ampliação do corpo técnico, assim como investimentos em insumos e regularização fundiária. Dessa forma, a criação de brigadas regionais poderia viabilizar ações coordenadas de controle de múltiplas EEIs em UCs de diferentes esferas administrativas.</w:t>
      </w:r>
    </w:p>
    <w:p w14:paraId="29AC6C40" w14:textId="77777777" w:rsidR="009C4B75" w:rsidRDefault="009C4B75" w:rsidP="009C4B75">
      <w:pPr>
        <w:pStyle w:val="Corpodetexto"/>
        <w:spacing w:line="360" w:lineRule="auto"/>
        <w:jc w:val="both"/>
        <w:rPr>
          <w:sz w:val="24"/>
          <w:szCs w:val="24"/>
        </w:rPr>
      </w:pPr>
    </w:p>
    <w:p w14:paraId="46C53EB6" w14:textId="178C0EC9" w:rsidR="00624629" w:rsidRPr="005F70B0" w:rsidRDefault="00624629" w:rsidP="00624629">
      <w:pPr>
        <w:pStyle w:val="Corpodetexto"/>
        <w:spacing w:line="360" w:lineRule="auto"/>
        <w:jc w:val="both"/>
        <w:rPr>
          <w:sz w:val="24"/>
          <w:szCs w:val="24"/>
        </w:rPr>
      </w:pPr>
      <w:r w:rsidRPr="005F70B0">
        <w:rPr>
          <w:b/>
          <w:bCs/>
          <w:sz w:val="28"/>
          <w:szCs w:val="28"/>
        </w:rPr>
        <w:t>Referências</w:t>
      </w:r>
    </w:p>
    <w:p w14:paraId="40B71D27" w14:textId="71B47509" w:rsidR="00F17AB5" w:rsidRPr="00F17AB5" w:rsidRDefault="00F17AB5" w:rsidP="003E03ED">
      <w:pPr>
        <w:jc w:val="both"/>
        <w:rPr>
          <w:sz w:val="24"/>
          <w:szCs w:val="24"/>
        </w:rPr>
      </w:pPr>
      <w:r w:rsidRPr="00F17AB5">
        <w:rPr>
          <w:sz w:val="24"/>
          <w:szCs w:val="24"/>
          <w:lang w:val="en-US"/>
        </w:rPr>
        <w:t xml:space="preserve">BOULET, Anne-Karine </w:t>
      </w:r>
      <w:r w:rsidRPr="00F17AB5">
        <w:rPr>
          <w:i/>
          <w:sz w:val="24"/>
          <w:szCs w:val="24"/>
          <w:lang w:val="en-US"/>
        </w:rPr>
        <w:t>et al</w:t>
      </w:r>
      <w:r w:rsidRPr="00F17AB5">
        <w:rPr>
          <w:sz w:val="24"/>
          <w:szCs w:val="24"/>
          <w:lang w:val="en-US"/>
        </w:rPr>
        <w:t>. Hydrological processes in eucalypt and pine forested headwater catchments within Mediterranean region.</w:t>
      </w:r>
      <w:r w:rsidRPr="00F17AB5">
        <w:rPr>
          <w:b/>
          <w:sz w:val="24"/>
          <w:szCs w:val="24"/>
          <w:lang w:val="en-US"/>
        </w:rPr>
        <w:t xml:space="preserve"> </w:t>
      </w:r>
      <w:r w:rsidRPr="00F17AB5">
        <w:rPr>
          <w:b/>
          <w:sz w:val="24"/>
          <w:szCs w:val="24"/>
        </w:rPr>
        <w:t>Water</w:t>
      </w:r>
      <w:r w:rsidRPr="00F17AB5">
        <w:rPr>
          <w:sz w:val="24"/>
          <w:szCs w:val="24"/>
        </w:rPr>
        <w:t>, v. 13, n. 10, p. 1418, 2021.</w:t>
      </w:r>
    </w:p>
    <w:p w14:paraId="5AB1CA8D" w14:textId="77777777" w:rsidR="00F17AB5" w:rsidRPr="00F17AB5" w:rsidRDefault="00F17AB5" w:rsidP="003E03ED">
      <w:pPr>
        <w:jc w:val="both"/>
        <w:rPr>
          <w:sz w:val="24"/>
          <w:szCs w:val="24"/>
        </w:rPr>
      </w:pPr>
    </w:p>
    <w:p w14:paraId="6FAFFA06" w14:textId="77777777" w:rsidR="00F17AB5" w:rsidRPr="00F17AB5" w:rsidRDefault="00F17AB5" w:rsidP="003E03ED">
      <w:pPr>
        <w:jc w:val="both"/>
        <w:rPr>
          <w:sz w:val="24"/>
          <w:szCs w:val="24"/>
        </w:rPr>
      </w:pPr>
      <w:r w:rsidRPr="00F17AB5">
        <w:rPr>
          <w:sz w:val="24"/>
          <w:szCs w:val="24"/>
        </w:rPr>
        <w:t xml:space="preserve">BRASIL. Decreto nº 4.340, de 22 de agosto de 2002. Regulamenta artigos da Lei nº 9.985, de 18 de julho de 2000, que dispõe sobre o Sistema Nacional de Unidades de Conservação da Natureza - SNUC. </w:t>
      </w:r>
      <w:r w:rsidRPr="00F17AB5">
        <w:rPr>
          <w:b/>
          <w:sz w:val="24"/>
          <w:szCs w:val="24"/>
        </w:rPr>
        <w:t>Diário Oficial da União</w:t>
      </w:r>
      <w:r w:rsidRPr="00F17AB5">
        <w:rPr>
          <w:sz w:val="24"/>
          <w:szCs w:val="24"/>
        </w:rPr>
        <w:t>, Brasília, DF, 23 ago. 2002.</w:t>
      </w:r>
    </w:p>
    <w:p w14:paraId="4D17B5C2" w14:textId="77777777" w:rsidR="00F17AB5" w:rsidRPr="00F17AB5" w:rsidRDefault="00F17AB5" w:rsidP="003E03ED">
      <w:pPr>
        <w:jc w:val="both"/>
        <w:rPr>
          <w:sz w:val="24"/>
          <w:szCs w:val="24"/>
        </w:rPr>
      </w:pPr>
    </w:p>
    <w:p w14:paraId="481231A5" w14:textId="37387C82" w:rsidR="00F17AB5" w:rsidRPr="00F17AB5" w:rsidRDefault="00F17AB5" w:rsidP="003E03ED">
      <w:pPr>
        <w:jc w:val="both"/>
        <w:rPr>
          <w:sz w:val="24"/>
          <w:szCs w:val="24"/>
        </w:rPr>
      </w:pPr>
      <w:r w:rsidRPr="00F17AB5">
        <w:rPr>
          <w:sz w:val="24"/>
          <w:szCs w:val="24"/>
        </w:rPr>
        <w:t xml:space="preserve">BRASIL. ICMBio. </w:t>
      </w:r>
      <w:r w:rsidRPr="00F17AB5">
        <w:rPr>
          <w:b/>
          <w:sz w:val="24"/>
          <w:szCs w:val="24"/>
        </w:rPr>
        <w:t>Instrução Normativa nº 24/2025, de 12 de agosto de 2025</w:t>
      </w:r>
      <w:r w:rsidRPr="00F17AB5">
        <w:rPr>
          <w:sz w:val="24"/>
          <w:szCs w:val="24"/>
        </w:rPr>
        <w:t xml:space="preserve">. Estabelece os procedimentos para o recebimento de bens imóveis situados em Unidades de Conservação federais de domínio público com fins de regularização fundiária, através da Doação Voluntária, Doação Antecipada, Doação para Compensação de Reserva Legal, Doação com fins de Compensação Florestal e para Cumprimento de outras Medidas Compensatórias. Brasília, DF, 2025. Disponível em: https://www.in.gov.br/en/web/dou/-/instrucao-normativa-icmbio-n-24-de-12-de-agosto-de-2025-648311919. </w:t>
      </w:r>
    </w:p>
    <w:p w14:paraId="5736E304" w14:textId="77777777" w:rsidR="00F17AB5" w:rsidRPr="00F17AB5" w:rsidRDefault="00F17AB5" w:rsidP="003E03ED">
      <w:pPr>
        <w:jc w:val="both"/>
        <w:rPr>
          <w:sz w:val="24"/>
          <w:szCs w:val="24"/>
        </w:rPr>
      </w:pPr>
    </w:p>
    <w:p w14:paraId="252BAB7F" w14:textId="2D2DE464" w:rsidR="00F17AB5" w:rsidRPr="00F17AB5" w:rsidRDefault="00F17AB5" w:rsidP="003E03ED">
      <w:pPr>
        <w:jc w:val="both"/>
        <w:rPr>
          <w:sz w:val="24"/>
          <w:szCs w:val="24"/>
        </w:rPr>
      </w:pPr>
      <w:r w:rsidRPr="00F17AB5">
        <w:rPr>
          <w:sz w:val="24"/>
          <w:szCs w:val="24"/>
        </w:rPr>
        <w:t xml:space="preserve">CAMARGO, Brigido Vizeu; JUSTO, Ana Maria. IRAMUTEQ: um software gratuito para análise de dados textuais. </w:t>
      </w:r>
      <w:r w:rsidRPr="00F17AB5">
        <w:rPr>
          <w:b/>
          <w:sz w:val="24"/>
          <w:szCs w:val="24"/>
        </w:rPr>
        <w:t>Temas em Psicologia</w:t>
      </w:r>
      <w:r w:rsidRPr="00F17AB5">
        <w:rPr>
          <w:sz w:val="24"/>
          <w:szCs w:val="24"/>
        </w:rPr>
        <w:t>, Ribeirão Preto, v. 21, n. 2, p. 513-518, 2013. Disponível em: http://pepsic.bvsalud.org/scielo.php?script=sci_arttext&amp;pid=S1413-389X2013000200016.</w:t>
      </w:r>
    </w:p>
    <w:p w14:paraId="2FE988B2" w14:textId="77777777" w:rsidR="00F17AB5" w:rsidRPr="00F17AB5" w:rsidRDefault="00F17AB5" w:rsidP="003E03ED">
      <w:pPr>
        <w:jc w:val="both"/>
        <w:rPr>
          <w:sz w:val="24"/>
          <w:szCs w:val="24"/>
        </w:rPr>
      </w:pPr>
    </w:p>
    <w:p w14:paraId="0CF869A6" w14:textId="6038E52E" w:rsidR="00F17AB5" w:rsidRPr="00F17AB5" w:rsidRDefault="00F17AB5" w:rsidP="003E03ED">
      <w:pPr>
        <w:jc w:val="both"/>
        <w:rPr>
          <w:sz w:val="24"/>
          <w:szCs w:val="24"/>
        </w:rPr>
      </w:pPr>
      <w:r w:rsidRPr="00F17AB5">
        <w:rPr>
          <w:sz w:val="24"/>
          <w:szCs w:val="24"/>
        </w:rPr>
        <w:lastRenderedPageBreak/>
        <w:t xml:space="preserve">CMA/CNMP. Regularização das unidades de conservação: sistematização dos requisitos normativos e diretrizes para a garantia de adequada implementação e gestão. </w:t>
      </w:r>
      <w:r w:rsidRPr="00F17AB5">
        <w:rPr>
          <w:b/>
          <w:sz w:val="24"/>
          <w:szCs w:val="24"/>
        </w:rPr>
        <w:t>Materiais de orientação da Comissão de Meio Ambiente</w:t>
      </w:r>
      <w:r w:rsidRPr="00F17AB5">
        <w:rPr>
          <w:sz w:val="24"/>
          <w:szCs w:val="24"/>
        </w:rPr>
        <w:t xml:space="preserve">, Brasília, 2025. Disponível em: https://www.cnmp.mp.br/portal/images/CMA/arquivos/Materiais_de_orienta%C3%A7%C3%A3o_CMA/diretrizes_2025_FINAL.pdf. </w:t>
      </w:r>
    </w:p>
    <w:p w14:paraId="19668491" w14:textId="77777777" w:rsidR="00F17AB5" w:rsidRPr="00F17AB5" w:rsidRDefault="00F17AB5" w:rsidP="003E03ED">
      <w:pPr>
        <w:jc w:val="both"/>
        <w:rPr>
          <w:sz w:val="24"/>
          <w:szCs w:val="24"/>
        </w:rPr>
      </w:pPr>
    </w:p>
    <w:p w14:paraId="5B21F315" w14:textId="6A0F6A07" w:rsidR="00F17AB5" w:rsidRPr="00F17AB5" w:rsidRDefault="00F17AB5" w:rsidP="003E03ED">
      <w:pPr>
        <w:jc w:val="both"/>
        <w:rPr>
          <w:sz w:val="24"/>
          <w:szCs w:val="24"/>
        </w:rPr>
      </w:pPr>
      <w:r w:rsidRPr="00F17AB5">
        <w:rPr>
          <w:sz w:val="24"/>
          <w:szCs w:val="24"/>
        </w:rPr>
        <w:t xml:space="preserve">DECHOUM, M.S., Junqueira, A. O. R., Orsi, M.L. (Org.). Relatório Temático sobre Espécies Exóticas Invasoras, Biodiversidade e Serviços Ecossistêmicos. 1a Ed. São Carlos: </w:t>
      </w:r>
      <w:r w:rsidRPr="00F17AB5">
        <w:rPr>
          <w:b/>
          <w:sz w:val="24"/>
          <w:szCs w:val="24"/>
        </w:rPr>
        <w:t>Editora Cubo</w:t>
      </w:r>
      <w:r w:rsidRPr="00F17AB5">
        <w:rPr>
          <w:sz w:val="24"/>
          <w:szCs w:val="24"/>
        </w:rPr>
        <w:t>, 2024. https://doi.org/10.4322/978-65-00-87228-6</w:t>
      </w:r>
    </w:p>
    <w:p w14:paraId="3D9A5B74" w14:textId="77777777" w:rsidR="00F17AB5" w:rsidRPr="00F17AB5" w:rsidRDefault="00F17AB5" w:rsidP="003E03ED">
      <w:pPr>
        <w:jc w:val="both"/>
        <w:rPr>
          <w:sz w:val="24"/>
          <w:szCs w:val="24"/>
        </w:rPr>
      </w:pPr>
    </w:p>
    <w:p w14:paraId="0081CF24" w14:textId="3A152879" w:rsidR="00F17AB5" w:rsidRPr="00F17AB5" w:rsidRDefault="00F17AB5" w:rsidP="003E03ED">
      <w:pPr>
        <w:jc w:val="both"/>
        <w:rPr>
          <w:sz w:val="24"/>
          <w:szCs w:val="24"/>
        </w:rPr>
      </w:pPr>
      <w:r w:rsidRPr="00F17AB5">
        <w:rPr>
          <w:sz w:val="24"/>
          <w:szCs w:val="24"/>
        </w:rPr>
        <w:t xml:space="preserve">DRUMMOND, José Augusto; FRANCO, José Luiz de Andrade; OLIVEIRA, Daniela de. Uma análise sobre a história e a situação das unidades de conservação no Brasil. </w:t>
      </w:r>
      <w:r w:rsidRPr="00F17AB5">
        <w:rPr>
          <w:b/>
          <w:sz w:val="24"/>
          <w:szCs w:val="24"/>
        </w:rPr>
        <w:t>Conservação da biodiversidade: legislação e políticas públicas</w:t>
      </w:r>
      <w:r w:rsidRPr="00F17AB5">
        <w:rPr>
          <w:sz w:val="24"/>
          <w:szCs w:val="24"/>
        </w:rPr>
        <w:t>. Brasília, DF: Câmara dos Deputados, Edições Câmara, p. 341-385, 2010.</w:t>
      </w:r>
    </w:p>
    <w:p w14:paraId="4B348D14" w14:textId="77777777" w:rsidR="00F17AB5" w:rsidRPr="00F17AB5" w:rsidRDefault="00F17AB5" w:rsidP="003E03ED">
      <w:pPr>
        <w:jc w:val="both"/>
        <w:rPr>
          <w:sz w:val="24"/>
          <w:szCs w:val="24"/>
        </w:rPr>
      </w:pPr>
    </w:p>
    <w:p w14:paraId="54E7B112" w14:textId="13E7B8C3" w:rsidR="00F17AB5" w:rsidRPr="00F17AB5" w:rsidRDefault="00F17AB5" w:rsidP="003E03ED">
      <w:pPr>
        <w:jc w:val="both"/>
        <w:rPr>
          <w:sz w:val="24"/>
          <w:szCs w:val="24"/>
        </w:rPr>
      </w:pPr>
      <w:r w:rsidRPr="00F17AB5">
        <w:rPr>
          <w:sz w:val="24"/>
          <w:szCs w:val="24"/>
          <w:lang w:val="en-US"/>
        </w:rPr>
        <w:t xml:space="preserve">GREENSTEIN, Gus. Staff (mis) allocation in public agencies: evidence from protected area management in Brazil. </w:t>
      </w:r>
      <w:r w:rsidRPr="00F17AB5">
        <w:rPr>
          <w:b/>
          <w:sz w:val="24"/>
          <w:szCs w:val="24"/>
        </w:rPr>
        <w:t>Public Management Review</w:t>
      </w:r>
      <w:r w:rsidRPr="00F17AB5">
        <w:rPr>
          <w:sz w:val="24"/>
          <w:szCs w:val="24"/>
        </w:rPr>
        <w:t>, p. 1-27, 2025.</w:t>
      </w:r>
    </w:p>
    <w:p w14:paraId="045CB8B5" w14:textId="77777777" w:rsidR="00F17AB5" w:rsidRPr="00F17AB5" w:rsidRDefault="00F17AB5" w:rsidP="003E03ED">
      <w:pPr>
        <w:jc w:val="both"/>
        <w:rPr>
          <w:sz w:val="24"/>
          <w:szCs w:val="24"/>
        </w:rPr>
      </w:pPr>
    </w:p>
    <w:p w14:paraId="7C5C5DEF" w14:textId="0E2DF02B" w:rsidR="00B426AE" w:rsidRPr="00F17AB5" w:rsidRDefault="00B426AE" w:rsidP="003E03ED">
      <w:pPr>
        <w:jc w:val="both"/>
        <w:rPr>
          <w:sz w:val="24"/>
          <w:szCs w:val="24"/>
        </w:rPr>
      </w:pPr>
      <w:r w:rsidRPr="00F17AB5">
        <w:rPr>
          <w:sz w:val="24"/>
          <w:szCs w:val="24"/>
        </w:rPr>
        <w:t xml:space="preserve">HASSLER, Márcio Luís. A importância das Unidades de Conservação no Brasil. </w:t>
      </w:r>
      <w:r w:rsidRPr="00F17AB5">
        <w:rPr>
          <w:b/>
          <w:sz w:val="24"/>
          <w:szCs w:val="24"/>
        </w:rPr>
        <w:t>Sociedade &amp; Natureza</w:t>
      </w:r>
      <w:r w:rsidRPr="00F17AB5">
        <w:rPr>
          <w:sz w:val="24"/>
          <w:szCs w:val="24"/>
        </w:rPr>
        <w:t>, v. 17, n. 33, 2005.</w:t>
      </w:r>
    </w:p>
    <w:p w14:paraId="7515FF47" w14:textId="77777777" w:rsidR="00F17AB5" w:rsidRPr="00F17AB5" w:rsidRDefault="00F17AB5" w:rsidP="003E03ED">
      <w:pPr>
        <w:jc w:val="both"/>
        <w:rPr>
          <w:sz w:val="24"/>
          <w:szCs w:val="24"/>
        </w:rPr>
      </w:pPr>
    </w:p>
    <w:p w14:paraId="4B25B723" w14:textId="59E5A645" w:rsidR="00F17AB5" w:rsidRPr="00F17AB5" w:rsidRDefault="00F17AB5" w:rsidP="003E03ED">
      <w:pPr>
        <w:jc w:val="both"/>
        <w:rPr>
          <w:sz w:val="24"/>
          <w:szCs w:val="24"/>
        </w:rPr>
      </w:pPr>
      <w:r w:rsidRPr="00F17AB5">
        <w:rPr>
          <w:sz w:val="24"/>
          <w:szCs w:val="24"/>
        </w:rPr>
        <w:t xml:space="preserve">INSTITUTO CHICO MENDES DE CONSERVAÇÃO DA BIODIVERSIDADE (ICMBio). </w:t>
      </w:r>
      <w:r w:rsidRPr="00F17AB5">
        <w:rPr>
          <w:b/>
          <w:sz w:val="24"/>
          <w:szCs w:val="24"/>
        </w:rPr>
        <w:t>ICMBio em Números</w:t>
      </w:r>
      <w:r w:rsidRPr="00F17AB5">
        <w:rPr>
          <w:sz w:val="24"/>
          <w:szCs w:val="24"/>
        </w:rPr>
        <w:t>. Brasília, 2025. Disponível em: https://www.gov.br/icmbio/pt</w:t>
      </w:r>
      <w:r w:rsidR="003E03ED">
        <w:rPr>
          <w:sz w:val="24"/>
          <w:szCs w:val="24"/>
        </w:rPr>
        <w:t>-</w:t>
      </w:r>
      <w:r w:rsidRPr="00F17AB5">
        <w:rPr>
          <w:sz w:val="24"/>
          <w:szCs w:val="24"/>
        </w:rPr>
        <w:t>br/centrais-de-conteudo/paineis-dinamicos-do-icmbio.</w:t>
      </w:r>
    </w:p>
    <w:p w14:paraId="03C86B92" w14:textId="77777777" w:rsidR="00F17AB5" w:rsidRPr="00F17AB5" w:rsidRDefault="00F17AB5" w:rsidP="003E03ED">
      <w:pPr>
        <w:jc w:val="both"/>
        <w:rPr>
          <w:sz w:val="24"/>
          <w:szCs w:val="24"/>
        </w:rPr>
      </w:pPr>
    </w:p>
    <w:p w14:paraId="762F4982" w14:textId="50F774E7" w:rsidR="00F17AB5" w:rsidRPr="00F17AB5" w:rsidRDefault="00F17AB5" w:rsidP="003E03ED">
      <w:pPr>
        <w:jc w:val="both"/>
        <w:rPr>
          <w:sz w:val="24"/>
          <w:szCs w:val="24"/>
        </w:rPr>
      </w:pPr>
      <w:r w:rsidRPr="00F17AB5">
        <w:rPr>
          <w:sz w:val="24"/>
          <w:szCs w:val="24"/>
        </w:rPr>
        <w:t xml:space="preserve">MACHADO, M.; CLAUZET, M.; YOUNG, C. E. A sustentabilidade financeira das unidades de conservação no Brasil: um olhar sobre o orçamento do Instituto Chico Mendes de Conservação da Biodiversidade. In: </w:t>
      </w:r>
      <w:r w:rsidRPr="00F17AB5">
        <w:rPr>
          <w:b/>
          <w:sz w:val="24"/>
          <w:szCs w:val="24"/>
        </w:rPr>
        <w:t>GT 5 - Sustentabilidade, território e mudança institucional</w:t>
      </w:r>
      <w:r w:rsidRPr="00F17AB5">
        <w:rPr>
          <w:sz w:val="24"/>
          <w:szCs w:val="24"/>
        </w:rPr>
        <w:t>. Universidade Federal do Rio de Janeiro, 2018. Disponível em: https://www.researchgate.net/publication/339401468_A_sustentabilidade_financeira_das_un</w:t>
      </w:r>
      <w:r w:rsidR="003E03ED">
        <w:rPr>
          <w:sz w:val="24"/>
          <w:szCs w:val="24"/>
        </w:rPr>
        <w:t>i</w:t>
      </w:r>
      <w:r w:rsidRPr="00F17AB5">
        <w:rPr>
          <w:sz w:val="24"/>
          <w:szCs w:val="24"/>
        </w:rPr>
        <w:t>dades_de_conservacao_no_Brasil_um_olhar_sobre_o_orcamento_do_Instituto_Chico_Mend</w:t>
      </w:r>
      <w:r w:rsidR="003E03ED">
        <w:rPr>
          <w:sz w:val="24"/>
          <w:szCs w:val="24"/>
        </w:rPr>
        <w:t>e</w:t>
      </w:r>
      <w:r w:rsidRPr="00F17AB5">
        <w:rPr>
          <w:sz w:val="24"/>
          <w:szCs w:val="24"/>
        </w:rPr>
        <w:t>s_de_Conservacao_da_Biodiversidade.</w:t>
      </w:r>
    </w:p>
    <w:p w14:paraId="7381CA15" w14:textId="77777777" w:rsidR="00F17AB5" w:rsidRPr="00F17AB5" w:rsidRDefault="00F17AB5" w:rsidP="003E03ED">
      <w:pPr>
        <w:jc w:val="both"/>
        <w:rPr>
          <w:sz w:val="24"/>
          <w:szCs w:val="24"/>
        </w:rPr>
      </w:pPr>
    </w:p>
    <w:p w14:paraId="6B13CFDC" w14:textId="1F6CB61E" w:rsidR="00B426AE" w:rsidRPr="00F17AB5" w:rsidRDefault="00B426AE" w:rsidP="003E03ED">
      <w:pPr>
        <w:jc w:val="both"/>
        <w:rPr>
          <w:sz w:val="24"/>
          <w:szCs w:val="24"/>
        </w:rPr>
      </w:pPr>
      <w:r w:rsidRPr="00F17AB5">
        <w:rPr>
          <w:sz w:val="24"/>
          <w:szCs w:val="24"/>
        </w:rPr>
        <w:t xml:space="preserve">MEDEIROS, Rodrigo; YOUNG, Carlos Eduardo Frickmann. Contribuição das unidades de conservação brasileiras para a economia nacional: Relatório Final. </w:t>
      </w:r>
      <w:r w:rsidRPr="00F17AB5">
        <w:rPr>
          <w:b/>
          <w:sz w:val="24"/>
          <w:szCs w:val="24"/>
        </w:rPr>
        <w:t>Rio de Janeiro: Centro para Monitoramento da Conservação Mundial do Programa das Nações Unidas para o Meio Ambiente</w:t>
      </w:r>
      <w:r w:rsidRPr="00F17AB5">
        <w:rPr>
          <w:sz w:val="24"/>
          <w:szCs w:val="24"/>
        </w:rPr>
        <w:t>, 2011.</w:t>
      </w:r>
    </w:p>
    <w:p w14:paraId="53AF54DA" w14:textId="77777777" w:rsidR="00243512" w:rsidRPr="00F17AB5" w:rsidRDefault="00243512" w:rsidP="003E03ED">
      <w:pPr>
        <w:pStyle w:val="Corpodetexto"/>
        <w:jc w:val="both"/>
        <w:rPr>
          <w:sz w:val="24"/>
          <w:szCs w:val="24"/>
        </w:rPr>
      </w:pPr>
    </w:p>
    <w:p w14:paraId="6C638620" w14:textId="77777777" w:rsidR="00F17AB5" w:rsidRPr="00F17AB5" w:rsidRDefault="00F17AB5" w:rsidP="003E03ED">
      <w:pPr>
        <w:jc w:val="both"/>
        <w:rPr>
          <w:sz w:val="24"/>
          <w:szCs w:val="24"/>
          <w:lang w:val="en-US"/>
        </w:rPr>
      </w:pPr>
      <w:r w:rsidRPr="00F17AB5">
        <w:rPr>
          <w:sz w:val="24"/>
          <w:szCs w:val="24"/>
          <w:lang w:val="en-US"/>
        </w:rPr>
        <w:t xml:space="preserve">MESACASA, Letícia </w:t>
      </w:r>
      <w:r w:rsidRPr="00F17AB5">
        <w:rPr>
          <w:i/>
          <w:sz w:val="24"/>
          <w:szCs w:val="24"/>
          <w:lang w:val="en-US"/>
        </w:rPr>
        <w:t>et al.</w:t>
      </w:r>
      <w:r w:rsidRPr="00F17AB5">
        <w:rPr>
          <w:sz w:val="24"/>
          <w:szCs w:val="24"/>
          <w:lang w:val="en-US"/>
        </w:rPr>
        <w:t xml:space="preserve"> Effects of time since invasion and control actions on a coastal ecosystem invaded by non-native pine trees. </w:t>
      </w:r>
      <w:r w:rsidRPr="00F17AB5">
        <w:rPr>
          <w:b/>
          <w:sz w:val="24"/>
          <w:szCs w:val="24"/>
          <w:lang w:val="en-US"/>
        </w:rPr>
        <w:t>Ecological Solutions and Evidence</w:t>
      </w:r>
      <w:r w:rsidRPr="00F17AB5">
        <w:rPr>
          <w:sz w:val="24"/>
          <w:szCs w:val="24"/>
          <w:lang w:val="en-US"/>
        </w:rPr>
        <w:t>, 2022. v. 3, n. 1, p. 1–11.</w:t>
      </w:r>
    </w:p>
    <w:p w14:paraId="0938DC8B" w14:textId="77777777" w:rsidR="00F17AB5" w:rsidRPr="00F17AB5" w:rsidRDefault="00F17AB5" w:rsidP="003E03ED">
      <w:pPr>
        <w:jc w:val="both"/>
        <w:rPr>
          <w:sz w:val="24"/>
          <w:szCs w:val="24"/>
          <w:lang w:val="en-US"/>
        </w:rPr>
      </w:pPr>
    </w:p>
    <w:p w14:paraId="755FC028" w14:textId="77777777" w:rsidR="00F17AB5" w:rsidRPr="00F17AB5" w:rsidRDefault="00F17AB5" w:rsidP="003E03ED">
      <w:pPr>
        <w:jc w:val="both"/>
        <w:rPr>
          <w:sz w:val="24"/>
          <w:szCs w:val="24"/>
        </w:rPr>
      </w:pPr>
      <w:r w:rsidRPr="00F17AB5">
        <w:rPr>
          <w:sz w:val="24"/>
          <w:szCs w:val="24"/>
        </w:rPr>
        <w:t xml:space="preserve">OLIVEIRA FILHO, Ananias Queiroga de. MILITARIZAÇÃO DO ESTADO NO GOVERNO BOLSONARO. </w:t>
      </w:r>
      <w:r w:rsidRPr="00F17AB5">
        <w:rPr>
          <w:b/>
          <w:sz w:val="24"/>
          <w:szCs w:val="24"/>
        </w:rPr>
        <w:t>Enabed</w:t>
      </w:r>
      <w:r w:rsidRPr="00F17AB5">
        <w:rPr>
          <w:sz w:val="24"/>
          <w:szCs w:val="24"/>
        </w:rPr>
        <w:t>, 2024.</w:t>
      </w:r>
    </w:p>
    <w:p w14:paraId="4239E019" w14:textId="77777777" w:rsidR="00F17AB5" w:rsidRPr="00F17AB5" w:rsidRDefault="00F17AB5" w:rsidP="003E03ED">
      <w:pPr>
        <w:jc w:val="both"/>
        <w:rPr>
          <w:sz w:val="24"/>
          <w:szCs w:val="24"/>
          <w:lang w:val="en-US"/>
        </w:rPr>
      </w:pPr>
    </w:p>
    <w:p w14:paraId="755BB271" w14:textId="28EA5E8C" w:rsidR="00F17AB5" w:rsidRPr="00F17AB5" w:rsidRDefault="00F17AB5" w:rsidP="003E03ED">
      <w:pPr>
        <w:jc w:val="both"/>
        <w:rPr>
          <w:sz w:val="24"/>
          <w:szCs w:val="24"/>
        </w:rPr>
      </w:pPr>
      <w:r w:rsidRPr="00F17AB5">
        <w:rPr>
          <w:sz w:val="24"/>
          <w:szCs w:val="24"/>
          <w:lang w:val="en-US"/>
        </w:rPr>
        <w:t xml:space="preserve">PEREIRA, Ana Karine </w:t>
      </w:r>
      <w:r w:rsidRPr="00F17AB5">
        <w:rPr>
          <w:i/>
          <w:sz w:val="24"/>
          <w:szCs w:val="24"/>
          <w:lang w:val="en-US"/>
        </w:rPr>
        <w:t>et al</w:t>
      </w:r>
      <w:r w:rsidRPr="00F17AB5">
        <w:rPr>
          <w:sz w:val="24"/>
          <w:szCs w:val="24"/>
          <w:lang w:val="en-US"/>
        </w:rPr>
        <w:t xml:space="preserve">. Populism and the Dismantling of Brazil's Deforestation Oversight Policy. </w:t>
      </w:r>
      <w:r w:rsidRPr="00F17AB5">
        <w:rPr>
          <w:b/>
          <w:sz w:val="24"/>
          <w:szCs w:val="24"/>
        </w:rPr>
        <w:t>Brazilian Political Science Review</w:t>
      </w:r>
      <w:r w:rsidRPr="00F17AB5">
        <w:rPr>
          <w:sz w:val="24"/>
          <w:szCs w:val="24"/>
        </w:rPr>
        <w:t>, v. 18, n. 1, p. e0006, 2024.</w:t>
      </w:r>
    </w:p>
    <w:p w14:paraId="783A7321" w14:textId="77777777" w:rsidR="00F17AB5" w:rsidRPr="00F17AB5" w:rsidRDefault="00F17AB5" w:rsidP="003E03ED">
      <w:pPr>
        <w:jc w:val="both"/>
        <w:rPr>
          <w:sz w:val="24"/>
          <w:szCs w:val="24"/>
          <w:lang w:val="en-US"/>
        </w:rPr>
      </w:pPr>
    </w:p>
    <w:p w14:paraId="41CBC136" w14:textId="40C00B9C" w:rsidR="006031DD" w:rsidRPr="00F17AB5" w:rsidRDefault="00F17AB5" w:rsidP="003E03ED">
      <w:pPr>
        <w:jc w:val="both"/>
        <w:rPr>
          <w:sz w:val="24"/>
          <w:szCs w:val="24"/>
          <w:lang w:val="en-US"/>
        </w:rPr>
      </w:pPr>
      <w:r w:rsidRPr="00F17AB5">
        <w:rPr>
          <w:sz w:val="24"/>
          <w:szCs w:val="24"/>
        </w:rPr>
        <w:t xml:space="preserve">WITT, Patrícia Bernardes Rodrigues </w:t>
      </w:r>
      <w:r w:rsidRPr="00F17AB5">
        <w:rPr>
          <w:i/>
          <w:sz w:val="24"/>
          <w:szCs w:val="24"/>
        </w:rPr>
        <w:t>et al</w:t>
      </w:r>
      <w:r w:rsidRPr="00F17AB5">
        <w:rPr>
          <w:sz w:val="24"/>
          <w:szCs w:val="24"/>
        </w:rPr>
        <w:t xml:space="preserve">. </w:t>
      </w:r>
      <w:r w:rsidRPr="00F17AB5">
        <w:rPr>
          <w:sz w:val="24"/>
          <w:szCs w:val="24"/>
          <w:lang w:val="en-US"/>
        </w:rPr>
        <w:t xml:space="preserve">Management effectiveness of nature conservation </w:t>
      </w:r>
      <w:r w:rsidRPr="00F17AB5">
        <w:rPr>
          <w:sz w:val="24"/>
          <w:szCs w:val="24"/>
          <w:lang w:val="en-US"/>
        </w:rPr>
        <w:lastRenderedPageBreak/>
        <w:t xml:space="preserve">units in southern Brazil. </w:t>
      </w:r>
      <w:r w:rsidRPr="00F17AB5">
        <w:rPr>
          <w:b/>
          <w:sz w:val="24"/>
          <w:szCs w:val="24"/>
          <w:lang w:val="en-US"/>
        </w:rPr>
        <w:t>Neotropical Biology and Conservation</w:t>
      </w:r>
      <w:r w:rsidRPr="00F17AB5">
        <w:rPr>
          <w:sz w:val="24"/>
          <w:szCs w:val="24"/>
          <w:lang w:val="en-US"/>
        </w:rPr>
        <w:t>, v. 18, n. 3, p. 209-230, 2023.</w:t>
      </w:r>
    </w:p>
    <w:sectPr w:rsidR="006031DD" w:rsidRPr="00F17AB5" w:rsidSect="008913F4">
      <w:headerReference w:type="default" r:id="rId10"/>
      <w:footerReference w:type="default" r:id="rId11"/>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13D2F" w14:textId="77777777" w:rsidR="0041640B" w:rsidRDefault="0041640B">
      <w:r>
        <w:separator/>
      </w:r>
    </w:p>
  </w:endnote>
  <w:endnote w:type="continuationSeparator" w:id="0">
    <w:p w14:paraId="7D42AD52" w14:textId="77777777" w:rsidR="0041640B" w:rsidRDefault="004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8CCAC" w14:textId="77777777" w:rsidR="0041640B" w:rsidRDefault="0041640B">
      <w:r>
        <w:separator/>
      </w:r>
    </w:p>
  </w:footnote>
  <w:footnote w:type="continuationSeparator" w:id="0">
    <w:p w14:paraId="56DF2631" w14:textId="77777777" w:rsidR="0041640B" w:rsidRDefault="00416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35E2" w14:textId="6B9B4E0D"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01FEADD">
          <wp:simplePos x="0" y="0"/>
          <wp:positionH relativeFrom="page">
            <wp:posOffset>6350</wp:posOffset>
          </wp:positionH>
          <wp:positionV relativeFrom="page">
            <wp:posOffset>0</wp:posOffset>
          </wp:positionV>
          <wp:extent cx="7556500" cy="1060450"/>
          <wp:effectExtent l="0" t="0" r="6350" b="635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7072" cy="1060530"/>
                  </a:xfrm>
                  <a:prstGeom prst="rect">
                    <a:avLst/>
                  </a:prstGeom>
                </pic:spPr>
              </pic:pic>
            </a:graphicData>
          </a:graphic>
          <wp14:sizeRelH relativeFrom="margin">
            <wp14:pctWidth>0</wp14:pctWidth>
          </wp14:sizeRelH>
          <wp14:sizeRelV relativeFrom="margin">
            <wp14:pctHeight>0</wp14:pctHeight>
          </wp14:sizeRelV>
        </wp:anchor>
      </w:drawing>
    </w:r>
    <w:r w:rsidR="00C44CDC">
      <w:rPr>
        <w:noProof/>
        <w:sz w:val="24"/>
        <w:szCs w:val="24"/>
        <w:lang w:val="pt-BR" w:eastAsia="pt-BR"/>
      </w:rPr>
      <w:drawing>
        <wp:inline distT="0" distB="0" distL="0" distR="0" wp14:anchorId="35FB35BF" wp14:editId="5F2A0F56">
          <wp:extent cx="5753100" cy="996950"/>
          <wp:effectExtent l="0" t="0" r="0" b="0"/>
          <wp:docPr id="586980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996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2059817059">
    <w:abstractNumId w:val="0"/>
  </w:num>
  <w:num w:numId="2" w16cid:durableId="949705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449F4"/>
    <w:rsid w:val="000815CB"/>
    <w:rsid w:val="00105D6B"/>
    <w:rsid w:val="00157AC0"/>
    <w:rsid w:val="001C5BCC"/>
    <w:rsid w:val="00243512"/>
    <w:rsid w:val="002B3076"/>
    <w:rsid w:val="002D28EC"/>
    <w:rsid w:val="0036697E"/>
    <w:rsid w:val="003E03ED"/>
    <w:rsid w:val="0041640B"/>
    <w:rsid w:val="0047103C"/>
    <w:rsid w:val="005259CE"/>
    <w:rsid w:val="005F70B0"/>
    <w:rsid w:val="006031DD"/>
    <w:rsid w:val="00624629"/>
    <w:rsid w:val="00694319"/>
    <w:rsid w:val="0072498A"/>
    <w:rsid w:val="007561D8"/>
    <w:rsid w:val="008858BD"/>
    <w:rsid w:val="008913F4"/>
    <w:rsid w:val="00936710"/>
    <w:rsid w:val="009C4B75"/>
    <w:rsid w:val="00A11F3C"/>
    <w:rsid w:val="00A33E6F"/>
    <w:rsid w:val="00AD22F1"/>
    <w:rsid w:val="00AF5124"/>
    <w:rsid w:val="00B05A92"/>
    <w:rsid w:val="00B426AE"/>
    <w:rsid w:val="00B67010"/>
    <w:rsid w:val="00B76016"/>
    <w:rsid w:val="00BA33D7"/>
    <w:rsid w:val="00BB3E56"/>
    <w:rsid w:val="00C44CDC"/>
    <w:rsid w:val="00C538C1"/>
    <w:rsid w:val="00C60F3C"/>
    <w:rsid w:val="00C66DE4"/>
    <w:rsid w:val="00CA497F"/>
    <w:rsid w:val="00CB7608"/>
    <w:rsid w:val="00CE4FF1"/>
    <w:rsid w:val="00D4522D"/>
    <w:rsid w:val="00DD37B6"/>
    <w:rsid w:val="00E016CB"/>
    <w:rsid w:val="00E3782C"/>
    <w:rsid w:val="00EA25BE"/>
    <w:rsid w:val="00F135CC"/>
    <w:rsid w:val="00F17A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AB5"/>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table" w:styleId="SimplesTabela2">
    <w:name w:val="Plain Table 2"/>
    <w:basedOn w:val="Tabelanormal"/>
    <w:uiPriority w:val="42"/>
    <w:rsid w:val="00B7601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SimplesTabela3">
    <w:name w:val="Plain Table 3"/>
    <w:basedOn w:val="Tabelanormal"/>
    <w:uiPriority w:val="43"/>
    <w:rsid w:val="00B7601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mples4">
    <w:name w:val="Plain Table 4"/>
    <w:basedOn w:val="Tabelanormal"/>
    <w:uiPriority w:val="44"/>
    <w:rsid w:val="00B7601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imples5">
    <w:name w:val="Plain Table 5"/>
    <w:basedOn w:val="Tabelanormal"/>
    <w:uiPriority w:val="45"/>
    <w:rsid w:val="00B7601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Lista2">
    <w:name w:val="List Table 2"/>
    <w:basedOn w:val="Tabelanormal"/>
    <w:uiPriority w:val="47"/>
    <w:rsid w:val="00B7601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orpodetextoChar">
    <w:name w:val="Corpo de texto Char"/>
    <w:basedOn w:val="Fontepargpadro"/>
    <w:link w:val="Corpodetexto"/>
    <w:uiPriority w:val="1"/>
    <w:rsid w:val="00BA33D7"/>
    <w:rPr>
      <w:rFonts w:ascii="Times New Roman" w:eastAsia="Times New Roman" w:hAnsi="Times New Roman" w:cs="Times New Roman"/>
      <w:sz w:val="20"/>
      <w:szCs w:val="2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0492D-DEAB-4123-8448-6334FB939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7</Pages>
  <Words>2119</Words>
  <Characters>11446</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laura couto</cp:lastModifiedBy>
  <cp:revision>7</cp:revision>
  <dcterms:created xsi:type="dcterms:W3CDTF">2026-06-28T19:30:00Z</dcterms:created>
  <dcterms:modified xsi:type="dcterms:W3CDTF">2026-06-28T20:45:00Z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