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C52189E" w14:textId="1C96ACA0" w:rsidR="00F917E5" w:rsidRDefault="00F917E5" w:rsidP="00F917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IMPORTÃNCIA DA PADRONIZAÇÃO DOS PROTOCOLOS DE HEMOTRANSFUSÃO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7D05708A" w:rsidR="006853BB" w:rsidRPr="006853BB" w:rsidRDefault="00F917E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Camilo Hugo Freitas de Andrade</w:t>
      </w:r>
    </w:p>
    <w:p w14:paraId="2574A6CE" w14:textId="77777777" w:rsidR="00F917E5" w:rsidRDefault="00F917E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E00453"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</w:t>
      </w:r>
    </w:p>
    <w:p w14:paraId="103DA53F" w14:textId="6B296230" w:rsidR="006853BB" w:rsidRPr="006853BB" w:rsidRDefault="00F917E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Pr="00861D39">
          <w:rPr>
            <w:rStyle w:val="Hyperlink"/>
            <w:rFonts w:ascii="Arial" w:eastAsia="Times New Roman" w:hAnsi="Arial" w:cs="Arial"/>
            <w:sz w:val="24"/>
            <w:szCs w:val="24"/>
          </w:rPr>
          <w:t>enfcamilohugo@gmail.com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F2D990" w14:textId="382AA308" w:rsidR="00F917E5" w:rsidRPr="00F917E5" w:rsidRDefault="00F917E5" w:rsidP="00F917E5">
      <w:pPr>
        <w:spacing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F917E5">
        <w:rPr>
          <w:rFonts w:ascii="Arial" w:hAnsi="Arial" w:cs="Arial"/>
          <w:b/>
          <w:bCs/>
          <w:sz w:val="24"/>
          <w:szCs w:val="24"/>
        </w:rPr>
        <w:t>Francisco Mayron Morais Soares</w:t>
      </w:r>
    </w:p>
    <w:p w14:paraId="01CDB037" w14:textId="77777777" w:rsidR="00F917E5" w:rsidRDefault="00F917E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CB1986C">
        <w:rPr>
          <w:rFonts w:ascii="Arial" w:hAnsi="Arial" w:cs="Arial"/>
          <w:sz w:val="24"/>
          <w:szCs w:val="24"/>
        </w:rPr>
        <w:t>Enfermeiro. Mestre em Enfermagem. Orientador do</w:t>
      </w:r>
      <w:r>
        <w:rPr>
          <w:rFonts w:ascii="Arial" w:hAnsi="Arial" w:cs="Arial"/>
          <w:sz w:val="24"/>
          <w:szCs w:val="24"/>
        </w:rPr>
        <w:t xml:space="preserve"> Grupo de Estudos em </w:t>
      </w:r>
      <w:r w:rsidRPr="0CB1986C">
        <w:rPr>
          <w:rFonts w:ascii="Arial" w:hAnsi="Arial" w:cs="Arial"/>
          <w:sz w:val="24"/>
          <w:szCs w:val="24"/>
        </w:rPr>
        <w:t>Práticas Avançadas e Tecnologias em Enfermagem (GEPATE)</w:t>
      </w:r>
    </w:p>
    <w:p w14:paraId="21A60CDA" w14:textId="79BBD2CA" w:rsidR="006853BB" w:rsidRPr="006853BB" w:rsidRDefault="00F917E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9B719A7" w14:textId="50359987" w:rsidR="00F917E5" w:rsidRDefault="00F917E5" w:rsidP="00F917E5">
      <w:pPr>
        <w:jc w:val="both"/>
        <w:rPr>
          <w:rFonts w:ascii="Arial" w:hAnsi="Arial" w:cs="Arial"/>
          <w:sz w:val="24"/>
          <w:szCs w:val="24"/>
        </w:rPr>
      </w:pPr>
      <w:r w:rsidRPr="00592D78">
        <w:rPr>
          <w:rFonts w:ascii="Arial" w:hAnsi="Arial" w:cs="Arial"/>
          <w:b/>
          <w:bCs/>
          <w:sz w:val="24"/>
          <w:szCs w:val="24"/>
        </w:rPr>
        <w:t>Introdução:</w:t>
      </w:r>
      <w:r w:rsidRPr="00592D78">
        <w:rPr>
          <w:rFonts w:ascii="Arial" w:hAnsi="Arial" w:cs="Arial"/>
          <w:sz w:val="24"/>
          <w:szCs w:val="24"/>
        </w:rPr>
        <w:t xml:space="preserve">  A utilização de hemocomponentes é uma prática utilizada há muito tempo no tratamento de diversas doenças, o que requer grande atenção no manuseio do material infundido. Diante da importância desse procedimento para a saúde do paciente é necessário seguir protocolos</w:t>
      </w:r>
      <w:r>
        <w:rPr>
          <w:rFonts w:ascii="Arial" w:hAnsi="Arial" w:cs="Arial"/>
          <w:sz w:val="24"/>
          <w:szCs w:val="24"/>
        </w:rPr>
        <w:t xml:space="preserve"> e</w:t>
      </w:r>
      <w:r w:rsidRPr="00592D78">
        <w:rPr>
          <w:rFonts w:ascii="Arial" w:hAnsi="Arial" w:cs="Arial"/>
          <w:sz w:val="24"/>
          <w:szCs w:val="24"/>
        </w:rPr>
        <w:t xml:space="preserve"> ter conhecimento sobre os riscos de reações imediatas ou tardias. </w:t>
      </w:r>
      <w:r w:rsidRPr="00592D78">
        <w:rPr>
          <w:rFonts w:ascii="Arial" w:hAnsi="Arial" w:cs="Arial"/>
          <w:b/>
          <w:bCs/>
          <w:sz w:val="24"/>
          <w:szCs w:val="24"/>
        </w:rPr>
        <w:t>Objetivo:</w:t>
      </w:r>
      <w:r w:rsidRPr="00592D78">
        <w:rPr>
          <w:rFonts w:ascii="Arial" w:hAnsi="Arial" w:cs="Arial"/>
          <w:sz w:val="24"/>
          <w:szCs w:val="24"/>
        </w:rPr>
        <w:t xml:space="preserve"> Identificar na literatura instrumentos de padronização da administração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592D78">
        <w:rPr>
          <w:rFonts w:ascii="Arial" w:hAnsi="Arial" w:cs="Arial"/>
          <w:sz w:val="24"/>
          <w:szCs w:val="24"/>
        </w:rPr>
        <w:t xml:space="preserve">hemocomponentes. </w:t>
      </w:r>
      <w:r w:rsidRPr="00182983"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Arial" w:hAnsi="Arial" w:cs="Arial"/>
          <w:b/>
          <w:bCs/>
          <w:sz w:val="24"/>
          <w:szCs w:val="24"/>
        </w:rPr>
        <w:t>ódo</w:t>
      </w:r>
      <w:r w:rsidRPr="00182983">
        <w:rPr>
          <w:rFonts w:ascii="Arial" w:hAnsi="Arial" w:cs="Arial"/>
          <w:b/>
          <w:bCs/>
          <w:sz w:val="24"/>
          <w:szCs w:val="24"/>
        </w:rPr>
        <w:t>:</w:t>
      </w:r>
      <w:r w:rsidRPr="00592D78">
        <w:rPr>
          <w:rFonts w:ascii="Arial" w:hAnsi="Arial" w:cs="Arial"/>
          <w:sz w:val="24"/>
          <w:szCs w:val="24"/>
        </w:rPr>
        <w:t xml:space="preserve"> Trata-se de um estudo de revisão narrativa de literatura, relacionado a enfermagem e os cuidados na transfusão de hemocomponentes, no período de 2014 a 2021 no idioma português. Em relação aos critérios de exclusão: estudos que não respondiam ao objeto de estudo.</w:t>
      </w:r>
      <w:r>
        <w:rPr>
          <w:rFonts w:ascii="Arial" w:hAnsi="Arial" w:cs="Arial"/>
          <w:sz w:val="24"/>
          <w:szCs w:val="24"/>
        </w:rPr>
        <w:t xml:space="preserve"> </w:t>
      </w:r>
      <w:r w:rsidRPr="00592D78">
        <w:rPr>
          <w:rFonts w:ascii="Arial" w:hAnsi="Arial" w:cs="Arial"/>
          <w:sz w:val="24"/>
          <w:szCs w:val="24"/>
        </w:rPr>
        <w:t>Inicialmente foi realizado a busca de estudos em base nacional, após isso ocorreu a seleção e leitura, em seguida aconteceu a escolhas dos principais tópicos encontrados sobre o tema proposto.</w:t>
      </w:r>
      <w:r>
        <w:rPr>
          <w:rFonts w:ascii="Arial" w:hAnsi="Arial" w:cs="Arial"/>
          <w:sz w:val="24"/>
          <w:szCs w:val="24"/>
        </w:rPr>
        <w:t xml:space="preserve"> </w:t>
      </w:r>
      <w:r w:rsidRPr="00592D78">
        <w:rPr>
          <w:rFonts w:ascii="Arial" w:hAnsi="Arial" w:cs="Arial"/>
          <w:b/>
          <w:bCs/>
          <w:sz w:val="24"/>
          <w:szCs w:val="24"/>
        </w:rPr>
        <w:t>Resultados:</w:t>
      </w:r>
      <w:r w:rsidRPr="00592D78">
        <w:rPr>
          <w:rFonts w:ascii="Arial" w:hAnsi="Arial" w:cs="Arial"/>
          <w:sz w:val="24"/>
          <w:szCs w:val="24"/>
        </w:rPr>
        <w:t xml:space="preserve"> Com a incorporação da prática baseadas em evidências, as instituições de saúde vêm adotando o gerenciamento da qualidade utilizando modelos de gestão eficientes, que otimizam os recursos aplicados, contribuindo para a melhoria da produtividade e satisfação tanto para quem utiliza quanto para os profissionais que prestam os serviços de saúde na hemoterapia. Mesmo com isso, observou-se que embora existam instrumentos sistematizados de realização de hemotransfus</w:t>
      </w:r>
      <w:r>
        <w:rPr>
          <w:rFonts w:ascii="Arial" w:hAnsi="Arial" w:cs="Arial"/>
          <w:sz w:val="24"/>
          <w:szCs w:val="24"/>
        </w:rPr>
        <w:t>ã</w:t>
      </w:r>
      <w:r w:rsidRPr="00592D78">
        <w:rPr>
          <w:rFonts w:ascii="Arial" w:hAnsi="Arial" w:cs="Arial"/>
          <w:sz w:val="24"/>
          <w:szCs w:val="24"/>
        </w:rPr>
        <w:t xml:space="preserve">o, não existe um instrumento padronizado em relação a hemotransfusão e suas possíveis reações, ou seja, os profissionais muitas vezes executam os procedimentos de forma sistemática, mas não universalmente padronizadas, o que ocasiona </w:t>
      </w:r>
      <w:r w:rsidR="00331800">
        <w:rPr>
          <w:rFonts w:ascii="Arial" w:hAnsi="Arial" w:cs="Arial"/>
          <w:sz w:val="24"/>
          <w:szCs w:val="24"/>
        </w:rPr>
        <w:t>uma</w:t>
      </w:r>
      <w:r w:rsidRPr="00592D78">
        <w:rPr>
          <w:rFonts w:ascii="Arial" w:hAnsi="Arial" w:cs="Arial"/>
          <w:sz w:val="24"/>
          <w:szCs w:val="24"/>
        </w:rPr>
        <w:t xml:space="preserve"> possível dificuldade ao diferenciar as reações leves e graves, assim como imediatas e mediatas. </w:t>
      </w:r>
      <w:r w:rsidRPr="00592D78">
        <w:rPr>
          <w:rFonts w:ascii="Arial" w:hAnsi="Arial" w:cs="Arial"/>
          <w:sz w:val="24"/>
          <w:szCs w:val="24"/>
        </w:rPr>
        <w:lastRenderedPageBreak/>
        <w:t xml:space="preserve">Ademais a falta de padronização de instrumentos que guiem a administração de hemocomponentes aumenta os riscos de iatrogenias. </w:t>
      </w:r>
      <w:r w:rsidRPr="00592D78">
        <w:rPr>
          <w:rFonts w:ascii="Arial" w:hAnsi="Arial" w:cs="Arial"/>
          <w:b/>
          <w:bCs/>
          <w:sz w:val="24"/>
          <w:szCs w:val="24"/>
        </w:rPr>
        <w:t>Conclusão:</w:t>
      </w:r>
      <w:r w:rsidRPr="00592D78">
        <w:rPr>
          <w:rFonts w:ascii="Arial" w:hAnsi="Arial" w:cs="Arial"/>
          <w:sz w:val="24"/>
          <w:szCs w:val="24"/>
        </w:rPr>
        <w:t xml:space="preserve"> Com a realização de análise dos artigos selecionados foi possível observar que em diferentes locais do Brasil se segue</w:t>
      </w:r>
      <w:r w:rsidR="0009434F">
        <w:rPr>
          <w:rFonts w:ascii="Arial" w:hAnsi="Arial" w:cs="Arial"/>
          <w:sz w:val="24"/>
          <w:szCs w:val="24"/>
        </w:rPr>
        <w:t>m protocolos diferentes</w:t>
      </w:r>
      <w:r w:rsidRPr="00592D78">
        <w:rPr>
          <w:rFonts w:ascii="Arial" w:hAnsi="Arial" w:cs="Arial"/>
          <w:sz w:val="24"/>
          <w:szCs w:val="24"/>
        </w:rPr>
        <w:t>, em muitos os cuidados são os mesmos, mas não tem um padrão fixo</w:t>
      </w:r>
      <w:r>
        <w:rPr>
          <w:rFonts w:ascii="Arial" w:hAnsi="Arial" w:cs="Arial"/>
          <w:sz w:val="24"/>
          <w:szCs w:val="24"/>
        </w:rPr>
        <w:t>.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00C2F0A7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0D2995">
        <w:rPr>
          <w:rFonts w:ascii="Arial" w:eastAsia="Times New Roman" w:hAnsi="Arial" w:cs="Arial"/>
          <w:color w:val="000000"/>
          <w:sz w:val="24"/>
          <w:szCs w:val="24"/>
        </w:rPr>
        <w:t xml:space="preserve"> Transfusão de Sangue; Sangue; Cuidados de Enfermagem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8374066" w14:textId="77777777" w:rsidR="002061EE" w:rsidRPr="009645FE" w:rsidRDefault="002061EE" w:rsidP="002061E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45FE">
        <w:rPr>
          <w:rFonts w:ascii="Arial" w:hAnsi="Arial" w:cs="Arial"/>
          <w:color w:val="222222"/>
          <w:sz w:val="24"/>
          <w:szCs w:val="24"/>
          <w:shd w:val="clear" w:color="auto" w:fill="FFFFFF"/>
        </w:rPr>
        <w:t>BRASIL, Vigitel. Saúde Suplementar: vigilância de fatores de risco e proteção para doenças crônicas por inquérito Telefônico. </w:t>
      </w:r>
      <w:r w:rsidRPr="009645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Ministério da Saúde: Brasília</w:t>
      </w:r>
      <w:r w:rsidRPr="009645FE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2015.</w:t>
      </w:r>
    </w:p>
    <w:p w14:paraId="6AAE60F1" w14:textId="77777777" w:rsidR="002061EE" w:rsidRPr="009645FE" w:rsidRDefault="002061EE" w:rsidP="002061E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45FE">
        <w:rPr>
          <w:rFonts w:ascii="Arial" w:hAnsi="Arial" w:cs="Arial"/>
          <w:color w:val="222222"/>
          <w:sz w:val="24"/>
          <w:szCs w:val="24"/>
          <w:shd w:val="clear" w:color="auto" w:fill="FFFFFF"/>
        </w:rPr>
        <w:t>SOUZA, Gabriela Fátima de et al. Boas práticas de enfermagem na unidade de terapia intensiva: cuidados durante e após a transfusão sanguínea. </w:t>
      </w:r>
      <w:r w:rsidRPr="009645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Mineira de Enfermagem</w:t>
      </w:r>
      <w:r w:rsidRPr="009645FE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18, n. 4, p. 939-954, 2014.</w:t>
      </w:r>
    </w:p>
    <w:p w14:paraId="3ECA003A" w14:textId="77777777" w:rsidR="002061EE" w:rsidRPr="00592D78" w:rsidRDefault="002061EE" w:rsidP="002061EE">
      <w:pPr>
        <w:jc w:val="both"/>
        <w:rPr>
          <w:rFonts w:ascii="Arial" w:hAnsi="Arial" w:cs="Arial"/>
          <w:sz w:val="24"/>
          <w:szCs w:val="24"/>
        </w:rPr>
      </w:pPr>
      <w:r w:rsidRPr="009645FE">
        <w:rPr>
          <w:rFonts w:ascii="Arial" w:hAnsi="Arial" w:cs="Arial"/>
          <w:color w:val="222222"/>
          <w:sz w:val="24"/>
          <w:szCs w:val="24"/>
          <w:shd w:val="clear" w:color="auto" w:fill="FFFFFF"/>
        </w:rPr>
        <w:t>MATTIA, Daiana de; ANDRADE, Selma Regina de. Cuidados de enfermagem na transfusão de sangue: um instrumento para monitorização do paciente. </w:t>
      </w:r>
      <w:r w:rsidRPr="009645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Texto &amp; Contexto-Enfermagem</w:t>
      </w:r>
      <w:r w:rsidRPr="009645FE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25, 2016.</w:t>
      </w:r>
    </w:p>
    <w:p w14:paraId="591E019F" w14:textId="3CD36DFA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5045" w14:textId="77777777" w:rsidR="00B01337" w:rsidRDefault="00B01337" w:rsidP="006853BB">
      <w:pPr>
        <w:spacing w:after="0" w:line="240" w:lineRule="auto"/>
      </w:pPr>
      <w:r>
        <w:separator/>
      </w:r>
    </w:p>
  </w:endnote>
  <w:endnote w:type="continuationSeparator" w:id="0">
    <w:p w14:paraId="09124BF5" w14:textId="77777777" w:rsidR="00B01337" w:rsidRDefault="00B0133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210F" w14:textId="77777777" w:rsidR="00B01337" w:rsidRDefault="00B01337" w:rsidP="006853BB">
      <w:pPr>
        <w:spacing w:after="0" w:line="240" w:lineRule="auto"/>
      </w:pPr>
      <w:r>
        <w:separator/>
      </w:r>
    </w:p>
  </w:footnote>
  <w:footnote w:type="continuationSeparator" w:id="0">
    <w:p w14:paraId="7DB9C351" w14:textId="77777777" w:rsidR="00B01337" w:rsidRDefault="00B0133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434F"/>
    <w:rsid w:val="00096961"/>
    <w:rsid w:val="000D2995"/>
    <w:rsid w:val="002061EE"/>
    <w:rsid w:val="002B3914"/>
    <w:rsid w:val="0031484E"/>
    <w:rsid w:val="00331800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5F423E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01337"/>
    <w:rsid w:val="00BA7794"/>
    <w:rsid w:val="00DF46EE"/>
    <w:rsid w:val="00E32852"/>
    <w:rsid w:val="00E46875"/>
    <w:rsid w:val="00E92155"/>
    <w:rsid w:val="00ED1671"/>
    <w:rsid w:val="00F62B6C"/>
    <w:rsid w:val="00F8323D"/>
    <w:rsid w:val="00F917E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917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fcamilohug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Camilo Hugo</cp:lastModifiedBy>
  <cp:revision>17</cp:revision>
  <dcterms:created xsi:type="dcterms:W3CDTF">2020-08-28T13:22:00Z</dcterms:created>
  <dcterms:modified xsi:type="dcterms:W3CDTF">2022-04-11T01:35:00Z</dcterms:modified>
</cp:coreProperties>
</file>